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499712266"/>
        <w:docPartObj>
          <w:docPartGallery w:val="Cover Pages"/>
          <w:docPartUnique/>
        </w:docPartObj>
      </w:sdtPr>
      <w:sdtEndPr>
        <w:rPr>
          <w:rFonts w:ascii="Arial" w:hAnsi="Arial" w:cs="Arial"/>
          <w:szCs w:val="24"/>
          <w:lang w:eastAsia="en-US"/>
        </w:rPr>
      </w:sdtEndPr>
      <w:sdtContent>
        <w:p w14:paraId="7B216426" w14:textId="2AEF0613" w:rsidR="007120F2" w:rsidRDefault="007120F2">
          <w:r>
            <w:rPr>
              <w:noProof/>
            </w:rPr>
            <mc:AlternateContent>
              <mc:Choice Requires="wpg">
                <w:drawing>
                  <wp:anchor distT="0" distB="0" distL="114300" distR="114300" simplePos="0" relativeHeight="251662336" behindDoc="0" locked="0" layoutInCell="1" allowOverlap="1" wp14:anchorId="27D66679" wp14:editId="2EC8E17E">
                    <wp:simplePos x="0" y="0"/>
                    <wp:positionH relativeFrom="page">
                      <wp:align>right</wp:align>
                    </wp:positionH>
                    <wp:positionV relativeFrom="page">
                      <wp:align>top</wp:align>
                    </wp:positionV>
                    <wp:extent cx="3096491" cy="10058400"/>
                    <wp:effectExtent l="0" t="0" r="8890" b="0"/>
                    <wp:wrapNone/>
                    <wp:docPr id="453" name="Skupina 453"/>
                    <wp:cNvGraphicFramePr/>
                    <a:graphic xmlns:a="http://schemas.openxmlformats.org/drawingml/2006/main">
                      <a:graphicData uri="http://schemas.microsoft.com/office/word/2010/wordprocessingGroup">
                        <wpg:wgp>
                          <wpg:cNvGrpSpPr/>
                          <wpg:grpSpPr>
                            <a:xfrm>
                              <a:off x="0" y="0"/>
                              <a:ext cx="3096491" cy="10058400"/>
                              <a:chOff x="0" y="0"/>
                              <a:chExt cx="3096491" cy="10058400"/>
                            </a:xfrm>
                          </wpg:grpSpPr>
                          <wps:wsp>
                            <wps:cNvPr id="459" name="Obdĺžnik 459" descr="Light vertical"/>
                            <wps:cNvSpPr>
                              <a:spLocks noChangeArrowheads="1"/>
                            </wps:cNvSpPr>
                            <wps:spPr bwMode="auto">
                              <a:xfrm>
                                <a:off x="0" y="0"/>
                                <a:ext cx="138545" cy="10058400"/>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Obdĺžnik 460"/>
                            <wps:cNvSpPr>
                              <a:spLocks noChangeArrowheads="1"/>
                            </wps:cNvSpPr>
                            <wps:spPr bwMode="auto">
                              <a:xfrm>
                                <a:off x="124691" y="0"/>
                                <a:ext cx="2971800" cy="10058400"/>
                              </a:xfrm>
                              <a:prstGeom prst="rect">
                                <a:avLst/>
                              </a:prstGeom>
                              <a:solidFill>
                                <a:schemeClr val="accent6">
                                  <a:lumMod val="60000"/>
                                  <a:lumOff val="40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100000</wp14:pctHeight>
                    </wp14:sizeRelV>
                  </wp:anchor>
                </w:drawing>
              </mc:Choice>
              <mc:Fallback>
                <w:pict>
                  <v:group w14:anchorId="4BEDBF12" id="Skupina 453" o:spid="_x0000_s1026" style="position:absolute;margin-left:192.6pt;margin-top:0;width:243.8pt;height:11in;z-index:251662336;mso-height-percent:1000;mso-position-horizontal:right;mso-position-horizontal-relative:page;mso-position-vertical:top;mso-position-vertical-relative:page;mso-height-percent:1000" coordsize="30964,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">
                    <v:rect id="Obdĺžnik 459" o:spid="_x0000_s1027" alt="Light vertical" style="position:absolute;width:1385;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" fillcolor="#a8d08d [1945]" stroked="f" strokecolor="white" strokeweight="1pt">
                      <v:fill r:id="rId11" o:title="" opacity="52428f" color2="white [3212]" o:opacity2="52428f" type="pattern"/>
                      <v:shadow color="#d8d8d8" offset="3pt,3pt"/>
                    </v:rect>
                    <v:rect id="Obdĺžnik 460" o:spid="_x0000_s1028" style="position:absolute;left:1246;width:29718;height:100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" fillcolor="#a8d08d [1945]" stroked="f" strokecolor="#d8d8d8"/>
                    <w10:wrap anchorx="page" anchory="page"/>
                  </v:group>
                </w:pict>
              </mc:Fallback>
            </mc:AlternateContent>
          </w:r>
        </w:p>
        <w:p w14:paraId="1D6FAB08" w14:textId="20432439" w:rsidR="007120F2" w:rsidRDefault="002F316F">
          <w:pPr>
            <w:widowControl/>
            <w:rPr>
              <w:rFonts w:ascii="Arial" w:hAnsi="Arial" w:cs="Arial"/>
              <w:szCs w:val="24"/>
              <w:lang w:eastAsia="en-US"/>
            </w:rPr>
          </w:pPr>
          <w:r>
            <w:rPr>
              <w:noProof/>
            </w:rPr>
            <mc:AlternateContent>
              <mc:Choice Requires="wps">
                <w:drawing>
                  <wp:anchor distT="0" distB="0" distL="114300" distR="114300" simplePos="0" relativeHeight="251664384" behindDoc="0" locked="0" layoutInCell="0" allowOverlap="1" wp14:anchorId="355076F4" wp14:editId="639AB84A">
                    <wp:simplePos x="0" y="0"/>
                    <wp:positionH relativeFrom="page">
                      <wp:posOffset>-6350</wp:posOffset>
                    </wp:positionH>
                    <wp:positionV relativeFrom="page">
                      <wp:posOffset>2455545</wp:posOffset>
                    </wp:positionV>
                    <wp:extent cx="6390005" cy="1626235"/>
                    <wp:effectExtent l="0" t="0" r="10795" b="12065"/>
                    <wp:wrapNone/>
                    <wp:docPr id="463" name="Obdĺžnik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90005" cy="1626235"/>
                            </a:xfrm>
                            <a:prstGeom prst="rect">
                              <a:avLst/>
                            </a:prstGeom>
                            <a:solidFill>
                              <a:schemeClr val="tx1"/>
                            </a:solidFill>
                            <a:ln w="19050">
                              <a:solidFill>
                                <a:schemeClr val="tx1"/>
                              </a:solidFill>
                              <a:miter lim="800000"/>
                              <a:headEnd/>
                              <a:tailEnd/>
                            </a:ln>
                          </wps:spPr>
                          <wps:txbx>
                            <w:txbxContent>
                              <w:sdt>
                                <w:sdtPr>
                                  <w:rPr>
                                    <w:color w:val="C5E0B3" w:themeColor="accent6" w:themeTint="66"/>
                                    <w:sz w:val="72"/>
                                    <w:szCs w:val="72"/>
                                  </w:rPr>
                                  <w:alias w:val="Názov"/>
                                  <w:id w:val="-1704864950"/>
                                  <w:dataBinding w:prefixMappings="xmlns:ns0='http://schemas.openxmlformats.org/package/2006/metadata/core-properties' xmlns:ns1='http://purl.org/dc/elements/1.1/'" w:xpath="/ns0:coreProperties[1]/ns1:title[1]" w:storeItemID="{6C3C8BC8-F283-45AE-878A-BAB7291924A1}"/>
                                  <w:text/>
                                </w:sdtPr>
                                <w:sdtEndPr/>
                                <w:sdtContent>
                                  <w:p w14:paraId="7E36F1FC" w14:textId="50DA13C0" w:rsidR="007120F2" w:rsidRPr="0091158F" w:rsidRDefault="007120F2" w:rsidP="001C4E55">
                                    <w:pPr>
                                      <w:pStyle w:val="Bezriadkovania"/>
                                      <w:jc w:val="center"/>
                                      <w:rPr>
                                        <w:color w:val="C5E0B3" w:themeColor="accent6" w:themeTint="66"/>
                                        <w:sz w:val="72"/>
                                        <w:szCs w:val="72"/>
                                      </w:rPr>
                                    </w:pPr>
                                    <w:r w:rsidRPr="0091158F">
                                      <w:rPr>
                                        <w:color w:val="C5E0B3" w:themeColor="accent6" w:themeTint="66"/>
                                        <w:sz w:val="72"/>
                                        <w:szCs w:val="72"/>
                                      </w:rPr>
                                      <w:t>Bytový dom Terchovská</w:t>
                                    </w:r>
                                  </w:p>
                                </w:sdtContent>
                              </w:sdt>
                              <w:p w14:paraId="1C4BAD2A" w14:textId="105AA2AA" w:rsidR="001C4E55" w:rsidRPr="001C4E55" w:rsidRDefault="001C4E55" w:rsidP="001C4E55">
                                <w:pPr>
                                  <w:widowControl/>
                                  <w:spacing w:before="120"/>
                                  <w:ind w:firstLine="1276"/>
                                  <w:rPr>
                                    <w:rFonts w:ascii="Arial" w:hAnsi="Arial" w:cs="Arial"/>
                                    <w:b/>
                                    <w:i/>
                                    <w:sz w:val="28"/>
                                    <w:szCs w:val="28"/>
                                    <w:lang w:eastAsia="en-US"/>
                                  </w:rPr>
                                </w:pPr>
                                <w:r w:rsidRPr="001C4E55">
                                  <w:rPr>
                                    <w:rFonts w:ascii="Arial" w:hAnsi="Arial" w:cs="Arial"/>
                                    <w:b/>
                                    <w:i/>
                                    <w:sz w:val="28"/>
                                    <w:szCs w:val="28"/>
                                    <w:lang w:eastAsia="en-US"/>
                                  </w:rPr>
                                  <w:t>Zámer pre zisťovacie konanie</w:t>
                                </w:r>
                              </w:p>
                              <w:p w14:paraId="219D49E1" w14:textId="77777777" w:rsidR="009D7E37" w:rsidRDefault="001C4E55" w:rsidP="001C4E55">
                                <w:pPr>
                                  <w:widowControl/>
                                  <w:ind w:left="1276"/>
                                  <w:rPr>
                                    <w:rFonts w:ascii="Arial" w:hAnsi="Arial" w:cs="Arial"/>
                                    <w:bCs/>
                                    <w:i/>
                                    <w:sz w:val="28"/>
                                    <w:szCs w:val="28"/>
                                    <w:lang w:eastAsia="en-US"/>
                                  </w:rPr>
                                </w:pPr>
                                <w:r w:rsidRPr="001C4E55">
                                  <w:rPr>
                                    <w:rFonts w:ascii="Arial" w:hAnsi="Arial" w:cs="Arial"/>
                                    <w:bCs/>
                                    <w:i/>
                                    <w:sz w:val="28"/>
                                    <w:szCs w:val="28"/>
                                    <w:lang w:eastAsia="en-US"/>
                                  </w:rPr>
                                  <w:t xml:space="preserve">podľa Zákona č. 24/2006 Z.z. </w:t>
                                </w:r>
                              </w:p>
                              <w:p w14:paraId="5934817E" w14:textId="490D630A" w:rsidR="001C4E55" w:rsidRPr="001C4E55" w:rsidRDefault="001C4E55" w:rsidP="001C4E55">
                                <w:pPr>
                                  <w:widowControl/>
                                  <w:ind w:left="1276"/>
                                  <w:rPr>
                                    <w:rFonts w:ascii="Arial" w:hAnsi="Arial" w:cs="Arial"/>
                                    <w:bCs/>
                                    <w:sz w:val="28"/>
                                    <w:szCs w:val="28"/>
                                    <w:lang w:eastAsia="en-US"/>
                                  </w:rPr>
                                </w:pPr>
                                <w:r w:rsidRPr="001C4E55">
                                  <w:rPr>
                                    <w:rFonts w:ascii="Arial" w:hAnsi="Arial" w:cs="Arial"/>
                                    <w:bCs/>
                                    <w:i/>
                                    <w:sz w:val="28"/>
                                    <w:szCs w:val="28"/>
                                    <w:lang w:eastAsia="en-US"/>
                                  </w:rPr>
                                  <w:t>o posudzovaní vplyvov na životné prostredie</w:t>
                                </w:r>
                              </w:p>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55076F4" id="Obdĺžnik 16" o:spid="_x0000_s1026" style="position:absolute;margin-left:-.5pt;margin-top:193.35pt;width:503.15pt;height:128.0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" o:allowincell="f" fillcolor="black [3213]" strokecolor="black [3213]" strokeweight="1.5pt">
                    <v:textbox inset="14.4pt,,14.4pt">
                      <w:txbxContent>
                        <w:sdt>
                          <w:sdtPr>
                            <w:rPr>
                              <w:color w:val="C5E0B3" w:themeColor="accent6" w:themeTint="66"/>
                              <w:sz w:val="72"/>
                              <w:szCs w:val="72"/>
                            </w:rPr>
                            <w:alias w:val="Názov"/>
                            <w:id w:val="-1704864950"/>
                            <w:dataBinding w:prefixMappings="xmlns:ns0='http://schemas.openxmlformats.org/package/2006/metadata/core-properties' xmlns:ns1='http://purl.org/dc/elements/1.1/'" w:xpath="/ns0:coreProperties[1]/ns1:title[1]" w:storeItemID="{6C3C8BC8-F283-45AE-878A-BAB7291924A1}"/>
                            <w:text/>
                          </w:sdtPr>
                          <w:sdtEndPr/>
                          <w:sdtContent>
                            <w:p w14:paraId="7E36F1FC" w14:textId="50DA13C0" w:rsidR="007120F2" w:rsidRPr="0091158F" w:rsidRDefault="007120F2" w:rsidP="001C4E55">
                              <w:pPr>
                                <w:pStyle w:val="Bezriadkovania"/>
                                <w:jc w:val="center"/>
                                <w:rPr>
                                  <w:color w:val="C5E0B3" w:themeColor="accent6" w:themeTint="66"/>
                                  <w:sz w:val="72"/>
                                  <w:szCs w:val="72"/>
                                </w:rPr>
                              </w:pPr>
                              <w:r w:rsidRPr="0091158F">
                                <w:rPr>
                                  <w:color w:val="C5E0B3" w:themeColor="accent6" w:themeTint="66"/>
                                  <w:sz w:val="72"/>
                                  <w:szCs w:val="72"/>
                                </w:rPr>
                                <w:t>Bytový dom Terchovská</w:t>
                              </w:r>
                            </w:p>
                          </w:sdtContent>
                        </w:sdt>
                        <w:p w14:paraId="1C4BAD2A" w14:textId="105AA2AA" w:rsidR="001C4E55" w:rsidRPr="001C4E55" w:rsidRDefault="001C4E55" w:rsidP="001C4E55">
                          <w:pPr>
                            <w:widowControl/>
                            <w:spacing w:before="120"/>
                            <w:ind w:firstLine="1276"/>
                            <w:rPr>
                              <w:rFonts w:ascii="Arial" w:hAnsi="Arial" w:cs="Arial"/>
                              <w:b/>
                              <w:i/>
                              <w:sz w:val="28"/>
                              <w:szCs w:val="28"/>
                              <w:lang w:eastAsia="en-US"/>
                            </w:rPr>
                          </w:pPr>
                          <w:r w:rsidRPr="001C4E55">
                            <w:rPr>
                              <w:rFonts w:ascii="Arial" w:hAnsi="Arial" w:cs="Arial"/>
                              <w:b/>
                              <w:i/>
                              <w:sz w:val="28"/>
                              <w:szCs w:val="28"/>
                              <w:lang w:eastAsia="en-US"/>
                            </w:rPr>
                            <w:t>Zámer pre zisťovacie konanie</w:t>
                          </w:r>
                        </w:p>
                        <w:p w14:paraId="219D49E1" w14:textId="77777777" w:rsidR="009D7E37" w:rsidRDefault="001C4E55" w:rsidP="001C4E55">
                          <w:pPr>
                            <w:widowControl/>
                            <w:ind w:left="1276"/>
                            <w:rPr>
                              <w:rFonts w:ascii="Arial" w:hAnsi="Arial" w:cs="Arial"/>
                              <w:bCs/>
                              <w:i/>
                              <w:sz w:val="28"/>
                              <w:szCs w:val="28"/>
                              <w:lang w:eastAsia="en-US"/>
                            </w:rPr>
                          </w:pPr>
                          <w:r w:rsidRPr="001C4E55">
                            <w:rPr>
                              <w:rFonts w:ascii="Arial" w:hAnsi="Arial" w:cs="Arial"/>
                              <w:bCs/>
                              <w:i/>
                              <w:sz w:val="28"/>
                              <w:szCs w:val="28"/>
                              <w:lang w:eastAsia="en-US"/>
                            </w:rPr>
                            <w:t xml:space="preserve">podľa Zákona č. 24/2006 Z.z. </w:t>
                          </w:r>
                        </w:p>
                        <w:p w14:paraId="5934817E" w14:textId="490D630A" w:rsidR="001C4E55" w:rsidRPr="001C4E55" w:rsidRDefault="001C4E55" w:rsidP="001C4E55">
                          <w:pPr>
                            <w:widowControl/>
                            <w:ind w:left="1276"/>
                            <w:rPr>
                              <w:rFonts w:ascii="Arial" w:hAnsi="Arial" w:cs="Arial"/>
                              <w:bCs/>
                              <w:sz w:val="28"/>
                              <w:szCs w:val="28"/>
                              <w:lang w:eastAsia="en-US"/>
                            </w:rPr>
                          </w:pPr>
                          <w:r w:rsidRPr="001C4E55">
                            <w:rPr>
                              <w:rFonts w:ascii="Arial" w:hAnsi="Arial" w:cs="Arial"/>
                              <w:bCs/>
                              <w:i/>
                              <w:sz w:val="28"/>
                              <w:szCs w:val="28"/>
                              <w:lang w:eastAsia="en-US"/>
                            </w:rPr>
                            <w:t>o posudzovaní vplyvov na životné prostredie</w:t>
                          </w:r>
                        </w:p>
                      </w:txbxContent>
                    </v:textbox>
                    <w10:wrap anchorx="page" anchory="page"/>
                  </v:rect>
                </w:pict>
              </mc:Fallback>
            </mc:AlternateContent>
          </w:r>
          <w:r>
            <w:rPr>
              <w:noProof/>
            </w:rPr>
            <w:drawing>
              <wp:anchor distT="0" distB="0" distL="114300" distR="114300" simplePos="0" relativeHeight="251663360" behindDoc="0" locked="0" layoutInCell="0" allowOverlap="1" wp14:anchorId="1B4AF433" wp14:editId="7F21C527">
                <wp:simplePos x="0" y="0"/>
                <wp:positionH relativeFrom="page">
                  <wp:posOffset>1104921</wp:posOffset>
                </wp:positionH>
                <wp:positionV relativeFrom="page">
                  <wp:posOffset>4391025</wp:posOffset>
                </wp:positionV>
                <wp:extent cx="6315776" cy="2952791"/>
                <wp:effectExtent l="152400" t="152400" r="237490" b="228600"/>
                <wp:wrapNone/>
                <wp:docPr id="46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Obrázok 1"/>
                        <pic:cNvPicPr/>
                      </pic:nvPicPr>
                      <pic:blipFill>
                        <a:blip r:embed="rId12"/>
                        <a:stretch>
                          <a:fillRect/>
                        </a:stretch>
                      </pic:blipFill>
                      <pic:spPr>
                        <a:xfrm>
                          <a:off x="0" y="0"/>
                          <a:ext cx="6315776" cy="2952791"/>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sdtContent>
    </w:sdt>
    <w:p w14:paraId="0D569D9B" w14:textId="4AD1503C" w:rsidR="000E1ED4" w:rsidRPr="004A7717" w:rsidRDefault="003152FD" w:rsidP="000E1ED4">
      <w:pPr>
        <w:widowControl/>
        <w:jc w:val="center"/>
        <w:rPr>
          <w:rFonts w:ascii="Arial" w:hAnsi="Arial" w:cs="Arial"/>
          <w:i/>
          <w:iCs/>
          <w:szCs w:val="24"/>
          <w:lang w:eastAsia="en-US"/>
        </w:rPr>
        <w:sectPr w:rsidR="000E1ED4" w:rsidRPr="004A7717" w:rsidSect="00AF186D">
          <w:pgSz w:w="11906" w:h="16838"/>
          <w:pgMar w:top="1417" w:right="1417" w:bottom="709" w:left="1417" w:header="708" w:footer="708" w:gutter="0"/>
          <w:pgNumType w:start="0"/>
          <w:cols w:space="708"/>
          <w:titlePg/>
          <w:docGrid w:linePitch="360"/>
        </w:sectPr>
      </w:pPr>
      <w:r w:rsidRPr="003F5B27">
        <w:rPr>
          <w:rFonts w:ascii="Arial" w:hAnsi="Arial" w:cs="Arial"/>
          <w:noProof/>
          <w:szCs w:val="24"/>
          <w:lang w:eastAsia="en-US"/>
        </w:rPr>
        <mc:AlternateContent>
          <mc:Choice Requires="wps">
            <w:drawing>
              <wp:anchor distT="45720" distB="45720" distL="114300" distR="114300" simplePos="0" relativeHeight="251669504" behindDoc="0" locked="0" layoutInCell="1" allowOverlap="1" wp14:anchorId="158BE5B3" wp14:editId="44402709">
                <wp:simplePos x="0" y="0"/>
                <wp:positionH relativeFrom="column">
                  <wp:posOffset>4815205</wp:posOffset>
                </wp:positionH>
                <wp:positionV relativeFrom="paragraph">
                  <wp:posOffset>8428355</wp:posOffset>
                </wp:positionV>
                <wp:extent cx="1247775" cy="561975"/>
                <wp:effectExtent l="0" t="0" r="0" b="0"/>
                <wp:wrapSquare wrapText="bothSides"/>
                <wp:docPr id="2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561975"/>
                        </a:xfrm>
                        <a:prstGeom prst="rect">
                          <a:avLst/>
                        </a:prstGeom>
                        <a:noFill/>
                        <a:ln w="9525">
                          <a:noFill/>
                          <a:miter lim="800000"/>
                          <a:headEnd/>
                          <a:tailEnd/>
                        </a:ln>
                      </wps:spPr>
                      <wps:txbx>
                        <w:txbxContent>
                          <w:p w14:paraId="5E8A07C8" w14:textId="07E7ADB1" w:rsidR="00FA7219" w:rsidRDefault="00FA7219" w:rsidP="00FA7219">
                            <w:pPr>
                              <w:pStyle w:val="Bezriadkovania"/>
                              <w:jc w:val="right"/>
                              <w:rPr>
                                <w:color w:val="FFFFFF" w:themeColor="background1"/>
                                <w:sz w:val="28"/>
                                <w:szCs w:val="28"/>
                                <w:lang w:val="sk-SK"/>
                              </w:rPr>
                            </w:pPr>
                            <w:r>
                              <w:rPr>
                                <w:color w:val="FFFFFF" w:themeColor="background1"/>
                                <w:sz w:val="28"/>
                                <w:szCs w:val="28"/>
                                <w:lang w:val="sk-SK"/>
                              </w:rPr>
                              <w:t>Bratislava</w:t>
                            </w:r>
                          </w:p>
                          <w:p w14:paraId="6B8A4055" w14:textId="6289BA48" w:rsidR="003F5B27" w:rsidRPr="00C073E7" w:rsidRDefault="00DF7148" w:rsidP="00FA7219">
                            <w:pPr>
                              <w:pStyle w:val="Bezriadkovania"/>
                              <w:jc w:val="right"/>
                              <w:rPr>
                                <w:color w:val="FFFFFF" w:themeColor="background1"/>
                                <w:sz w:val="28"/>
                                <w:szCs w:val="28"/>
                              </w:rPr>
                            </w:pPr>
                            <w:r>
                              <w:rPr>
                                <w:color w:val="FFFFFF" w:themeColor="background1"/>
                                <w:sz w:val="28"/>
                                <w:szCs w:val="28"/>
                                <w:lang w:val="sk-SK"/>
                              </w:rPr>
                              <w:t>február</w:t>
                            </w:r>
                            <w:r w:rsidR="00E40FCD" w:rsidRPr="00C073E7">
                              <w:rPr>
                                <w:color w:val="FFFFFF" w:themeColor="background1"/>
                                <w:sz w:val="28"/>
                                <w:szCs w:val="28"/>
                              </w:rPr>
                              <w:t xml:space="preserve"> 2022</w:t>
                            </w:r>
                          </w:p>
                          <w:p w14:paraId="170F44CC" w14:textId="03CD455C" w:rsidR="003F5B27" w:rsidRPr="00C073E7" w:rsidRDefault="003F5B27" w:rsidP="00FA7219">
                            <w:pPr>
                              <w:jc w:val="right"/>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58BE5B3" id="_x0000_t202" coordsize="21600,21600" o:spt="202" path="m,l,21600r21600,l21600,xe">
                <v:stroke joinstyle="miter"/>
                <v:path gradientshapeok="t" o:connecttype="rect"/>
              </v:shapetype>
              <v:shape id="Textové pole 2" o:spid="_x0000_s1027" type="#_x0000_t202" style="position:absolute;left:0;text-align:left;margin-left:379.15pt;margin-top:663.65pt;width:98.25pt;height:44.2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" filled="f" stroked="f">
                <v:textbox>
                  <w:txbxContent>
                    <w:p w14:paraId="5E8A07C8" w14:textId="07E7ADB1" w:rsidR="00FA7219" w:rsidRDefault="00FA7219" w:rsidP="00FA7219">
                      <w:pPr>
                        <w:pStyle w:val="Bezriadkovania"/>
                        <w:jc w:val="right"/>
                        <w:rPr>
                          <w:color w:val="FFFFFF" w:themeColor="background1"/>
                          <w:sz w:val="28"/>
                          <w:szCs w:val="28"/>
                          <w:lang w:val="sk-SK"/>
                        </w:rPr>
                      </w:pPr>
                      <w:r>
                        <w:rPr>
                          <w:color w:val="FFFFFF" w:themeColor="background1"/>
                          <w:sz w:val="28"/>
                          <w:szCs w:val="28"/>
                          <w:lang w:val="sk-SK"/>
                        </w:rPr>
                        <w:t>Bratislava</w:t>
                      </w:r>
                    </w:p>
                    <w:p w14:paraId="6B8A4055" w14:textId="6289BA48" w:rsidR="003F5B27" w:rsidRPr="00C073E7" w:rsidRDefault="00DF7148" w:rsidP="00FA7219">
                      <w:pPr>
                        <w:pStyle w:val="Bezriadkovania"/>
                        <w:jc w:val="right"/>
                        <w:rPr>
                          <w:color w:val="FFFFFF" w:themeColor="background1"/>
                          <w:sz w:val="28"/>
                          <w:szCs w:val="28"/>
                        </w:rPr>
                      </w:pPr>
                      <w:r>
                        <w:rPr>
                          <w:color w:val="FFFFFF" w:themeColor="background1"/>
                          <w:sz w:val="28"/>
                          <w:szCs w:val="28"/>
                          <w:lang w:val="sk-SK"/>
                        </w:rPr>
                        <w:t>február</w:t>
                      </w:r>
                      <w:r w:rsidR="00E40FCD" w:rsidRPr="00C073E7">
                        <w:rPr>
                          <w:color w:val="FFFFFF" w:themeColor="background1"/>
                          <w:sz w:val="28"/>
                          <w:szCs w:val="28"/>
                        </w:rPr>
                        <w:t xml:space="preserve"> 2022</w:t>
                      </w:r>
                    </w:p>
                    <w:p w14:paraId="170F44CC" w14:textId="03CD455C" w:rsidR="003F5B27" w:rsidRPr="00C073E7" w:rsidRDefault="003F5B27" w:rsidP="00FA7219">
                      <w:pPr>
                        <w:jc w:val="right"/>
                        <w:rPr>
                          <w:sz w:val="22"/>
                          <w:szCs w:val="22"/>
                        </w:rPr>
                      </w:pPr>
                    </w:p>
                  </w:txbxContent>
                </v:textbox>
                <w10:wrap type="square"/>
              </v:shape>
            </w:pict>
          </mc:Fallback>
        </mc:AlternateContent>
      </w:r>
      <w:r w:rsidR="001A15B6">
        <w:rPr>
          <w:rFonts w:ascii="Arial" w:hAnsi="Arial" w:cs="Arial"/>
          <w:szCs w:val="24"/>
          <w:lang w:eastAsia="en-US"/>
        </w:rPr>
        <w:t xml:space="preserve">  </w:t>
      </w:r>
      <w:r w:rsidR="001A4279">
        <w:rPr>
          <w:rFonts w:ascii="Arial" w:hAnsi="Arial" w:cs="Arial"/>
          <w:szCs w:val="24"/>
          <w:lang w:eastAsia="en-US"/>
        </w:rPr>
        <w:t xml:space="preserve"> </w:t>
      </w:r>
    </w:p>
    <w:p w14:paraId="2896D757" w14:textId="6BEABB55" w:rsidR="00D96447" w:rsidRPr="00BF4BE0" w:rsidRDefault="00D96447" w:rsidP="00FC3426">
      <w:pPr>
        <w:pStyle w:val="A-Text11"/>
      </w:pPr>
      <w:r w:rsidRPr="00BF4BE0">
        <w:rPr>
          <w:lang w:eastAsia="ar-SA"/>
        </w:rPr>
        <w:lastRenderedPageBreak/>
        <w:t xml:space="preserve">Navrhovanou činnosťou </w:t>
      </w:r>
      <w:r w:rsidR="00F7020D" w:rsidRPr="00BF4BE0">
        <w:rPr>
          <w:lang w:eastAsia="ar-SA"/>
        </w:rPr>
        <w:t xml:space="preserve">je </w:t>
      </w:r>
      <w:r w:rsidR="00FC3426" w:rsidRPr="00BF4BE0">
        <w:t>výstavb</w:t>
      </w:r>
      <w:r w:rsidR="001D55DE">
        <w:t>a a prevád</w:t>
      </w:r>
      <w:r w:rsidR="00BC41B1">
        <w:t>z</w:t>
      </w:r>
      <w:r w:rsidR="001D55DE">
        <w:t xml:space="preserve">ka </w:t>
      </w:r>
      <w:r w:rsidR="00FC3426" w:rsidRPr="00BF4BE0">
        <w:t>bytového domu</w:t>
      </w:r>
      <w:r w:rsidR="00F7020D" w:rsidRPr="00BF4BE0">
        <w:t xml:space="preserve">. </w:t>
      </w:r>
      <w:r w:rsidRPr="00BF4BE0">
        <w:t xml:space="preserve">Výstavba je navrhovaná </w:t>
      </w:r>
      <w:r w:rsidRPr="00BF4BE0">
        <w:rPr>
          <w:lang w:eastAsia="ar-SA"/>
        </w:rPr>
        <w:t xml:space="preserve">v Bratislavskom kraji, </w:t>
      </w:r>
      <w:r w:rsidRPr="00BF4BE0">
        <w:t xml:space="preserve">na území hlavného mesta SR Bratislavy, v okrese Bratislava II, v mestskej časti Bratislava – </w:t>
      </w:r>
      <w:r w:rsidR="00FC3426" w:rsidRPr="00BF4BE0">
        <w:t>Ružinov</w:t>
      </w:r>
      <w:r w:rsidRPr="00BF4BE0">
        <w:t xml:space="preserve">. </w:t>
      </w:r>
    </w:p>
    <w:p w14:paraId="3DCFE066" w14:textId="02A1439D" w:rsidR="00D96447" w:rsidRPr="00BF4BE0" w:rsidRDefault="00D96447" w:rsidP="00FC3426">
      <w:pPr>
        <w:pStyle w:val="A-Text11"/>
      </w:pPr>
      <w:r w:rsidRPr="00BF4BE0">
        <w:t xml:space="preserve">Navrhovaná činnosť je </w:t>
      </w:r>
      <w:r w:rsidR="00707943" w:rsidRPr="00BF4BE0">
        <w:t>zarade</w:t>
      </w:r>
      <w:r w:rsidRPr="00BF4BE0">
        <w:t xml:space="preserve">ná vo väzbe na </w:t>
      </w:r>
      <w:r w:rsidR="00FC3426" w:rsidRPr="00BF4BE0">
        <w:t>p</w:t>
      </w:r>
      <w:r w:rsidRPr="00BF4BE0">
        <w:t xml:space="preserve">rílohu č. 8 k zákonu č. 24/2006 Z.z. o posudzovaní vplyvov na životné prostredie </w:t>
      </w:r>
      <w:r w:rsidR="004D33F1" w:rsidRPr="0042671C">
        <w:t>kapitoly  č. 2, položka č. 14,</w:t>
      </w:r>
      <w:r w:rsidR="004D33F1">
        <w:t xml:space="preserve"> </w:t>
      </w:r>
      <w:r w:rsidR="00707943" w:rsidRPr="00BF4BE0">
        <w:t xml:space="preserve">do </w:t>
      </w:r>
      <w:r w:rsidRPr="00BF4BE0">
        <w:t xml:space="preserve"> kapitol</w:t>
      </w:r>
      <w:r w:rsidR="00D24880" w:rsidRPr="00BF4BE0">
        <w:t>y</w:t>
      </w:r>
      <w:r w:rsidRPr="00BF4BE0">
        <w:t xml:space="preserve"> č. 9,  položky  16a) a 16b). Vzhľadom na prekročenie prahovej hodnoty počtu parkovacích stojísk v položke  9/16b) v časti </w:t>
      </w:r>
      <w:r w:rsidR="00986B2C" w:rsidRPr="00BF4BE0">
        <w:t>B</w:t>
      </w:r>
      <w:r w:rsidRPr="00BF4BE0">
        <w:t xml:space="preserve">  je potrebné absolvovať </w:t>
      </w:r>
      <w:r w:rsidR="00986B2C" w:rsidRPr="00BF4BE0">
        <w:t>zisťovacie konanie</w:t>
      </w:r>
      <w:r w:rsidRPr="00BF4BE0">
        <w:t xml:space="preserve">. </w:t>
      </w:r>
    </w:p>
    <w:p w14:paraId="6F72A284" w14:textId="1FFD47AF" w:rsidR="00D96447" w:rsidRPr="00BC41B1" w:rsidRDefault="00D96447" w:rsidP="00FC3426">
      <w:pPr>
        <w:pStyle w:val="A-Text11"/>
        <w:rPr>
          <w:color w:val="FF0000"/>
          <w:lang w:eastAsia="ar-SA"/>
        </w:rPr>
      </w:pPr>
      <w:r w:rsidRPr="00BF4BE0">
        <w:rPr>
          <w:lang w:eastAsia="ar-SA"/>
        </w:rPr>
        <w:t xml:space="preserve">Predkladaný zámer podáva základnú charakteristiku navrhovanej činnosti, základné údaje o súčasnom stave životného prostredia, základné údaje o predpokladaných vplyvoch na životné prostredie. Obsahuje tiež prvotné porovnanie variantov a návrh opatrení na vylúčenie alebo zníženie možných negatívnych vplyvov. </w:t>
      </w:r>
    </w:p>
    <w:p w14:paraId="05C26592" w14:textId="079E0A16" w:rsidR="001E338E" w:rsidRPr="00BF4BE0" w:rsidRDefault="001E338E" w:rsidP="00FC3426">
      <w:pPr>
        <w:pStyle w:val="A-Text11"/>
        <w:rPr>
          <w:lang w:eastAsia="ar-SA"/>
        </w:rPr>
      </w:pPr>
      <w:r w:rsidRPr="00BF4BE0">
        <w:rPr>
          <w:lang w:eastAsia="ar-SA"/>
        </w:rPr>
        <w:t>Zámer je predkladaný v dvoch variantoch</w:t>
      </w:r>
      <w:r w:rsidR="00BC41B1">
        <w:rPr>
          <w:lang w:eastAsia="ar-SA"/>
        </w:rPr>
        <w:t>,</w:t>
      </w:r>
      <w:r w:rsidRPr="00BF4BE0">
        <w:rPr>
          <w:lang w:eastAsia="ar-SA"/>
        </w:rPr>
        <w:t xml:space="preserve"> odlišujúcich sa v technologickom vybavení budovy, konkrétne druhom záložného zdroja v prípade výpadku energií. Navrhované varianty sú porovnávané s nulovým variantom. </w:t>
      </w:r>
    </w:p>
    <w:p w14:paraId="65C54E9B" w14:textId="51136F36" w:rsidR="00E65CA9" w:rsidRPr="004A7717" w:rsidRDefault="00E65CA9" w:rsidP="00D96447">
      <w:pPr>
        <w:widowControl/>
        <w:spacing w:before="120"/>
        <w:jc w:val="both"/>
        <w:rPr>
          <w:rFonts w:ascii="Arial" w:hAnsi="Arial" w:cs="Arial"/>
          <w:color w:val="FF0000"/>
          <w:sz w:val="22"/>
          <w:szCs w:val="22"/>
          <w:lang w:eastAsia="ar-SA"/>
        </w:rPr>
      </w:pPr>
    </w:p>
    <w:p w14:paraId="1BD049FD" w14:textId="3D00C4F9" w:rsidR="00E65CA9" w:rsidRPr="00400B4E" w:rsidRDefault="00E65CA9" w:rsidP="007D5480">
      <w:pPr>
        <w:widowControl/>
        <w:jc w:val="both"/>
        <w:rPr>
          <w:rFonts w:ascii="Arial" w:hAnsi="Arial" w:cs="Arial"/>
          <w:b/>
          <w:sz w:val="22"/>
          <w:szCs w:val="22"/>
        </w:rPr>
      </w:pPr>
      <w:r w:rsidRPr="004A7717">
        <w:rPr>
          <w:rFonts w:ascii="Arial" w:hAnsi="Arial" w:cs="Arial"/>
          <w:b/>
          <w:bCs/>
          <w:color w:val="FF0000"/>
          <w:sz w:val="24"/>
          <w:szCs w:val="24"/>
          <w:lang w:eastAsia="en-US"/>
        </w:rPr>
        <w:br w:type="page"/>
      </w:r>
      <w:r w:rsidRPr="00400B4E">
        <w:rPr>
          <w:rFonts w:ascii="Arial" w:hAnsi="Arial" w:cs="Arial"/>
          <w:b/>
          <w:sz w:val="22"/>
          <w:szCs w:val="22"/>
        </w:rPr>
        <w:lastRenderedPageBreak/>
        <w:t>Obsah</w:t>
      </w:r>
    </w:p>
    <w:p w14:paraId="20B3386B" w14:textId="77777777" w:rsidR="00901866" w:rsidRPr="00400B4E" w:rsidRDefault="00901866" w:rsidP="00240E7A">
      <w:pPr>
        <w:rPr>
          <w:rFonts w:ascii="Arial" w:hAnsi="Arial" w:cs="Arial"/>
          <w:sz w:val="22"/>
          <w:szCs w:val="22"/>
          <w:lang w:eastAsia="en-US"/>
        </w:rPr>
      </w:pPr>
    </w:p>
    <w:p w14:paraId="5DC1BA03" w14:textId="6CA79D4C" w:rsidR="00D57307" w:rsidRPr="00400B4E" w:rsidRDefault="00E65CA9">
      <w:pPr>
        <w:pStyle w:val="Obsah1"/>
        <w:rPr>
          <w:rFonts w:eastAsiaTheme="minorEastAsia"/>
          <w:b w:val="0"/>
          <w:bCs w:val="0"/>
          <w:sz w:val="22"/>
          <w:szCs w:val="22"/>
          <w:lang w:eastAsia="sk-SK"/>
        </w:rPr>
      </w:pPr>
      <w:r w:rsidRPr="00400B4E">
        <w:rPr>
          <w:noProof w:val="0"/>
          <w:sz w:val="22"/>
          <w:szCs w:val="22"/>
        </w:rPr>
        <w:fldChar w:fldCharType="begin"/>
      </w:r>
      <w:r w:rsidRPr="00400B4E">
        <w:rPr>
          <w:noProof w:val="0"/>
          <w:sz w:val="22"/>
          <w:szCs w:val="22"/>
        </w:rPr>
        <w:instrText xml:space="preserve"> TOC \o "1-5" \h \z \u </w:instrText>
      </w:r>
      <w:r w:rsidRPr="00400B4E">
        <w:rPr>
          <w:noProof w:val="0"/>
          <w:sz w:val="22"/>
          <w:szCs w:val="22"/>
        </w:rPr>
        <w:fldChar w:fldCharType="separate"/>
      </w:r>
      <w:hyperlink w:anchor="_Toc93916797" w:history="1">
        <w:r w:rsidR="00D57307" w:rsidRPr="00400B4E">
          <w:rPr>
            <w:rStyle w:val="Hypertextovprepojenie"/>
            <w:rFonts w:cs="Arial"/>
            <w:sz w:val="22"/>
            <w:szCs w:val="22"/>
          </w:rPr>
          <w:t>I</w:t>
        </w:r>
        <w:r w:rsidR="00D57307" w:rsidRPr="00400B4E">
          <w:rPr>
            <w:rFonts w:eastAsiaTheme="minorEastAsia"/>
            <w:b w:val="0"/>
            <w:bCs w:val="0"/>
            <w:sz w:val="22"/>
            <w:szCs w:val="22"/>
            <w:lang w:eastAsia="sk-SK"/>
          </w:rPr>
          <w:tab/>
        </w:r>
        <w:r w:rsidR="00D57307" w:rsidRPr="00400B4E">
          <w:rPr>
            <w:rStyle w:val="Hypertextovprepojenie"/>
            <w:rFonts w:cs="Arial"/>
            <w:sz w:val="22"/>
            <w:szCs w:val="22"/>
          </w:rPr>
          <w:t>Základné údaje o navrhovateľovi</w:t>
        </w:r>
        <w:r w:rsidR="00D57307" w:rsidRPr="00400B4E">
          <w:rPr>
            <w:webHidden/>
            <w:sz w:val="22"/>
            <w:szCs w:val="22"/>
          </w:rPr>
          <w:tab/>
        </w:r>
        <w:r w:rsidR="00D57307" w:rsidRPr="00400B4E">
          <w:rPr>
            <w:webHidden/>
            <w:sz w:val="22"/>
            <w:szCs w:val="22"/>
          </w:rPr>
          <w:fldChar w:fldCharType="begin"/>
        </w:r>
        <w:r w:rsidR="00D57307" w:rsidRPr="00400B4E">
          <w:rPr>
            <w:webHidden/>
            <w:sz w:val="22"/>
            <w:szCs w:val="22"/>
          </w:rPr>
          <w:instrText xml:space="preserve"> PAGEREF _Toc93916797 \h </w:instrText>
        </w:r>
        <w:r w:rsidR="00D57307" w:rsidRPr="00400B4E">
          <w:rPr>
            <w:webHidden/>
            <w:sz w:val="22"/>
            <w:szCs w:val="22"/>
          </w:rPr>
        </w:r>
        <w:r w:rsidR="00D57307" w:rsidRPr="00400B4E">
          <w:rPr>
            <w:webHidden/>
            <w:sz w:val="22"/>
            <w:szCs w:val="22"/>
          </w:rPr>
          <w:fldChar w:fldCharType="separate"/>
        </w:r>
        <w:r w:rsidR="00F17842">
          <w:rPr>
            <w:webHidden/>
            <w:sz w:val="22"/>
            <w:szCs w:val="22"/>
          </w:rPr>
          <w:t>5</w:t>
        </w:r>
        <w:r w:rsidR="00D57307" w:rsidRPr="00400B4E">
          <w:rPr>
            <w:webHidden/>
            <w:sz w:val="22"/>
            <w:szCs w:val="22"/>
          </w:rPr>
          <w:fldChar w:fldCharType="end"/>
        </w:r>
      </w:hyperlink>
    </w:p>
    <w:p w14:paraId="6C09FACD" w14:textId="4D101442"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798" w:history="1">
        <w:r w:rsidR="00D57307" w:rsidRPr="00400B4E">
          <w:rPr>
            <w:rStyle w:val="Hypertextovprepojenie"/>
            <w:rFonts w:ascii="Arial" w:hAnsi="Arial" w:cs="Arial"/>
            <w:noProof/>
            <w:sz w:val="22"/>
            <w:szCs w:val="22"/>
          </w:rPr>
          <w:t>I.1</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Názov</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_Toc93916798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5</w:t>
        </w:r>
        <w:r w:rsidR="00D57307" w:rsidRPr="00400B4E">
          <w:rPr>
            <w:rFonts w:ascii="Arial" w:hAnsi="Arial" w:cs="Arial"/>
            <w:noProof/>
            <w:webHidden/>
            <w:sz w:val="22"/>
            <w:szCs w:val="22"/>
          </w:rPr>
          <w:fldChar w:fldCharType="end"/>
        </w:r>
      </w:hyperlink>
    </w:p>
    <w:p w14:paraId="55E77206" w14:textId="206D2EC1"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799" w:history="1">
        <w:r w:rsidR="00D57307" w:rsidRPr="00400B4E">
          <w:rPr>
            <w:rStyle w:val="Hypertextovprepojenie"/>
            <w:rFonts w:ascii="Arial" w:hAnsi="Arial" w:cs="Arial"/>
            <w:noProof/>
            <w:sz w:val="22"/>
            <w:szCs w:val="22"/>
          </w:rPr>
          <w:t>I.2</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Identifikačné číslo</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_Toc93916799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5</w:t>
        </w:r>
        <w:r w:rsidR="00D57307" w:rsidRPr="00400B4E">
          <w:rPr>
            <w:rFonts w:ascii="Arial" w:hAnsi="Arial" w:cs="Arial"/>
            <w:noProof/>
            <w:webHidden/>
            <w:sz w:val="22"/>
            <w:szCs w:val="22"/>
          </w:rPr>
          <w:fldChar w:fldCharType="end"/>
        </w:r>
      </w:hyperlink>
    </w:p>
    <w:p w14:paraId="2B0E2B38" w14:textId="0A7CC8AB"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00" w:history="1">
        <w:r w:rsidR="00D57307" w:rsidRPr="00400B4E">
          <w:rPr>
            <w:rStyle w:val="Hypertextovprepojenie"/>
            <w:rFonts w:ascii="Arial" w:hAnsi="Arial" w:cs="Arial"/>
            <w:noProof/>
            <w:sz w:val="22"/>
            <w:szCs w:val="22"/>
          </w:rPr>
          <w:t>I.3</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Sídlo</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_Toc93916800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5</w:t>
        </w:r>
        <w:r w:rsidR="00D57307" w:rsidRPr="00400B4E">
          <w:rPr>
            <w:rFonts w:ascii="Arial" w:hAnsi="Arial" w:cs="Arial"/>
            <w:noProof/>
            <w:webHidden/>
            <w:sz w:val="22"/>
            <w:szCs w:val="22"/>
          </w:rPr>
          <w:fldChar w:fldCharType="end"/>
        </w:r>
      </w:hyperlink>
    </w:p>
    <w:p w14:paraId="599CD16B" w14:textId="3BCF3095"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01" w:history="1">
        <w:r w:rsidR="00D57307" w:rsidRPr="00400B4E">
          <w:rPr>
            <w:rStyle w:val="Hypertextovprepojenie"/>
            <w:rFonts w:ascii="Arial" w:hAnsi="Arial" w:cs="Arial"/>
            <w:noProof/>
            <w:sz w:val="22"/>
            <w:szCs w:val="22"/>
          </w:rPr>
          <w:t>I.4</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Meno, priezvisko, adresa, telefónne číslo a iné kontaktné údaje oprávneného zástupcu navrhovateľa</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_Toc93916801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5</w:t>
        </w:r>
        <w:r w:rsidR="00D57307" w:rsidRPr="00400B4E">
          <w:rPr>
            <w:rFonts w:ascii="Arial" w:hAnsi="Arial" w:cs="Arial"/>
            <w:noProof/>
            <w:webHidden/>
            <w:sz w:val="22"/>
            <w:szCs w:val="22"/>
          </w:rPr>
          <w:fldChar w:fldCharType="end"/>
        </w:r>
      </w:hyperlink>
    </w:p>
    <w:p w14:paraId="701ADA0C" w14:textId="6B5109F0"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02" w:history="1">
        <w:r w:rsidR="00D57307" w:rsidRPr="00400B4E">
          <w:rPr>
            <w:rStyle w:val="Hypertextovprepojenie"/>
            <w:rFonts w:ascii="Arial" w:hAnsi="Arial" w:cs="Arial"/>
            <w:noProof/>
            <w:sz w:val="22"/>
            <w:szCs w:val="22"/>
          </w:rPr>
          <w:t>I.5</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Meno, priezvisko, adresa, telefónne číslo a iné kontaktné údaje kontaktnej osoby od ktorej možno dostať relevantné informácie o navrhovanej činnosti a miesto na konzultácie</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_Toc93916802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5</w:t>
        </w:r>
        <w:r w:rsidR="00D57307" w:rsidRPr="00400B4E">
          <w:rPr>
            <w:rFonts w:ascii="Arial" w:hAnsi="Arial" w:cs="Arial"/>
            <w:noProof/>
            <w:webHidden/>
            <w:sz w:val="22"/>
            <w:szCs w:val="22"/>
          </w:rPr>
          <w:fldChar w:fldCharType="end"/>
        </w:r>
      </w:hyperlink>
    </w:p>
    <w:p w14:paraId="512BF8F1" w14:textId="09B88969" w:rsidR="00D57307" w:rsidRPr="00400B4E" w:rsidRDefault="002F0B86">
      <w:pPr>
        <w:pStyle w:val="Obsah1"/>
        <w:rPr>
          <w:rFonts w:eastAsiaTheme="minorEastAsia"/>
          <w:b w:val="0"/>
          <w:bCs w:val="0"/>
          <w:sz w:val="22"/>
          <w:szCs w:val="22"/>
          <w:lang w:eastAsia="sk-SK"/>
        </w:rPr>
      </w:pPr>
      <w:hyperlink w:anchor="_Toc93916803" w:history="1">
        <w:r w:rsidR="00D57307" w:rsidRPr="00400B4E">
          <w:rPr>
            <w:rStyle w:val="Hypertextovprepojenie"/>
            <w:rFonts w:cs="Arial"/>
            <w:sz w:val="22"/>
            <w:szCs w:val="22"/>
          </w:rPr>
          <w:t>II</w:t>
        </w:r>
        <w:r w:rsidR="00D57307" w:rsidRPr="00400B4E">
          <w:rPr>
            <w:rFonts w:eastAsiaTheme="minorEastAsia"/>
            <w:b w:val="0"/>
            <w:bCs w:val="0"/>
            <w:sz w:val="22"/>
            <w:szCs w:val="22"/>
            <w:lang w:eastAsia="sk-SK"/>
          </w:rPr>
          <w:tab/>
        </w:r>
        <w:r w:rsidR="00D57307" w:rsidRPr="00400B4E">
          <w:rPr>
            <w:rStyle w:val="Hypertextovprepojenie"/>
            <w:rFonts w:cs="Arial"/>
            <w:sz w:val="22"/>
            <w:szCs w:val="22"/>
          </w:rPr>
          <w:t>Základné údaje o navrhovanej činnosti</w:t>
        </w:r>
        <w:r w:rsidR="00D57307" w:rsidRPr="00400B4E">
          <w:rPr>
            <w:webHidden/>
            <w:sz w:val="22"/>
            <w:szCs w:val="22"/>
          </w:rPr>
          <w:tab/>
        </w:r>
        <w:r w:rsidR="00D57307" w:rsidRPr="00400B4E">
          <w:rPr>
            <w:webHidden/>
            <w:sz w:val="22"/>
            <w:szCs w:val="22"/>
          </w:rPr>
          <w:fldChar w:fldCharType="begin"/>
        </w:r>
        <w:r w:rsidR="00D57307" w:rsidRPr="00400B4E">
          <w:rPr>
            <w:webHidden/>
            <w:sz w:val="22"/>
            <w:szCs w:val="22"/>
          </w:rPr>
          <w:instrText xml:space="preserve"> PAGEREF _Toc93916803 \h </w:instrText>
        </w:r>
        <w:r w:rsidR="00D57307" w:rsidRPr="00400B4E">
          <w:rPr>
            <w:webHidden/>
            <w:sz w:val="22"/>
            <w:szCs w:val="22"/>
          </w:rPr>
        </w:r>
        <w:r w:rsidR="00D57307" w:rsidRPr="00400B4E">
          <w:rPr>
            <w:webHidden/>
            <w:sz w:val="22"/>
            <w:szCs w:val="22"/>
          </w:rPr>
          <w:fldChar w:fldCharType="separate"/>
        </w:r>
        <w:r w:rsidR="00F17842">
          <w:rPr>
            <w:webHidden/>
            <w:sz w:val="22"/>
            <w:szCs w:val="22"/>
          </w:rPr>
          <w:t>6</w:t>
        </w:r>
        <w:r w:rsidR="00D57307" w:rsidRPr="00400B4E">
          <w:rPr>
            <w:webHidden/>
            <w:sz w:val="22"/>
            <w:szCs w:val="22"/>
          </w:rPr>
          <w:fldChar w:fldCharType="end"/>
        </w:r>
      </w:hyperlink>
    </w:p>
    <w:p w14:paraId="1EFA15B0" w14:textId="45C7493B"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04" w:history="1">
        <w:r w:rsidR="00D57307" w:rsidRPr="00400B4E">
          <w:rPr>
            <w:rStyle w:val="Hypertextovprepojenie"/>
            <w:rFonts w:ascii="Arial" w:hAnsi="Arial" w:cs="Arial"/>
            <w:noProof/>
            <w:sz w:val="22"/>
            <w:szCs w:val="22"/>
          </w:rPr>
          <w:t>II.1</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Názov</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_Toc93916804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6</w:t>
        </w:r>
        <w:r w:rsidR="00D57307" w:rsidRPr="00400B4E">
          <w:rPr>
            <w:rFonts w:ascii="Arial" w:hAnsi="Arial" w:cs="Arial"/>
            <w:noProof/>
            <w:webHidden/>
            <w:sz w:val="22"/>
            <w:szCs w:val="22"/>
          </w:rPr>
          <w:fldChar w:fldCharType="end"/>
        </w:r>
      </w:hyperlink>
    </w:p>
    <w:p w14:paraId="7B1EB622" w14:textId="0CFD7D33"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05" w:history="1">
        <w:r w:rsidR="00D57307" w:rsidRPr="00400B4E">
          <w:rPr>
            <w:rStyle w:val="Hypertextovprepojenie"/>
            <w:rFonts w:ascii="Arial" w:hAnsi="Arial" w:cs="Arial"/>
            <w:noProof/>
            <w:sz w:val="22"/>
            <w:szCs w:val="22"/>
          </w:rPr>
          <w:t>II.2</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Účel</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_Toc93916805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6</w:t>
        </w:r>
        <w:r w:rsidR="00D57307" w:rsidRPr="00400B4E">
          <w:rPr>
            <w:rFonts w:ascii="Arial" w:hAnsi="Arial" w:cs="Arial"/>
            <w:noProof/>
            <w:webHidden/>
            <w:sz w:val="22"/>
            <w:szCs w:val="22"/>
          </w:rPr>
          <w:fldChar w:fldCharType="end"/>
        </w:r>
      </w:hyperlink>
    </w:p>
    <w:p w14:paraId="643E3534" w14:textId="108683E9"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06" w:history="1">
        <w:r w:rsidR="00D57307" w:rsidRPr="00400B4E">
          <w:rPr>
            <w:rStyle w:val="Hypertextovprepojenie"/>
            <w:rFonts w:ascii="Arial" w:hAnsi="Arial" w:cs="Arial"/>
            <w:noProof/>
            <w:sz w:val="22"/>
            <w:szCs w:val="22"/>
          </w:rPr>
          <w:t>II.3</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Užívateľ</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_Toc93916806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6</w:t>
        </w:r>
        <w:r w:rsidR="00D57307" w:rsidRPr="00400B4E">
          <w:rPr>
            <w:rFonts w:ascii="Arial" w:hAnsi="Arial" w:cs="Arial"/>
            <w:noProof/>
            <w:webHidden/>
            <w:sz w:val="22"/>
            <w:szCs w:val="22"/>
          </w:rPr>
          <w:fldChar w:fldCharType="end"/>
        </w:r>
      </w:hyperlink>
    </w:p>
    <w:p w14:paraId="418BF9A9" w14:textId="141FA12D"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07" w:history="1">
        <w:r w:rsidR="00D57307" w:rsidRPr="00400B4E">
          <w:rPr>
            <w:rStyle w:val="Hypertextovprepojenie"/>
            <w:rFonts w:ascii="Arial" w:hAnsi="Arial" w:cs="Arial"/>
            <w:noProof/>
            <w:sz w:val="22"/>
            <w:szCs w:val="22"/>
          </w:rPr>
          <w:t>II.4</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Charakter navrhovanej činnosti</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_Toc93916807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6</w:t>
        </w:r>
        <w:r w:rsidR="00D57307" w:rsidRPr="00400B4E">
          <w:rPr>
            <w:rFonts w:ascii="Arial" w:hAnsi="Arial" w:cs="Arial"/>
            <w:noProof/>
            <w:webHidden/>
            <w:sz w:val="22"/>
            <w:szCs w:val="22"/>
          </w:rPr>
          <w:fldChar w:fldCharType="end"/>
        </w:r>
      </w:hyperlink>
    </w:p>
    <w:p w14:paraId="31F5A635" w14:textId="1A2DA0E5"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08" w:history="1">
        <w:r w:rsidR="00D57307" w:rsidRPr="00400B4E">
          <w:rPr>
            <w:rStyle w:val="Hypertextovprepojenie"/>
            <w:rFonts w:ascii="Arial" w:hAnsi="Arial" w:cs="Arial"/>
            <w:noProof/>
            <w:sz w:val="22"/>
            <w:szCs w:val="22"/>
          </w:rPr>
          <w:t>II.5</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Umie</w:t>
        </w:r>
        <w:r w:rsidR="0063644A">
          <w:rPr>
            <w:rStyle w:val="Hypertextovprepojenie"/>
            <w:rFonts w:ascii="Arial" w:hAnsi="Arial" w:cs="Arial"/>
            <w:noProof/>
            <w:sz w:val="22"/>
            <w:szCs w:val="22"/>
          </w:rPr>
          <w:t xml:space="preserve"> </w:t>
        </w:r>
        <w:r w:rsidR="00D57307" w:rsidRPr="00400B4E">
          <w:rPr>
            <w:rStyle w:val="Hypertextovprepojenie"/>
            <w:rFonts w:ascii="Arial" w:hAnsi="Arial" w:cs="Arial"/>
            <w:noProof/>
            <w:sz w:val="22"/>
            <w:szCs w:val="22"/>
          </w:rPr>
          <w:t>stnenie navrhovanej činnosti</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_Toc93916808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8</w:t>
        </w:r>
        <w:r w:rsidR="00D57307" w:rsidRPr="00400B4E">
          <w:rPr>
            <w:rFonts w:ascii="Arial" w:hAnsi="Arial" w:cs="Arial"/>
            <w:noProof/>
            <w:webHidden/>
            <w:sz w:val="22"/>
            <w:szCs w:val="22"/>
          </w:rPr>
          <w:fldChar w:fldCharType="end"/>
        </w:r>
      </w:hyperlink>
    </w:p>
    <w:p w14:paraId="37F6029E" w14:textId="1582E63E"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09" w:history="1">
        <w:r w:rsidR="00D57307" w:rsidRPr="00400B4E">
          <w:rPr>
            <w:rStyle w:val="Hypertextovprepojenie"/>
            <w:rFonts w:ascii="Arial" w:hAnsi="Arial" w:cs="Arial"/>
            <w:noProof/>
            <w:sz w:val="22"/>
            <w:szCs w:val="22"/>
          </w:rPr>
          <w:t>II.6</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Prehľadná situácia umiestnenia navrhovanej stavby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_Toc93916809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8</w:t>
        </w:r>
        <w:r w:rsidR="00D57307" w:rsidRPr="00400B4E">
          <w:rPr>
            <w:rFonts w:ascii="Arial" w:hAnsi="Arial" w:cs="Arial"/>
            <w:noProof/>
            <w:webHidden/>
            <w:sz w:val="22"/>
            <w:szCs w:val="22"/>
          </w:rPr>
          <w:fldChar w:fldCharType="end"/>
        </w:r>
      </w:hyperlink>
    </w:p>
    <w:p w14:paraId="73CF262F" w14:textId="560AFC6A"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10" w:history="1">
        <w:r w:rsidR="00D57307" w:rsidRPr="00400B4E">
          <w:rPr>
            <w:rStyle w:val="Hypertextovprepojenie"/>
            <w:rFonts w:ascii="Arial" w:hAnsi="Arial" w:cs="Arial"/>
            <w:noProof/>
            <w:sz w:val="22"/>
            <w:szCs w:val="22"/>
          </w:rPr>
          <w:t>II.7</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Termíny začatia a skončenia výstavby a prevádzky navrhovanej činnosti</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_Toc93916810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8</w:t>
        </w:r>
        <w:r w:rsidR="00D57307" w:rsidRPr="00400B4E">
          <w:rPr>
            <w:rFonts w:ascii="Arial" w:hAnsi="Arial" w:cs="Arial"/>
            <w:noProof/>
            <w:webHidden/>
            <w:sz w:val="22"/>
            <w:szCs w:val="22"/>
          </w:rPr>
          <w:fldChar w:fldCharType="end"/>
        </w:r>
      </w:hyperlink>
    </w:p>
    <w:p w14:paraId="6CF8E184" w14:textId="6877407C"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11" w:history="1">
        <w:r w:rsidR="00D57307" w:rsidRPr="00400B4E">
          <w:rPr>
            <w:rStyle w:val="Hypertextovprepojenie"/>
            <w:rFonts w:ascii="Arial" w:hAnsi="Arial" w:cs="Arial"/>
            <w:noProof/>
            <w:sz w:val="22"/>
            <w:szCs w:val="22"/>
          </w:rPr>
          <w:t>II.8</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Opis technického a technologického riešenia</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_Toc93916811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9</w:t>
        </w:r>
        <w:r w:rsidR="00D57307" w:rsidRPr="00400B4E">
          <w:rPr>
            <w:rFonts w:ascii="Arial" w:hAnsi="Arial" w:cs="Arial"/>
            <w:noProof/>
            <w:webHidden/>
            <w:sz w:val="22"/>
            <w:szCs w:val="22"/>
          </w:rPr>
          <w:fldChar w:fldCharType="end"/>
        </w:r>
      </w:hyperlink>
    </w:p>
    <w:p w14:paraId="22F07C51" w14:textId="70648569"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12" w:history="1">
        <w:r w:rsidR="00D57307" w:rsidRPr="00400B4E">
          <w:rPr>
            <w:rStyle w:val="Hypertextovprepojenie"/>
            <w:rFonts w:ascii="Arial" w:hAnsi="Arial" w:cs="Arial"/>
            <w:noProof/>
            <w:sz w:val="22"/>
            <w:szCs w:val="22"/>
          </w:rPr>
          <w:t>II.8.1</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Opis súčasného stavu</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_Toc93916812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9</w:t>
        </w:r>
        <w:r w:rsidR="00D57307" w:rsidRPr="00400B4E">
          <w:rPr>
            <w:rFonts w:ascii="Arial" w:hAnsi="Arial" w:cs="Arial"/>
            <w:noProof/>
            <w:webHidden/>
            <w:sz w:val="22"/>
            <w:szCs w:val="22"/>
          </w:rPr>
          <w:fldChar w:fldCharType="end"/>
        </w:r>
      </w:hyperlink>
    </w:p>
    <w:p w14:paraId="7EDDF089" w14:textId="652048A7"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13" w:history="1">
        <w:r w:rsidR="00D57307" w:rsidRPr="00400B4E">
          <w:rPr>
            <w:rStyle w:val="Hypertextovprepojenie"/>
            <w:rFonts w:ascii="Arial" w:hAnsi="Arial" w:cs="Arial"/>
            <w:noProof/>
            <w:sz w:val="22"/>
            <w:szCs w:val="22"/>
          </w:rPr>
          <w:t>II.8.2</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Navrhované varianty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_Toc93916813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9</w:t>
        </w:r>
        <w:r w:rsidR="00D57307" w:rsidRPr="00400B4E">
          <w:rPr>
            <w:rFonts w:ascii="Arial" w:hAnsi="Arial" w:cs="Arial"/>
            <w:noProof/>
            <w:webHidden/>
            <w:sz w:val="22"/>
            <w:szCs w:val="22"/>
          </w:rPr>
          <w:fldChar w:fldCharType="end"/>
        </w:r>
      </w:hyperlink>
    </w:p>
    <w:p w14:paraId="2361B20E" w14:textId="0ADF9230"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14" w:history="1">
        <w:r w:rsidR="00D57307" w:rsidRPr="00400B4E">
          <w:rPr>
            <w:rStyle w:val="Hypertextovprepojenie"/>
            <w:rFonts w:ascii="Arial" w:hAnsi="Arial" w:cs="Arial"/>
            <w:noProof/>
            <w:sz w:val="22"/>
            <w:szCs w:val="22"/>
          </w:rPr>
          <w:t>II.8.3</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Dopravné riešenie</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_Toc93916814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33</w:t>
        </w:r>
        <w:r w:rsidR="00D57307" w:rsidRPr="00400B4E">
          <w:rPr>
            <w:rFonts w:ascii="Arial" w:hAnsi="Arial" w:cs="Arial"/>
            <w:noProof/>
            <w:webHidden/>
            <w:sz w:val="22"/>
            <w:szCs w:val="22"/>
          </w:rPr>
          <w:fldChar w:fldCharType="end"/>
        </w:r>
      </w:hyperlink>
    </w:p>
    <w:p w14:paraId="75F88758" w14:textId="6A0B8A65"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15" w:history="1">
        <w:r w:rsidR="00D57307" w:rsidRPr="00400B4E">
          <w:rPr>
            <w:rStyle w:val="Hypertextovprepojenie"/>
            <w:rFonts w:ascii="Arial" w:hAnsi="Arial" w:cs="Arial"/>
            <w:noProof/>
            <w:sz w:val="22"/>
            <w:szCs w:val="22"/>
          </w:rPr>
          <w:t>II.9</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Zdôvodnenie potreby navrhovanej činnosti v danej lokalite</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_Toc93916815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39</w:t>
        </w:r>
        <w:r w:rsidR="00D57307" w:rsidRPr="00400B4E">
          <w:rPr>
            <w:rFonts w:ascii="Arial" w:hAnsi="Arial" w:cs="Arial"/>
            <w:noProof/>
            <w:webHidden/>
            <w:sz w:val="22"/>
            <w:szCs w:val="22"/>
          </w:rPr>
          <w:fldChar w:fldCharType="end"/>
        </w:r>
      </w:hyperlink>
    </w:p>
    <w:p w14:paraId="5A6D2704" w14:textId="5DB2CA64"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16" w:history="1">
        <w:r w:rsidR="00D57307" w:rsidRPr="00400B4E">
          <w:rPr>
            <w:rStyle w:val="Hypertextovprepojenie"/>
            <w:rFonts w:ascii="Arial" w:hAnsi="Arial" w:cs="Arial"/>
            <w:noProof/>
            <w:sz w:val="22"/>
            <w:szCs w:val="22"/>
          </w:rPr>
          <w:t>II.10</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Celkové náklady (orientačné)</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_Toc93916816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39</w:t>
        </w:r>
        <w:r w:rsidR="00D57307" w:rsidRPr="00400B4E">
          <w:rPr>
            <w:rFonts w:ascii="Arial" w:hAnsi="Arial" w:cs="Arial"/>
            <w:noProof/>
            <w:webHidden/>
            <w:sz w:val="22"/>
            <w:szCs w:val="22"/>
          </w:rPr>
          <w:fldChar w:fldCharType="end"/>
        </w:r>
      </w:hyperlink>
    </w:p>
    <w:p w14:paraId="287E9B99" w14:textId="5DAA2D74"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17" w:history="1">
        <w:r w:rsidR="00D57307" w:rsidRPr="00400B4E">
          <w:rPr>
            <w:rStyle w:val="Hypertextovprepojenie"/>
            <w:rFonts w:ascii="Arial" w:hAnsi="Arial" w:cs="Arial"/>
            <w:noProof/>
            <w:sz w:val="22"/>
            <w:szCs w:val="22"/>
          </w:rPr>
          <w:t>II.11</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Dotknutá obec</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_Toc93916817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39</w:t>
        </w:r>
        <w:r w:rsidR="00D57307" w:rsidRPr="00400B4E">
          <w:rPr>
            <w:rFonts w:ascii="Arial" w:hAnsi="Arial" w:cs="Arial"/>
            <w:noProof/>
            <w:webHidden/>
            <w:sz w:val="22"/>
            <w:szCs w:val="22"/>
          </w:rPr>
          <w:fldChar w:fldCharType="end"/>
        </w:r>
      </w:hyperlink>
    </w:p>
    <w:p w14:paraId="1C23F994" w14:textId="359D7223"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18" w:history="1">
        <w:r w:rsidR="00D57307" w:rsidRPr="00400B4E">
          <w:rPr>
            <w:rStyle w:val="Hypertextovprepojenie"/>
            <w:rFonts w:ascii="Arial" w:hAnsi="Arial" w:cs="Arial"/>
            <w:noProof/>
            <w:sz w:val="22"/>
            <w:szCs w:val="22"/>
          </w:rPr>
          <w:t>II.12</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Dotknutý samosprávny kraj</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_Toc93916818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39</w:t>
        </w:r>
        <w:r w:rsidR="00D57307" w:rsidRPr="00400B4E">
          <w:rPr>
            <w:rFonts w:ascii="Arial" w:hAnsi="Arial" w:cs="Arial"/>
            <w:noProof/>
            <w:webHidden/>
            <w:sz w:val="22"/>
            <w:szCs w:val="22"/>
          </w:rPr>
          <w:fldChar w:fldCharType="end"/>
        </w:r>
      </w:hyperlink>
    </w:p>
    <w:p w14:paraId="2B2A50B3" w14:textId="02F67FCE"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19" w:history="1">
        <w:r w:rsidR="00D57307" w:rsidRPr="00400B4E">
          <w:rPr>
            <w:rStyle w:val="Hypertextovprepojenie"/>
            <w:rFonts w:ascii="Arial" w:hAnsi="Arial" w:cs="Arial"/>
            <w:noProof/>
            <w:sz w:val="22"/>
            <w:szCs w:val="22"/>
          </w:rPr>
          <w:t>II.13</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Dotknuté orgány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_Toc93916819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39</w:t>
        </w:r>
        <w:r w:rsidR="00D57307" w:rsidRPr="00400B4E">
          <w:rPr>
            <w:rFonts w:ascii="Arial" w:hAnsi="Arial" w:cs="Arial"/>
            <w:noProof/>
            <w:webHidden/>
            <w:sz w:val="22"/>
            <w:szCs w:val="22"/>
          </w:rPr>
          <w:fldChar w:fldCharType="end"/>
        </w:r>
      </w:hyperlink>
    </w:p>
    <w:p w14:paraId="1166A3C5" w14:textId="04413495"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20" w:history="1">
        <w:r w:rsidR="00D57307" w:rsidRPr="00400B4E">
          <w:rPr>
            <w:rStyle w:val="Hypertextovprepojenie"/>
            <w:rFonts w:ascii="Arial" w:hAnsi="Arial" w:cs="Arial"/>
            <w:noProof/>
            <w:sz w:val="22"/>
            <w:szCs w:val="22"/>
          </w:rPr>
          <w:t>II.14</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Povoľujúci orgán</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_Toc93916820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40</w:t>
        </w:r>
        <w:r w:rsidR="00D57307" w:rsidRPr="00400B4E">
          <w:rPr>
            <w:rFonts w:ascii="Arial" w:hAnsi="Arial" w:cs="Arial"/>
            <w:noProof/>
            <w:webHidden/>
            <w:sz w:val="22"/>
            <w:szCs w:val="22"/>
          </w:rPr>
          <w:fldChar w:fldCharType="end"/>
        </w:r>
      </w:hyperlink>
    </w:p>
    <w:p w14:paraId="29A56DA5" w14:textId="70A8890A"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21" w:history="1">
        <w:r w:rsidR="00D57307" w:rsidRPr="00400B4E">
          <w:rPr>
            <w:rStyle w:val="Hypertextovprepojenie"/>
            <w:rFonts w:ascii="Arial" w:hAnsi="Arial" w:cs="Arial"/>
            <w:noProof/>
            <w:sz w:val="22"/>
            <w:szCs w:val="22"/>
          </w:rPr>
          <w:t>II.15</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Rezortný orgán</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_Toc93916821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40</w:t>
        </w:r>
        <w:r w:rsidR="00D57307" w:rsidRPr="00400B4E">
          <w:rPr>
            <w:rFonts w:ascii="Arial" w:hAnsi="Arial" w:cs="Arial"/>
            <w:noProof/>
            <w:webHidden/>
            <w:sz w:val="22"/>
            <w:szCs w:val="22"/>
          </w:rPr>
          <w:fldChar w:fldCharType="end"/>
        </w:r>
      </w:hyperlink>
    </w:p>
    <w:p w14:paraId="4A6C2BCE" w14:textId="2B2EA0AC"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22" w:history="1">
        <w:r w:rsidR="00D57307" w:rsidRPr="00400B4E">
          <w:rPr>
            <w:rStyle w:val="Hypertextovprepojenie"/>
            <w:rFonts w:ascii="Arial" w:hAnsi="Arial" w:cs="Arial"/>
            <w:noProof/>
            <w:sz w:val="22"/>
            <w:szCs w:val="22"/>
          </w:rPr>
          <w:t>II.16</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Druh požadovaného povolenia navrhovanej činnosti podľa osobitných predpisov</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_Toc93916822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40</w:t>
        </w:r>
        <w:r w:rsidR="00D57307" w:rsidRPr="00400B4E">
          <w:rPr>
            <w:rFonts w:ascii="Arial" w:hAnsi="Arial" w:cs="Arial"/>
            <w:noProof/>
            <w:webHidden/>
            <w:sz w:val="22"/>
            <w:szCs w:val="22"/>
          </w:rPr>
          <w:fldChar w:fldCharType="end"/>
        </w:r>
      </w:hyperlink>
    </w:p>
    <w:p w14:paraId="32D96803" w14:textId="6355D318"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23" w:history="1">
        <w:r w:rsidR="00D57307" w:rsidRPr="00400B4E">
          <w:rPr>
            <w:rStyle w:val="Hypertextovprepojenie"/>
            <w:rFonts w:ascii="Arial" w:hAnsi="Arial" w:cs="Arial"/>
            <w:noProof/>
            <w:sz w:val="22"/>
            <w:szCs w:val="22"/>
          </w:rPr>
          <w:t>II.17</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Vyjadrenie o vplyvoch navrhovanej činnosti presahujúcich štátne hranice</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_Toc93916823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41</w:t>
        </w:r>
        <w:r w:rsidR="00D57307" w:rsidRPr="00400B4E">
          <w:rPr>
            <w:rFonts w:ascii="Arial" w:hAnsi="Arial" w:cs="Arial"/>
            <w:noProof/>
            <w:webHidden/>
            <w:sz w:val="22"/>
            <w:szCs w:val="22"/>
          </w:rPr>
          <w:fldChar w:fldCharType="end"/>
        </w:r>
      </w:hyperlink>
    </w:p>
    <w:p w14:paraId="5977FD53" w14:textId="2E7577F8" w:rsidR="00D57307" w:rsidRPr="00400B4E" w:rsidRDefault="002F0B86">
      <w:pPr>
        <w:pStyle w:val="Obsah1"/>
        <w:rPr>
          <w:rFonts w:eastAsiaTheme="minorEastAsia"/>
          <w:b w:val="0"/>
          <w:bCs w:val="0"/>
          <w:sz w:val="22"/>
          <w:szCs w:val="22"/>
          <w:lang w:eastAsia="sk-SK"/>
        </w:rPr>
      </w:pPr>
      <w:hyperlink w:anchor="_Toc93916824" w:history="1">
        <w:r w:rsidR="00D57307" w:rsidRPr="00400B4E">
          <w:rPr>
            <w:rStyle w:val="Hypertextovprepojenie"/>
            <w:rFonts w:cs="Arial"/>
            <w:sz w:val="22"/>
            <w:szCs w:val="22"/>
          </w:rPr>
          <w:t>III</w:t>
        </w:r>
        <w:r w:rsidR="00D57307" w:rsidRPr="00400B4E">
          <w:rPr>
            <w:rFonts w:eastAsiaTheme="minorEastAsia"/>
            <w:b w:val="0"/>
            <w:bCs w:val="0"/>
            <w:sz w:val="22"/>
            <w:szCs w:val="22"/>
            <w:lang w:eastAsia="sk-SK"/>
          </w:rPr>
          <w:tab/>
        </w:r>
        <w:r w:rsidR="00D57307" w:rsidRPr="00400B4E">
          <w:rPr>
            <w:rStyle w:val="Hypertextovprepojenie"/>
            <w:rFonts w:cs="Arial"/>
            <w:sz w:val="22"/>
            <w:szCs w:val="22"/>
          </w:rPr>
          <w:t>Základné  informácie  o súčasnom stave životného prostredia dotknutého územia</w:t>
        </w:r>
        <w:r w:rsidR="00D57307" w:rsidRPr="00400B4E">
          <w:rPr>
            <w:webHidden/>
            <w:sz w:val="22"/>
            <w:szCs w:val="22"/>
          </w:rPr>
          <w:tab/>
        </w:r>
        <w:r w:rsidR="00D57307" w:rsidRPr="00400B4E">
          <w:rPr>
            <w:webHidden/>
            <w:sz w:val="22"/>
            <w:szCs w:val="22"/>
          </w:rPr>
          <w:fldChar w:fldCharType="begin"/>
        </w:r>
        <w:r w:rsidR="00D57307" w:rsidRPr="00400B4E">
          <w:rPr>
            <w:webHidden/>
            <w:sz w:val="22"/>
            <w:szCs w:val="22"/>
          </w:rPr>
          <w:instrText xml:space="preserve"> PAGEREF _Toc93916824 \h </w:instrText>
        </w:r>
        <w:r w:rsidR="00D57307" w:rsidRPr="00400B4E">
          <w:rPr>
            <w:webHidden/>
            <w:sz w:val="22"/>
            <w:szCs w:val="22"/>
          </w:rPr>
        </w:r>
        <w:r w:rsidR="00D57307" w:rsidRPr="00400B4E">
          <w:rPr>
            <w:webHidden/>
            <w:sz w:val="22"/>
            <w:szCs w:val="22"/>
          </w:rPr>
          <w:fldChar w:fldCharType="separate"/>
        </w:r>
        <w:r w:rsidR="00F17842">
          <w:rPr>
            <w:webHidden/>
            <w:sz w:val="22"/>
            <w:szCs w:val="22"/>
          </w:rPr>
          <w:t>42</w:t>
        </w:r>
        <w:r w:rsidR="00D57307" w:rsidRPr="00400B4E">
          <w:rPr>
            <w:webHidden/>
            <w:sz w:val="22"/>
            <w:szCs w:val="22"/>
          </w:rPr>
          <w:fldChar w:fldCharType="end"/>
        </w:r>
      </w:hyperlink>
    </w:p>
    <w:p w14:paraId="6B3E48DE" w14:textId="62A4425C"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25" w:history="1">
        <w:r w:rsidR="00D57307" w:rsidRPr="00400B4E">
          <w:rPr>
            <w:rStyle w:val="Hypertextovprepojenie"/>
            <w:rFonts w:ascii="Arial" w:hAnsi="Arial" w:cs="Arial"/>
            <w:noProof/>
            <w:sz w:val="22"/>
            <w:szCs w:val="22"/>
          </w:rPr>
          <w:t>III.1</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Charakteristika prírodného prostredia vrátane chránených území</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_Toc93916825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42</w:t>
        </w:r>
        <w:r w:rsidR="00D57307" w:rsidRPr="00400B4E">
          <w:rPr>
            <w:rFonts w:ascii="Arial" w:hAnsi="Arial" w:cs="Arial"/>
            <w:noProof/>
            <w:webHidden/>
            <w:sz w:val="22"/>
            <w:szCs w:val="22"/>
          </w:rPr>
          <w:fldChar w:fldCharType="end"/>
        </w:r>
      </w:hyperlink>
    </w:p>
    <w:p w14:paraId="4F7E662E" w14:textId="60654574"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26" w:history="1">
        <w:r w:rsidR="00D57307" w:rsidRPr="00400B4E">
          <w:rPr>
            <w:rStyle w:val="Hypertextovprepojenie"/>
            <w:rFonts w:ascii="Arial" w:hAnsi="Arial" w:cs="Arial"/>
            <w:noProof/>
            <w:sz w:val="22"/>
            <w:szCs w:val="22"/>
          </w:rPr>
          <w:t>III.2</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Krajina, krajinný obraz,  stabilita, ochrana, scenéria</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_Toc93916826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53</w:t>
        </w:r>
        <w:r w:rsidR="00D57307" w:rsidRPr="00400B4E">
          <w:rPr>
            <w:rFonts w:ascii="Arial" w:hAnsi="Arial" w:cs="Arial"/>
            <w:noProof/>
            <w:webHidden/>
            <w:sz w:val="22"/>
            <w:szCs w:val="22"/>
          </w:rPr>
          <w:fldChar w:fldCharType="end"/>
        </w:r>
      </w:hyperlink>
    </w:p>
    <w:p w14:paraId="3F22E487" w14:textId="64DC1762"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27" w:history="1">
        <w:r w:rsidR="00D57307" w:rsidRPr="00400B4E">
          <w:rPr>
            <w:rStyle w:val="Hypertextovprepojenie"/>
            <w:rFonts w:ascii="Arial" w:hAnsi="Arial" w:cs="Arial"/>
            <w:noProof/>
            <w:sz w:val="22"/>
            <w:szCs w:val="22"/>
          </w:rPr>
          <w:t>III.3</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Obyvateľstvo, jeho aktivity, infraštruktúra, kultúrno  historické hodnoty územia.</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_Toc93916827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61</w:t>
        </w:r>
        <w:r w:rsidR="00D57307" w:rsidRPr="00400B4E">
          <w:rPr>
            <w:rFonts w:ascii="Arial" w:hAnsi="Arial" w:cs="Arial"/>
            <w:noProof/>
            <w:webHidden/>
            <w:sz w:val="22"/>
            <w:szCs w:val="22"/>
          </w:rPr>
          <w:fldChar w:fldCharType="end"/>
        </w:r>
      </w:hyperlink>
    </w:p>
    <w:p w14:paraId="38A5E583" w14:textId="62968534"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28" w:history="1">
        <w:r w:rsidR="00D57307" w:rsidRPr="00400B4E">
          <w:rPr>
            <w:rStyle w:val="Hypertextovprepojenie"/>
            <w:rFonts w:ascii="Arial" w:hAnsi="Arial" w:cs="Arial"/>
            <w:noProof/>
            <w:sz w:val="22"/>
            <w:szCs w:val="22"/>
          </w:rPr>
          <w:t>III.3.1</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Obyvateľstvo a jeho aktivity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_Toc93916828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61</w:t>
        </w:r>
        <w:r w:rsidR="00D57307" w:rsidRPr="00400B4E">
          <w:rPr>
            <w:rFonts w:ascii="Arial" w:hAnsi="Arial" w:cs="Arial"/>
            <w:noProof/>
            <w:webHidden/>
            <w:sz w:val="22"/>
            <w:szCs w:val="22"/>
          </w:rPr>
          <w:fldChar w:fldCharType="end"/>
        </w:r>
      </w:hyperlink>
    </w:p>
    <w:p w14:paraId="4F629D98" w14:textId="45EF9224"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29" w:history="1">
        <w:r w:rsidR="00D57307" w:rsidRPr="00400B4E">
          <w:rPr>
            <w:rStyle w:val="Hypertextovprepojenie"/>
            <w:rFonts w:ascii="Arial" w:hAnsi="Arial" w:cs="Arial"/>
            <w:noProof/>
            <w:sz w:val="22"/>
            <w:szCs w:val="22"/>
          </w:rPr>
          <w:t>III.3.2</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Kultúrno-historické hodnoty územia</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_Toc93916829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72</w:t>
        </w:r>
        <w:r w:rsidR="00D57307" w:rsidRPr="00400B4E">
          <w:rPr>
            <w:rFonts w:ascii="Arial" w:hAnsi="Arial" w:cs="Arial"/>
            <w:noProof/>
            <w:webHidden/>
            <w:sz w:val="22"/>
            <w:szCs w:val="22"/>
          </w:rPr>
          <w:fldChar w:fldCharType="end"/>
        </w:r>
      </w:hyperlink>
    </w:p>
    <w:p w14:paraId="1544A33E" w14:textId="59B4CA64"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30" w:history="1">
        <w:r w:rsidR="00D57307" w:rsidRPr="00400B4E">
          <w:rPr>
            <w:rStyle w:val="Hypertextovprepojenie"/>
            <w:rFonts w:ascii="Arial" w:hAnsi="Arial" w:cs="Arial"/>
            <w:noProof/>
            <w:sz w:val="22"/>
            <w:szCs w:val="22"/>
          </w:rPr>
          <w:t>III.4</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Súčasný stav kvality životného prostredia vrátane zdravia</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_Toc93916830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76</w:t>
        </w:r>
        <w:r w:rsidR="00D57307" w:rsidRPr="00400B4E">
          <w:rPr>
            <w:rFonts w:ascii="Arial" w:hAnsi="Arial" w:cs="Arial"/>
            <w:noProof/>
            <w:webHidden/>
            <w:sz w:val="22"/>
            <w:szCs w:val="22"/>
          </w:rPr>
          <w:fldChar w:fldCharType="end"/>
        </w:r>
      </w:hyperlink>
    </w:p>
    <w:p w14:paraId="05373EE5" w14:textId="3447D873" w:rsidR="00D57307" w:rsidRPr="00400B4E" w:rsidRDefault="002F0B86">
      <w:pPr>
        <w:pStyle w:val="Obsah1"/>
        <w:rPr>
          <w:rFonts w:eastAsiaTheme="minorEastAsia"/>
          <w:b w:val="0"/>
          <w:bCs w:val="0"/>
          <w:sz w:val="22"/>
          <w:szCs w:val="22"/>
          <w:lang w:eastAsia="sk-SK"/>
        </w:rPr>
      </w:pPr>
      <w:hyperlink w:anchor="_Toc93916831" w:history="1">
        <w:r w:rsidR="00D57307" w:rsidRPr="00400B4E">
          <w:rPr>
            <w:rStyle w:val="Hypertextovprepojenie"/>
            <w:rFonts w:cs="Arial"/>
            <w:sz w:val="22"/>
            <w:szCs w:val="22"/>
          </w:rPr>
          <w:t>IV</w:t>
        </w:r>
        <w:r w:rsidR="00D57307" w:rsidRPr="00400B4E">
          <w:rPr>
            <w:rFonts w:eastAsiaTheme="minorEastAsia"/>
            <w:b w:val="0"/>
            <w:bCs w:val="0"/>
            <w:sz w:val="22"/>
            <w:szCs w:val="22"/>
            <w:lang w:eastAsia="sk-SK"/>
          </w:rPr>
          <w:tab/>
        </w:r>
        <w:r w:rsidR="00D57307" w:rsidRPr="00400B4E">
          <w:rPr>
            <w:rStyle w:val="Hypertextovprepojenie"/>
            <w:rFonts w:cs="Arial"/>
            <w:sz w:val="22"/>
            <w:szCs w:val="22"/>
          </w:rPr>
          <w:t>Základné údaje o predpokladaných vplyvoch činnosti na životné prostredie a možnostiach opatrení na ich zmiernenie.</w:t>
        </w:r>
        <w:r w:rsidR="00D57307" w:rsidRPr="00400B4E">
          <w:rPr>
            <w:webHidden/>
            <w:sz w:val="22"/>
            <w:szCs w:val="22"/>
          </w:rPr>
          <w:tab/>
        </w:r>
        <w:r w:rsidR="00D57307" w:rsidRPr="00400B4E">
          <w:rPr>
            <w:webHidden/>
            <w:sz w:val="22"/>
            <w:szCs w:val="22"/>
          </w:rPr>
          <w:fldChar w:fldCharType="begin"/>
        </w:r>
        <w:r w:rsidR="00D57307" w:rsidRPr="00400B4E">
          <w:rPr>
            <w:webHidden/>
            <w:sz w:val="22"/>
            <w:szCs w:val="22"/>
          </w:rPr>
          <w:instrText xml:space="preserve"> PAGEREF _Toc93916831 \h </w:instrText>
        </w:r>
        <w:r w:rsidR="00D57307" w:rsidRPr="00400B4E">
          <w:rPr>
            <w:webHidden/>
            <w:sz w:val="22"/>
            <w:szCs w:val="22"/>
          </w:rPr>
        </w:r>
        <w:r w:rsidR="00D57307" w:rsidRPr="00400B4E">
          <w:rPr>
            <w:webHidden/>
            <w:sz w:val="22"/>
            <w:szCs w:val="22"/>
          </w:rPr>
          <w:fldChar w:fldCharType="separate"/>
        </w:r>
        <w:r w:rsidR="00F17842">
          <w:rPr>
            <w:webHidden/>
            <w:sz w:val="22"/>
            <w:szCs w:val="22"/>
          </w:rPr>
          <w:t>90</w:t>
        </w:r>
        <w:r w:rsidR="00D57307" w:rsidRPr="00400B4E">
          <w:rPr>
            <w:webHidden/>
            <w:sz w:val="22"/>
            <w:szCs w:val="22"/>
          </w:rPr>
          <w:fldChar w:fldCharType="end"/>
        </w:r>
      </w:hyperlink>
    </w:p>
    <w:p w14:paraId="3374819A" w14:textId="28E8D0E7"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32" w:history="1">
        <w:r w:rsidR="00D57307" w:rsidRPr="00400B4E">
          <w:rPr>
            <w:rStyle w:val="Hypertextovprepojenie"/>
            <w:rFonts w:ascii="Arial" w:hAnsi="Arial" w:cs="Arial"/>
            <w:noProof/>
            <w:sz w:val="22"/>
            <w:szCs w:val="22"/>
          </w:rPr>
          <w:t>IV.1</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Požiadavky na vstupy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_Toc93916832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91</w:t>
        </w:r>
        <w:r w:rsidR="00D57307" w:rsidRPr="00400B4E">
          <w:rPr>
            <w:rFonts w:ascii="Arial" w:hAnsi="Arial" w:cs="Arial"/>
            <w:noProof/>
            <w:webHidden/>
            <w:sz w:val="22"/>
            <w:szCs w:val="22"/>
          </w:rPr>
          <w:fldChar w:fldCharType="end"/>
        </w:r>
      </w:hyperlink>
    </w:p>
    <w:p w14:paraId="179CC372" w14:textId="353448C2"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33" w:history="1">
        <w:r w:rsidR="00D57307" w:rsidRPr="00400B4E">
          <w:rPr>
            <w:rStyle w:val="Hypertextovprepojenie"/>
            <w:rFonts w:ascii="Arial" w:hAnsi="Arial" w:cs="Arial"/>
            <w:noProof/>
            <w:sz w:val="22"/>
            <w:szCs w:val="22"/>
          </w:rPr>
          <w:t>IV.1.1</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Záber pôdy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_Toc93916833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91</w:t>
        </w:r>
        <w:r w:rsidR="00D57307" w:rsidRPr="00400B4E">
          <w:rPr>
            <w:rFonts w:ascii="Arial" w:hAnsi="Arial" w:cs="Arial"/>
            <w:noProof/>
            <w:webHidden/>
            <w:sz w:val="22"/>
            <w:szCs w:val="22"/>
          </w:rPr>
          <w:fldChar w:fldCharType="end"/>
        </w:r>
      </w:hyperlink>
    </w:p>
    <w:p w14:paraId="74029F5D" w14:textId="454BEA3E"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34" w:history="1">
        <w:r w:rsidR="00D57307" w:rsidRPr="00400B4E">
          <w:rPr>
            <w:rStyle w:val="Hypertextovprepojenie"/>
            <w:rFonts w:ascii="Arial" w:hAnsi="Arial" w:cs="Arial"/>
            <w:noProof/>
            <w:sz w:val="22"/>
            <w:szCs w:val="22"/>
          </w:rPr>
          <w:t>IV.1.2</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Materiálové vstupy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_Toc93916834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91</w:t>
        </w:r>
        <w:r w:rsidR="00D57307" w:rsidRPr="00400B4E">
          <w:rPr>
            <w:rFonts w:ascii="Arial" w:hAnsi="Arial" w:cs="Arial"/>
            <w:noProof/>
            <w:webHidden/>
            <w:sz w:val="22"/>
            <w:szCs w:val="22"/>
          </w:rPr>
          <w:fldChar w:fldCharType="end"/>
        </w:r>
      </w:hyperlink>
    </w:p>
    <w:p w14:paraId="23A8A068" w14:textId="44C0DC22"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35" w:history="1">
        <w:r w:rsidR="00D57307" w:rsidRPr="00400B4E">
          <w:rPr>
            <w:rStyle w:val="Hypertextovprepojenie"/>
            <w:rFonts w:ascii="Arial" w:hAnsi="Arial" w:cs="Arial"/>
            <w:noProof/>
            <w:sz w:val="22"/>
            <w:szCs w:val="22"/>
          </w:rPr>
          <w:t>IV.1.3</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Prevádzková spotreba médií</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_Toc93916835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91</w:t>
        </w:r>
        <w:r w:rsidR="00D57307" w:rsidRPr="00400B4E">
          <w:rPr>
            <w:rFonts w:ascii="Arial" w:hAnsi="Arial" w:cs="Arial"/>
            <w:noProof/>
            <w:webHidden/>
            <w:sz w:val="22"/>
            <w:szCs w:val="22"/>
          </w:rPr>
          <w:fldChar w:fldCharType="end"/>
        </w:r>
      </w:hyperlink>
    </w:p>
    <w:p w14:paraId="171E85BC" w14:textId="1994EF8C"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36" w:history="1">
        <w:r w:rsidR="00D57307" w:rsidRPr="00400B4E">
          <w:rPr>
            <w:rStyle w:val="Hypertextovprepojenie"/>
            <w:rFonts w:ascii="Arial" w:hAnsi="Arial" w:cs="Arial"/>
            <w:noProof/>
            <w:sz w:val="22"/>
            <w:szCs w:val="22"/>
          </w:rPr>
          <w:t>IV.1.4</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Nároky na pracovné sily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_Toc93916836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97</w:t>
        </w:r>
        <w:r w:rsidR="00D57307" w:rsidRPr="00400B4E">
          <w:rPr>
            <w:rFonts w:ascii="Arial" w:hAnsi="Arial" w:cs="Arial"/>
            <w:noProof/>
            <w:webHidden/>
            <w:sz w:val="22"/>
            <w:szCs w:val="22"/>
          </w:rPr>
          <w:fldChar w:fldCharType="end"/>
        </w:r>
      </w:hyperlink>
    </w:p>
    <w:p w14:paraId="08FD2982" w14:textId="552A2845"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37" w:history="1">
        <w:r w:rsidR="00D57307" w:rsidRPr="00400B4E">
          <w:rPr>
            <w:rStyle w:val="Hypertextovprepojenie"/>
            <w:rFonts w:ascii="Arial" w:hAnsi="Arial" w:cs="Arial"/>
            <w:noProof/>
            <w:sz w:val="22"/>
            <w:szCs w:val="22"/>
          </w:rPr>
          <w:t>IV.2</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Údaje o výstupoch</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_Toc93916837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97</w:t>
        </w:r>
        <w:r w:rsidR="00D57307" w:rsidRPr="00400B4E">
          <w:rPr>
            <w:rFonts w:ascii="Arial" w:hAnsi="Arial" w:cs="Arial"/>
            <w:noProof/>
            <w:webHidden/>
            <w:sz w:val="22"/>
            <w:szCs w:val="22"/>
          </w:rPr>
          <w:fldChar w:fldCharType="end"/>
        </w:r>
      </w:hyperlink>
    </w:p>
    <w:p w14:paraId="732E1A25" w14:textId="3BA7EA93"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38" w:history="1">
        <w:r w:rsidR="00D57307" w:rsidRPr="00400B4E">
          <w:rPr>
            <w:rStyle w:val="Hypertextovprepojenie"/>
            <w:rFonts w:ascii="Arial" w:hAnsi="Arial" w:cs="Arial"/>
            <w:noProof/>
            <w:sz w:val="22"/>
            <w:szCs w:val="22"/>
          </w:rPr>
          <w:t>IV.2.1</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Počas výstavby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_Toc93916838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97</w:t>
        </w:r>
        <w:r w:rsidR="00D57307" w:rsidRPr="00400B4E">
          <w:rPr>
            <w:rFonts w:ascii="Arial" w:hAnsi="Arial" w:cs="Arial"/>
            <w:noProof/>
            <w:webHidden/>
            <w:sz w:val="22"/>
            <w:szCs w:val="22"/>
          </w:rPr>
          <w:fldChar w:fldCharType="end"/>
        </w:r>
      </w:hyperlink>
    </w:p>
    <w:p w14:paraId="4AADE6F1" w14:textId="07D1FDEF"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39" w:history="1">
        <w:r w:rsidR="00D57307" w:rsidRPr="00400B4E">
          <w:rPr>
            <w:rStyle w:val="Hypertextovprepojenie"/>
            <w:rFonts w:ascii="Arial" w:hAnsi="Arial" w:cs="Arial"/>
            <w:noProof/>
            <w:sz w:val="22"/>
            <w:szCs w:val="22"/>
          </w:rPr>
          <w:t>IV.2.2</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Počas prevádzky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_Toc93916839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101</w:t>
        </w:r>
        <w:r w:rsidR="00D57307" w:rsidRPr="00400B4E">
          <w:rPr>
            <w:rFonts w:ascii="Arial" w:hAnsi="Arial" w:cs="Arial"/>
            <w:noProof/>
            <w:webHidden/>
            <w:sz w:val="22"/>
            <w:szCs w:val="22"/>
          </w:rPr>
          <w:fldChar w:fldCharType="end"/>
        </w:r>
      </w:hyperlink>
    </w:p>
    <w:p w14:paraId="0C817BCD" w14:textId="1D6C1AFC"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40" w:history="1">
        <w:r w:rsidR="00D57307" w:rsidRPr="00400B4E">
          <w:rPr>
            <w:rStyle w:val="Hypertextovprepojenie"/>
            <w:rFonts w:ascii="Arial" w:hAnsi="Arial" w:cs="Arial"/>
            <w:noProof/>
            <w:sz w:val="22"/>
            <w:szCs w:val="22"/>
          </w:rPr>
          <w:t>IV.2.3</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Iné výstupy počas prevádzky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_Toc93916840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112</w:t>
        </w:r>
        <w:r w:rsidR="00D57307" w:rsidRPr="00400B4E">
          <w:rPr>
            <w:rFonts w:ascii="Arial" w:hAnsi="Arial" w:cs="Arial"/>
            <w:noProof/>
            <w:webHidden/>
            <w:sz w:val="22"/>
            <w:szCs w:val="22"/>
          </w:rPr>
          <w:fldChar w:fldCharType="end"/>
        </w:r>
      </w:hyperlink>
    </w:p>
    <w:p w14:paraId="5E772F8D" w14:textId="4A922C2B"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41" w:history="1">
        <w:r w:rsidR="00D57307" w:rsidRPr="00400B4E">
          <w:rPr>
            <w:rStyle w:val="Hypertextovprepojenie"/>
            <w:rFonts w:ascii="Arial" w:hAnsi="Arial" w:cs="Arial"/>
            <w:noProof/>
            <w:sz w:val="22"/>
            <w:szCs w:val="22"/>
          </w:rPr>
          <w:t>IV.2.4</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Podmieňujúce  investície</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_Toc93916841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113</w:t>
        </w:r>
        <w:r w:rsidR="00D57307" w:rsidRPr="00400B4E">
          <w:rPr>
            <w:rFonts w:ascii="Arial" w:hAnsi="Arial" w:cs="Arial"/>
            <w:noProof/>
            <w:webHidden/>
            <w:sz w:val="22"/>
            <w:szCs w:val="22"/>
          </w:rPr>
          <w:fldChar w:fldCharType="end"/>
        </w:r>
      </w:hyperlink>
    </w:p>
    <w:p w14:paraId="1D682A63" w14:textId="1A43E2E0"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42" w:history="1">
        <w:r w:rsidR="00D57307" w:rsidRPr="00400B4E">
          <w:rPr>
            <w:rStyle w:val="Hypertextovprepojenie"/>
            <w:rFonts w:ascii="Arial" w:hAnsi="Arial" w:cs="Arial"/>
            <w:noProof/>
            <w:sz w:val="22"/>
            <w:szCs w:val="22"/>
          </w:rPr>
          <w:t>IV.3</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Údaje o predpokladaných priamych a nepriamych vplyvoch na životné prostredie</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_Toc93916842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113</w:t>
        </w:r>
        <w:r w:rsidR="00D57307" w:rsidRPr="00400B4E">
          <w:rPr>
            <w:rFonts w:ascii="Arial" w:hAnsi="Arial" w:cs="Arial"/>
            <w:noProof/>
            <w:webHidden/>
            <w:sz w:val="22"/>
            <w:szCs w:val="22"/>
          </w:rPr>
          <w:fldChar w:fldCharType="end"/>
        </w:r>
      </w:hyperlink>
    </w:p>
    <w:p w14:paraId="402EDC99" w14:textId="38C6CE7E"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43" w:history="1">
        <w:r w:rsidR="00D57307" w:rsidRPr="00400B4E">
          <w:rPr>
            <w:rStyle w:val="Hypertextovprepojenie"/>
            <w:rFonts w:ascii="Arial" w:hAnsi="Arial" w:cs="Arial"/>
            <w:noProof/>
            <w:sz w:val="22"/>
            <w:szCs w:val="22"/>
          </w:rPr>
          <w:t>IV.3.1</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Etapa  výstavby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_Toc93916843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113</w:t>
        </w:r>
        <w:r w:rsidR="00D57307" w:rsidRPr="00400B4E">
          <w:rPr>
            <w:rFonts w:ascii="Arial" w:hAnsi="Arial" w:cs="Arial"/>
            <w:noProof/>
            <w:webHidden/>
            <w:sz w:val="22"/>
            <w:szCs w:val="22"/>
          </w:rPr>
          <w:fldChar w:fldCharType="end"/>
        </w:r>
      </w:hyperlink>
    </w:p>
    <w:p w14:paraId="60D1C21B" w14:textId="34A147FB"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44" w:history="1">
        <w:r w:rsidR="00D57307" w:rsidRPr="00400B4E">
          <w:rPr>
            <w:rStyle w:val="Hypertextovprepojenie"/>
            <w:rFonts w:ascii="Arial" w:hAnsi="Arial" w:cs="Arial"/>
            <w:noProof/>
            <w:sz w:val="22"/>
            <w:szCs w:val="22"/>
          </w:rPr>
          <w:t>IV.3.2</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Etapa  prevádzky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_Toc93916844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115</w:t>
        </w:r>
        <w:r w:rsidR="00D57307" w:rsidRPr="00400B4E">
          <w:rPr>
            <w:rFonts w:ascii="Arial" w:hAnsi="Arial" w:cs="Arial"/>
            <w:noProof/>
            <w:webHidden/>
            <w:sz w:val="22"/>
            <w:szCs w:val="22"/>
          </w:rPr>
          <w:fldChar w:fldCharType="end"/>
        </w:r>
      </w:hyperlink>
    </w:p>
    <w:p w14:paraId="6A106E8E" w14:textId="53F6B5EF"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45" w:history="1">
        <w:r w:rsidR="00D57307" w:rsidRPr="00400B4E">
          <w:rPr>
            <w:rStyle w:val="Hypertextovprepojenie"/>
            <w:rFonts w:ascii="Arial" w:hAnsi="Arial" w:cs="Arial"/>
            <w:noProof/>
            <w:sz w:val="22"/>
            <w:szCs w:val="22"/>
          </w:rPr>
          <w:t>IV.4</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Hodnotenie zdravotných rizík</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_Toc93916845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123</w:t>
        </w:r>
        <w:r w:rsidR="00D57307" w:rsidRPr="00400B4E">
          <w:rPr>
            <w:rFonts w:ascii="Arial" w:hAnsi="Arial" w:cs="Arial"/>
            <w:noProof/>
            <w:webHidden/>
            <w:sz w:val="22"/>
            <w:szCs w:val="22"/>
          </w:rPr>
          <w:fldChar w:fldCharType="end"/>
        </w:r>
      </w:hyperlink>
    </w:p>
    <w:p w14:paraId="136E3B3E" w14:textId="5028CD25"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46" w:history="1">
        <w:r w:rsidR="00D57307" w:rsidRPr="00400B4E">
          <w:rPr>
            <w:rStyle w:val="Hypertextovprepojenie"/>
            <w:rFonts w:ascii="Arial" w:hAnsi="Arial" w:cs="Arial"/>
            <w:noProof/>
            <w:sz w:val="22"/>
            <w:szCs w:val="22"/>
          </w:rPr>
          <w:t>IV.4.1</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Riziká počas výstavby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_Toc93916846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123</w:t>
        </w:r>
        <w:r w:rsidR="00D57307" w:rsidRPr="00400B4E">
          <w:rPr>
            <w:rFonts w:ascii="Arial" w:hAnsi="Arial" w:cs="Arial"/>
            <w:noProof/>
            <w:webHidden/>
            <w:sz w:val="22"/>
            <w:szCs w:val="22"/>
          </w:rPr>
          <w:fldChar w:fldCharType="end"/>
        </w:r>
      </w:hyperlink>
    </w:p>
    <w:p w14:paraId="06E38475" w14:textId="2F8D91AA"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47" w:history="1">
        <w:r w:rsidR="00D57307" w:rsidRPr="00400B4E">
          <w:rPr>
            <w:rStyle w:val="Hypertextovprepojenie"/>
            <w:rFonts w:ascii="Arial" w:hAnsi="Arial" w:cs="Arial"/>
            <w:noProof/>
            <w:sz w:val="22"/>
            <w:szCs w:val="22"/>
          </w:rPr>
          <w:t>IV.4.2</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Riziká počas prevádzky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_Toc93916847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124</w:t>
        </w:r>
        <w:r w:rsidR="00D57307" w:rsidRPr="00400B4E">
          <w:rPr>
            <w:rFonts w:ascii="Arial" w:hAnsi="Arial" w:cs="Arial"/>
            <w:noProof/>
            <w:webHidden/>
            <w:sz w:val="22"/>
            <w:szCs w:val="22"/>
          </w:rPr>
          <w:fldChar w:fldCharType="end"/>
        </w:r>
      </w:hyperlink>
    </w:p>
    <w:p w14:paraId="615D2231" w14:textId="2F0EFC5B"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48" w:history="1">
        <w:r w:rsidR="00D57307" w:rsidRPr="00400B4E">
          <w:rPr>
            <w:rStyle w:val="Hypertextovprepojenie"/>
            <w:rFonts w:ascii="Arial" w:hAnsi="Arial" w:cs="Arial"/>
            <w:noProof/>
            <w:sz w:val="22"/>
            <w:szCs w:val="22"/>
          </w:rPr>
          <w:t>IV.5</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Údaje o predpokladaných vplyvoch navrhovanej činnosti na biodiverzitu a chránené územia</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_Toc93916848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125</w:t>
        </w:r>
        <w:r w:rsidR="00D57307" w:rsidRPr="00400B4E">
          <w:rPr>
            <w:rFonts w:ascii="Arial" w:hAnsi="Arial" w:cs="Arial"/>
            <w:noProof/>
            <w:webHidden/>
            <w:sz w:val="22"/>
            <w:szCs w:val="22"/>
          </w:rPr>
          <w:fldChar w:fldCharType="end"/>
        </w:r>
      </w:hyperlink>
    </w:p>
    <w:p w14:paraId="4CF599A7" w14:textId="642F48F7"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49" w:history="1">
        <w:r w:rsidR="00D57307" w:rsidRPr="00400B4E">
          <w:rPr>
            <w:rStyle w:val="Hypertextovprepojenie"/>
            <w:rFonts w:ascii="Arial" w:hAnsi="Arial" w:cs="Arial"/>
            <w:noProof/>
            <w:sz w:val="22"/>
            <w:szCs w:val="22"/>
          </w:rPr>
          <w:t>IV.6</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Posúdenie očakávaných vplyvov z hľadiska ich významnosti a časového priebehu pôsobenia</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_Toc93916849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126</w:t>
        </w:r>
        <w:r w:rsidR="00D57307" w:rsidRPr="00400B4E">
          <w:rPr>
            <w:rFonts w:ascii="Arial" w:hAnsi="Arial" w:cs="Arial"/>
            <w:noProof/>
            <w:webHidden/>
            <w:sz w:val="22"/>
            <w:szCs w:val="22"/>
          </w:rPr>
          <w:fldChar w:fldCharType="end"/>
        </w:r>
      </w:hyperlink>
    </w:p>
    <w:p w14:paraId="05146C12" w14:textId="2DFEF092"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50" w:history="1">
        <w:r w:rsidR="00D57307" w:rsidRPr="00400B4E">
          <w:rPr>
            <w:rStyle w:val="Hypertextovprepojenie"/>
            <w:rFonts w:ascii="Arial" w:hAnsi="Arial" w:cs="Arial"/>
            <w:noProof/>
            <w:sz w:val="22"/>
            <w:szCs w:val="22"/>
          </w:rPr>
          <w:t>IV.7</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Predpokladaný vplyv presahujúci štátne hranice</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_Toc93916850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129</w:t>
        </w:r>
        <w:r w:rsidR="00D57307" w:rsidRPr="00400B4E">
          <w:rPr>
            <w:rFonts w:ascii="Arial" w:hAnsi="Arial" w:cs="Arial"/>
            <w:noProof/>
            <w:webHidden/>
            <w:sz w:val="22"/>
            <w:szCs w:val="22"/>
          </w:rPr>
          <w:fldChar w:fldCharType="end"/>
        </w:r>
      </w:hyperlink>
    </w:p>
    <w:p w14:paraId="7B829E31" w14:textId="0346C577"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51" w:history="1">
        <w:r w:rsidR="00D57307" w:rsidRPr="00400B4E">
          <w:rPr>
            <w:rStyle w:val="Hypertextovprepojenie"/>
            <w:rFonts w:ascii="Arial" w:hAnsi="Arial" w:cs="Arial"/>
            <w:noProof/>
            <w:sz w:val="22"/>
            <w:szCs w:val="22"/>
          </w:rPr>
          <w:t>IV.8</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Vyvolané súvislosti, ktoré môžu spôsobiť vplyvy  s prihliadnutím na súčasný stav životného prostredia v dotknutom území</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_Toc93916851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129</w:t>
        </w:r>
        <w:r w:rsidR="00D57307" w:rsidRPr="00400B4E">
          <w:rPr>
            <w:rFonts w:ascii="Arial" w:hAnsi="Arial" w:cs="Arial"/>
            <w:noProof/>
            <w:webHidden/>
            <w:sz w:val="22"/>
            <w:szCs w:val="22"/>
          </w:rPr>
          <w:fldChar w:fldCharType="end"/>
        </w:r>
      </w:hyperlink>
    </w:p>
    <w:p w14:paraId="5CFBABB8" w14:textId="4AB60353"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52" w:history="1">
        <w:r w:rsidR="00D57307" w:rsidRPr="00400B4E">
          <w:rPr>
            <w:rStyle w:val="Hypertextovprepojenie"/>
            <w:rFonts w:ascii="Arial" w:hAnsi="Arial" w:cs="Arial"/>
            <w:noProof/>
            <w:sz w:val="22"/>
            <w:szCs w:val="22"/>
          </w:rPr>
          <w:t>IV.9</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Ďalšie možné riziká spojené s realizáciou navrhovanej činnosti</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_Toc93916852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129</w:t>
        </w:r>
        <w:r w:rsidR="00D57307" w:rsidRPr="00400B4E">
          <w:rPr>
            <w:rFonts w:ascii="Arial" w:hAnsi="Arial" w:cs="Arial"/>
            <w:noProof/>
            <w:webHidden/>
            <w:sz w:val="22"/>
            <w:szCs w:val="22"/>
          </w:rPr>
          <w:fldChar w:fldCharType="end"/>
        </w:r>
      </w:hyperlink>
    </w:p>
    <w:p w14:paraId="3DF79DAA" w14:textId="7A66214C"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53" w:history="1">
        <w:r w:rsidR="00D57307" w:rsidRPr="00400B4E">
          <w:rPr>
            <w:rStyle w:val="Hypertextovprepojenie"/>
            <w:rFonts w:ascii="Arial" w:hAnsi="Arial" w:cs="Arial"/>
            <w:noProof/>
            <w:sz w:val="22"/>
            <w:szCs w:val="22"/>
          </w:rPr>
          <w:t>IV.9.1</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Riziká počas výstavby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_Toc93916853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129</w:t>
        </w:r>
        <w:r w:rsidR="00D57307" w:rsidRPr="00400B4E">
          <w:rPr>
            <w:rFonts w:ascii="Arial" w:hAnsi="Arial" w:cs="Arial"/>
            <w:noProof/>
            <w:webHidden/>
            <w:sz w:val="22"/>
            <w:szCs w:val="22"/>
          </w:rPr>
          <w:fldChar w:fldCharType="end"/>
        </w:r>
      </w:hyperlink>
    </w:p>
    <w:p w14:paraId="5F686B35" w14:textId="2E1F21BA"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54" w:history="1">
        <w:r w:rsidR="00D57307" w:rsidRPr="00400B4E">
          <w:rPr>
            <w:rStyle w:val="Hypertextovprepojenie"/>
            <w:rFonts w:ascii="Arial" w:hAnsi="Arial" w:cs="Arial"/>
            <w:noProof/>
            <w:sz w:val="22"/>
            <w:szCs w:val="22"/>
          </w:rPr>
          <w:t>IV.9.2</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Riziká počas prevádzky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_Toc93916854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129</w:t>
        </w:r>
        <w:r w:rsidR="00D57307" w:rsidRPr="00400B4E">
          <w:rPr>
            <w:rFonts w:ascii="Arial" w:hAnsi="Arial" w:cs="Arial"/>
            <w:noProof/>
            <w:webHidden/>
            <w:sz w:val="22"/>
            <w:szCs w:val="22"/>
          </w:rPr>
          <w:fldChar w:fldCharType="end"/>
        </w:r>
      </w:hyperlink>
    </w:p>
    <w:p w14:paraId="43E5B209" w14:textId="52826A77" w:rsidR="00D57307" w:rsidRPr="00400B4E" w:rsidRDefault="002F0B86">
      <w:pPr>
        <w:pStyle w:val="Obsah2"/>
        <w:tabs>
          <w:tab w:val="left" w:pos="1000"/>
          <w:tab w:val="right" w:leader="dot" w:pos="9062"/>
        </w:tabs>
        <w:rPr>
          <w:rFonts w:ascii="Arial" w:eastAsiaTheme="minorEastAsia" w:hAnsi="Arial" w:cs="Arial"/>
          <w:i w:val="0"/>
          <w:iCs w:val="0"/>
          <w:noProof/>
          <w:sz w:val="22"/>
          <w:szCs w:val="22"/>
          <w:lang w:eastAsia="sk-SK"/>
        </w:rPr>
      </w:pPr>
      <w:hyperlink w:anchor="_Toc93916855" w:history="1">
        <w:r w:rsidR="00D57307" w:rsidRPr="00400B4E">
          <w:rPr>
            <w:rStyle w:val="Hypertextovprepojenie"/>
            <w:rFonts w:ascii="Arial" w:hAnsi="Arial" w:cs="Arial"/>
            <w:noProof/>
            <w:sz w:val="22"/>
            <w:szCs w:val="22"/>
          </w:rPr>
          <w:t>IV.10</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Opatrenia na zmiernenie nepriaznivých vplyvov jednotlivých variantov navrhovanej činnosti na životné prostredie</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_Toc93916855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130</w:t>
        </w:r>
        <w:r w:rsidR="00D57307" w:rsidRPr="00400B4E">
          <w:rPr>
            <w:rFonts w:ascii="Arial" w:hAnsi="Arial" w:cs="Arial"/>
            <w:noProof/>
            <w:webHidden/>
            <w:sz w:val="22"/>
            <w:szCs w:val="22"/>
          </w:rPr>
          <w:fldChar w:fldCharType="end"/>
        </w:r>
      </w:hyperlink>
    </w:p>
    <w:p w14:paraId="5DEBDEAE" w14:textId="2C6B7378"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56" w:history="1">
        <w:r w:rsidR="00D57307" w:rsidRPr="00400B4E">
          <w:rPr>
            <w:rStyle w:val="Hypertextovprepojenie"/>
            <w:rFonts w:ascii="Arial" w:hAnsi="Arial" w:cs="Arial"/>
            <w:noProof/>
            <w:sz w:val="22"/>
            <w:szCs w:val="22"/>
          </w:rPr>
          <w:t>IV.10.1</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Opatrenia počas investičnej prípravy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_Toc93916856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130</w:t>
        </w:r>
        <w:r w:rsidR="00D57307" w:rsidRPr="00400B4E">
          <w:rPr>
            <w:rFonts w:ascii="Arial" w:hAnsi="Arial" w:cs="Arial"/>
            <w:noProof/>
            <w:webHidden/>
            <w:sz w:val="22"/>
            <w:szCs w:val="22"/>
          </w:rPr>
          <w:fldChar w:fldCharType="end"/>
        </w:r>
      </w:hyperlink>
    </w:p>
    <w:p w14:paraId="3CCAAA21" w14:textId="06114F98"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57" w:history="1">
        <w:r w:rsidR="00D57307" w:rsidRPr="00400B4E">
          <w:rPr>
            <w:rStyle w:val="Hypertextovprepojenie"/>
            <w:rFonts w:ascii="Arial" w:hAnsi="Arial" w:cs="Arial"/>
            <w:noProof/>
            <w:sz w:val="22"/>
            <w:szCs w:val="22"/>
          </w:rPr>
          <w:t>IV.10.2</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Opatrenia počas výstavby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_Toc93916857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131</w:t>
        </w:r>
        <w:r w:rsidR="00D57307" w:rsidRPr="00400B4E">
          <w:rPr>
            <w:rFonts w:ascii="Arial" w:hAnsi="Arial" w:cs="Arial"/>
            <w:noProof/>
            <w:webHidden/>
            <w:sz w:val="22"/>
            <w:szCs w:val="22"/>
          </w:rPr>
          <w:fldChar w:fldCharType="end"/>
        </w:r>
      </w:hyperlink>
    </w:p>
    <w:p w14:paraId="45ED8390" w14:textId="344DB727" w:rsidR="00D57307" w:rsidRPr="00400B4E" w:rsidRDefault="002F0B86">
      <w:pPr>
        <w:pStyle w:val="Obsah3"/>
        <w:tabs>
          <w:tab w:val="left" w:pos="1200"/>
          <w:tab w:val="right" w:leader="dot" w:pos="9062"/>
        </w:tabs>
        <w:rPr>
          <w:rFonts w:ascii="Arial" w:eastAsiaTheme="minorEastAsia" w:hAnsi="Arial" w:cs="Arial"/>
          <w:noProof/>
          <w:sz w:val="22"/>
          <w:szCs w:val="22"/>
          <w:lang w:eastAsia="sk-SK"/>
        </w:rPr>
      </w:pPr>
      <w:hyperlink w:anchor="_Toc93916858" w:history="1">
        <w:r w:rsidR="00D57307" w:rsidRPr="00400B4E">
          <w:rPr>
            <w:rStyle w:val="Hypertextovprepojenie"/>
            <w:rFonts w:ascii="Arial" w:hAnsi="Arial" w:cs="Arial"/>
            <w:noProof/>
            <w:sz w:val="22"/>
            <w:szCs w:val="22"/>
          </w:rPr>
          <w:t>IV.10.3</w:t>
        </w:r>
        <w:r w:rsidR="00D57307" w:rsidRPr="00400B4E">
          <w:rPr>
            <w:rFonts w:ascii="Arial" w:eastAsiaTheme="minorEastAsia" w:hAnsi="Arial" w:cs="Arial"/>
            <w:noProof/>
            <w:sz w:val="22"/>
            <w:szCs w:val="22"/>
            <w:lang w:eastAsia="sk-SK"/>
          </w:rPr>
          <w:tab/>
        </w:r>
        <w:r w:rsidR="00D57307" w:rsidRPr="00400B4E">
          <w:rPr>
            <w:rStyle w:val="Hypertextovprepojenie"/>
            <w:rFonts w:ascii="Arial" w:hAnsi="Arial" w:cs="Arial"/>
            <w:noProof/>
            <w:sz w:val="22"/>
            <w:szCs w:val="22"/>
          </w:rPr>
          <w:t>Opatrenia počas prevádzky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_Toc93916858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137</w:t>
        </w:r>
        <w:r w:rsidR="00D57307" w:rsidRPr="00400B4E">
          <w:rPr>
            <w:rFonts w:ascii="Arial" w:hAnsi="Arial" w:cs="Arial"/>
            <w:noProof/>
            <w:webHidden/>
            <w:sz w:val="22"/>
            <w:szCs w:val="22"/>
          </w:rPr>
          <w:fldChar w:fldCharType="end"/>
        </w:r>
      </w:hyperlink>
    </w:p>
    <w:p w14:paraId="43DD0168" w14:textId="2E051E33" w:rsidR="00D57307" w:rsidRPr="00400B4E" w:rsidRDefault="002F0B86">
      <w:pPr>
        <w:pStyle w:val="Obsah2"/>
        <w:tabs>
          <w:tab w:val="left" w:pos="1000"/>
          <w:tab w:val="right" w:leader="dot" w:pos="9062"/>
        </w:tabs>
        <w:rPr>
          <w:rFonts w:ascii="Arial" w:eastAsiaTheme="minorEastAsia" w:hAnsi="Arial" w:cs="Arial"/>
          <w:i w:val="0"/>
          <w:iCs w:val="0"/>
          <w:noProof/>
          <w:sz w:val="22"/>
          <w:szCs w:val="22"/>
          <w:lang w:eastAsia="sk-SK"/>
        </w:rPr>
      </w:pPr>
      <w:hyperlink w:anchor="_Toc93916859" w:history="1">
        <w:r w:rsidR="00D57307" w:rsidRPr="00400B4E">
          <w:rPr>
            <w:rStyle w:val="Hypertextovprepojenie"/>
            <w:rFonts w:ascii="Arial" w:hAnsi="Arial" w:cs="Arial"/>
            <w:noProof/>
            <w:sz w:val="22"/>
            <w:szCs w:val="22"/>
          </w:rPr>
          <w:t>IV.11</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Posúdenie očakávaného vývoja územia, ak by sa činnosť   nerealizovala  -  nulový variant</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_Toc93916859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140</w:t>
        </w:r>
        <w:r w:rsidR="00D57307" w:rsidRPr="00400B4E">
          <w:rPr>
            <w:rFonts w:ascii="Arial" w:hAnsi="Arial" w:cs="Arial"/>
            <w:noProof/>
            <w:webHidden/>
            <w:sz w:val="22"/>
            <w:szCs w:val="22"/>
          </w:rPr>
          <w:fldChar w:fldCharType="end"/>
        </w:r>
      </w:hyperlink>
    </w:p>
    <w:p w14:paraId="108BC14F" w14:textId="42E7AFCF" w:rsidR="00D57307" w:rsidRPr="00400B4E" w:rsidRDefault="002F0B86">
      <w:pPr>
        <w:pStyle w:val="Obsah2"/>
        <w:tabs>
          <w:tab w:val="left" w:pos="1000"/>
          <w:tab w:val="right" w:leader="dot" w:pos="9062"/>
        </w:tabs>
        <w:rPr>
          <w:rFonts w:ascii="Arial" w:eastAsiaTheme="minorEastAsia" w:hAnsi="Arial" w:cs="Arial"/>
          <w:i w:val="0"/>
          <w:iCs w:val="0"/>
          <w:noProof/>
          <w:sz w:val="22"/>
          <w:szCs w:val="22"/>
          <w:lang w:eastAsia="sk-SK"/>
        </w:rPr>
      </w:pPr>
      <w:hyperlink w:anchor="_Toc93916860" w:history="1">
        <w:r w:rsidR="00D57307" w:rsidRPr="00400B4E">
          <w:rPr>
            <w:rStyle w:val="Hypertextovprepojenie"/>
            <w:rFonts w:ascii="Arial" w:hAnsi="Arial" w:cs="Arial"/>
            <w:noProof/>
            <w:sz w:val="22"/>
            <w:szCs w:val="22"/>
          </w:rPr>
          <w:t>IV.12</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Posúdenie súladu činnosti s územno-plánovacou dokumentáciou a ďalšími relevantnými strategickými dokumentmi</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_Toc93916860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140</w:t>
        </w:r>
        <w:r w:rsidR="00D57307" w:rsidRPr="00400B4E">
          <w:rPr>
            <w:rFonts w:ascii="Arial" w:hAnsi="Arial" w:cs="Arial"/>
            <w:noProof/>
            <w:webHidden/>
            <w:sz w:val="22"/>
            <w:szCs w:val="22"/>
          </w:rPr>
          <w:fldChar w:fldCharType="end"/>
        </w:r>
      </w:hyperlink>
    </w:p>
    <w:p w14:paraId="5C83B4F6" w14:textId="2330AFED" w:rsidR="00D57307" w:rsidRPr="00400B4E" w:rsidRDefault="002F0B86">
      <w:pPr>
        <w:pStyle w:val="Obsah2"/>
        <w:tabs>
          <w:tab w:val="left" w:pos="1000"/>
          <w:tab w:val="right" w:leader="dot" w:pos="9062"/>
        </w:tabs>
        <w:rPr>
          <w:rFonts w:ascii="Arial" w:eastAsiaTheme="minorEastAsia" w:hAnsi="Arial" w:cs="Arial"/>
          <w:i w:val="0"/>
          <w:iCs w:val="0"/>
          <w:noProof/>
          <w:sz w:val="22"/>
          <w:szCs w:val="22"/>
          <w:lang w:eastAsia="sk-SK"/>
        </w:rPr>
      </w:pPr>
      <w:hyperlink w:anchor="_Toc93916861" w:history="1">
        <w:r w:rsidR="00D57307" w:rsidRPr="00400B4E">
          <w:rPr>
            <w:rStyle w:val="Hypertextovprepojenie"/>
            <w:rFonts w:ascii="Arial" w:hAnsi="Arial" w:cs="Arial"/>
            <w:noProof/>
            <w:sz w:val="22"/>
            <w:szCs w:val="22"/>
          </w:rPr>
          <w:t>IV.13</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Ďalší postup hodnotenia vplyvov s uvedením najzávažnejších  okruhov problémov</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_Toc93916861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143</w:t>
        </w:r>
        <w:r w:rsidR="00D57307" w:rsidRPr="00400B4E">
          <w:rPr>
            <w:rFonts w:ascii="Arial" w:hAnsi="Arial" w:cs="Arial"/>
            <w:noProof/>
            <w:webHidden/>
            <w:sz w:val="22"/>
            <w:szCs w:val="22"/>
          </w:rPr>
          <w:fldChar w:fldCharType="end"/>
        </w:r>
      </w:hyperlink>
    </w:p>
    <w:p w14:paraId="43C22339" w14:textId="4A50D7A3" w:rsidR="00D57307" w:rsidRPr="00400B4E" w:rsidRDefault="002F0B86">
      <w:pPr>
        <w:pStyle w:val="Obsah1"/>
        <w:rPr>
          <w:rFonts w:eastAsiaTheme="minorEastAsia"/>
          <w:b w:val="0"/>
          <w:bCs w:val="0"/>
          <w:sz w:val="22"/>
          <w:szCs w:val="22"/>
          <w:lang w:eastAsia="sk-SK"/>
        </w:rPr>
      </w:pPr>
      <w:hyperlink w:anchor="_Toc93916862" w:history="1">
        <w:r w:rsidR="00D57307" w:rsidRPr="00400B4E">
          <w:rPr>
            <w:rStyle w:val="Hypertextovprepojenie"/>
            <w:rFonts w:cs="Arial"/>
            <w:sz w:val="22"/>
            <w:szCs w:val="22"/>
          </w:rPr>
          <w:t>V</w:t>
        </w:r>
        <w:r w:rsidR="00D57307" w:rsidRPr="00400B4E">
          <w:rPr>
            <w:rFonts w:eastAsiaTheme="minorEastAsia"/>
            <w:b w:val="0"/>
            <w:bCs w:val="0"/>
            <w:sz w:val="22"/>
            <w:szCs w:val="22"/>
            <w:lang w:eastAsia="sk-SK"/>
          </w:rPr>
          <w:tab/>
        </w:r>
        <w:r w:rsidR="00D57307" w:rsidRPr="00400B4E">
          <w:rPr>
            <w:rStyle w:val="Hypertextovprepojenie"/>
            <w:rFonts w:cs="Arial"/>
            <w:sz w:val="22"/>
            <w:szCs w:val="22"/>
          </w:rPr>
          <w:t>Porovnanie variantov navrhovanej činnosti a návrh optimálneho variantu s prihliadnutím na vplyvy na životné prostredie</w:t>
        </w:r>
        <w:r w:rsidR="00D57307" w:rsidRPr="00400B4E">
          <w:rPr>
            <w:webHidden/>
            <w:sz w:val="22"/>
            <w:szCs w:val="22"/>
          </w:rPr>
          <w:tab/>
        </w:r>
        <w:r w:rsidR="00D57307" w:rsidRPr="00400B4E">
          <w:rPr>
            <w:webHidden/>
            <w:sz w:val="22"/>
            <w:szCs w:val="22"/>
          </w:rPr>
          <w:fldChar w:fldCharType="begin"/>
        </w:r>
        <w:r w:rsidR="00D57307" w:rsidRPr="00400B4E">
          <w:rPr>
            <w:webHidden/>
            <w:sz w:val="22"/>
            <w:szCs w:val="22"/>
          </w:rPr>
          <w:instrText xml:space="preserve"> PAGEREF _Toc93916862 \h </w:instrText>
        </w:r>
        <w:r w:rsidR="00D57307" w:rsidRPr="00400B4E">
          <w:rPr>
            <w:webHidden/>
            <w:sz w:val="22"/>
            <w:szCs w:val="22"/>
          </w:rPr>
        </w:r>
        <w:r w:rsidR="00D57307" w:rsidRPr="00400B4E">
          <w:rPr>
            <w:webHidden/>
            <w:sz w:val="22"/>
            <w:szCs w:val="22"/>
          </w:rPr>
          <w:fldChar w:fldCharType="separate"/>
        </w:r>
        <w:r w:rsidR="00F17842">
          <w:rPr>
            <w:webHidden/>
            <w:sz w:val="22"/>
            <w:szCs w:val="22"/>
          </w:rPr>
          <w:t>145</w:t>
        </w:r>
        <w:r w:rsidR="00D57307" w:rsidRPr="00400B4E">
          <w:rPr>
            <w:webHidden/>
            <w:sz w:val="22"/>
            <w:szCs w:val="22"/>
          </w:rPr>
          <w:fldChar w:fldCharType="end"/>
        </w:r>
      </w:hyperlink>
    </w:p>
    <w:p w14:paraId="09CE2417" w14:textId="7487E007"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63" w:history="1">
        <w:r w:rsidR="00D57307" w:rsidRPr="00400B4E">
          <w:rPr>
            <w:rStyle w:val="Hypertextovprepojenie"/>
            <w:rFonts w:ascii="Arial" w:hAnsi="Arial" w:cs="Arial"/>
            <w:noProof/>
            <w:sz w:val="22"/>
            <w:szCs w:val="22"/>
          </w:rPr>
          <w:t>V.1</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Tvorba súboru kritérií a určenie ich dôležitosti na výber optimálneho variantu</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_Toc93916863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145</w:t>
        </w:r>
        <w:r w:rsidR="00D57307" w:rsidRPr="00400B4E">
          <w:rPr>
            <w:rFonts w:ascii="Arial" w:hAnsi="Arial" w:cs="Arial"/>
            <w:noProof/>
            <w:webHidden/>
            <w:sz w:val="22"/>
            <w:szCs w:val="22"/>
          </w:rPr>
          <w:fldChar w:fldCharType="end"/>
        </w:r>
      </w:hyperlink>
    </w:p>
    <w:p w14:paraId="444B4CCA" w14:textId="711E0F88" w:rsidR="00D57307" w:rsidRPr="00400B4E" w:rsidRDefault="002F0B86">
      <w:pPr>
        <w:pStyle w:val="Obsah2"/>
        <w:tabs>
          <w:tab w:val="right" w:leader="dot" w:pos="9062"/>
        </w:tabs>
        <w:rPr>
          <w:rFonts w:ascii="Arial" w:eastAsiaTheme="minorEastAsia" w:hAnsi="Arial" w:cs="Arial"/>
          <w:i w:val="0"/>
          <w:iCs w:val="0"/>
          <w:noProof/>
          <w:sz w:val="22"/>
          <w:szCs w:val="22"/>
          <w:lang w:eastAsia="sk-SK"/>
        </w:rPr>
      </w:pPr>
      <w:hyperlink w:anchor="_Toc93916864" w:history="1">
        <w:r w:rsidR="00D57307" w:rsidRPr="00400B4E">
          <w:rPr>
            <w:rStyle w:val="Hypertextovprepojenie"/>
            <w:rFonts w:ascii="Arial" w:hAnsi="Arial" w:cs="Arial"/>
            <w:noProof/>
            <w:sz w:val="22"/>
            <w:szCs w:val="22"/>
          </w:rPr>
          <w:t>V.2 Výber optimálneho variantu, alebo stanovenie poradia vhodnosti pre posudzované varianty</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_Toc93916864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148</w:t>
        </w:r>
        <w:r w:rsidR="00D57307" w:rsidRPr="00400B4E">
          <w:rPr>
            <w:rFonts w:ascii="Arial" w:hAnsi="Arial" w:cs="Arial"/>
            <w:noProof/>
            <w:webHidden/>
            <w:sz w:val="22"/>
            <w:szCs w:val="22"/>
          </w:rPr>
          <w:fldChar w:fldCharType="end"/>
        </w:r>
      </w:hyperlink>
    </w:p>
    <w:p w14:paraId="17CDB156" w14:textId="1BDEA74A"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65" w:history="1">
        <w:r w:rsidR="00D57307" w:rsidRPr="00400B4E">
          <w:rPr>
            <w:rStyle w:val="Hypertextovprepojenie"/>
            <w:rFonts w:ascii="Arial" w:hAnsi="Arial" w:cs="Arial"/>
            <w:noProof/>
            <w:sz w:val="22"/>
            <w:szCs w:val="22"/>
          </w:rPr>
          <w:t>V.2</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Zdôvodnenie návrhu optimálneho variantu</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_Toc93916865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150</w:t>
        </w:r>
        <w:r w:rsidR="00D57307" w:rsidRPr="00400B4E">
          <w:rPr>
            <w:rFonts w:ascii="Arial" w:hAnsi="Arial" w:cs="Arial"/>
            <w:noProof/>
            <w:webHidden/>
            <w:sz w:val="22"/>
            <w:szCs w:val="22"/>
          </w:rPr>
          <w:fldChar w:fldCharType="end"/>
        </w:r>
      </w:hyperlink>
    </w:p>
    <w:p w14:paraId="4918DC73" w14:textId="57303815" w:rsidR="00D57307" w:rsidRPr="00400B4E" w:rsidRDefault="002F0B86">
      <w:pPr>
        <w:pStyle w:val="Obsah1"/>
        <w:rPr>
          <w:rFonts w:eastAsiaTheme="minorEastAsia"/>
          <w:b w:val="0"/>
          <w:bCs w:val="0"/>
          <w:sz w:val="22"/>
          <w:szCs w:val="22"/>
          <w:lang w:eastAsia="sk-SK"/>
        </w:rPr>
      </w:pPr>
      <w:hyperlink w:anchor="_Toc93916866" w:history="1">
        <w:r w:rsidR="00D57307" w:rsidRPr="00400B4E">
          <w:rPr>
            <w:rStyle w:val="Hypertextovprepojenie"/>
            <w:rFonts w:cs="Arial"/>
            <w:sz w:val="22"/>
            <w:szCs w:val="22"/>
          </w:rPr>
          <w:t>VI</w:t>
        </w:r>
        <w:r w:rsidR="00D57307" w:rsidRPr="00400B4E">
          <w:rPr>
            <w:rFonts w:eastAsiaTheme="minorEastAsia"/>
            <w:b w:val="0"/>
            <w:bCs w:val="0"/>
            <w:sz w:val="22"/>
            <w:szCs w:val="22"/>
            <w:lang w:eastAsia="sk-SK"/>
          </w:rPr>
          <w:tab/>
        </w:r>
        <w:r w:rsidR="00D57307" w:rsidRPr="00400B4E">
          <w:rPr>
            <w:rStyle w:val="Hypertextovprepojenie"/>
            <w:rFonts w:cs="Arial"/>
            <w:sz w:val="22"/>
            <w:szCs w:val="22"/>
          </w:rPr>
          <w:t>Mapová a iná obrazová dokumentácia</w:t>
        </w:r>
        <w:r w:rsidR="00D57307" w:rsidRPr="00400B4E">
          <w:rPr>
            <w:webHidden/>
            <w:sz w:val="22"/>
            <w:szCs w:val="22"/>
          </w:rPr>
          <w:tab/>
        </w:r>
        <w:r w:rsidR="00D57307" w:rsidRPr="00400B4E">
          <w:rPr>
            <w:webHidden/>
            <w:sz w:val="22"/>
            <w:szCs w:val="22"/>
          </w:rPr>
          <w:fldChar w:fldCharType="begin"/>
        </w:r>
        <w:r w:rsidR="00D57307" w:rsidRPr="00400B4E">
          <w:rPr>
            <w:webHidden/>
            <w:sz w:val="22"/>
            <w:szCs w:val="22"/>
          </w:rPr>
          <w:instrText xml:space="preserve"> PAGEREF _Toc93916866 \h </w:instrText>
        </w:r>
        <w:r w:rsidR="00D57307" w:rsidRPr="00400B4E">
          <w:rPr>
            <w:webHidden/>
            <w:sz w:val="22"/>
            <w:szCs w:val="22"/>
          </w:rPr>
        </w:r>
        <w:r w:rsidR="00D57307" w:rsidRPr="00400B4E">
          <w:rPr>
            <w:webHidden/>
            <w:sz w:val="22"/>
            <w:szCs w:val="22"/>
          </w:rPr>
          <w:fldChar w:fldCharType="separate"/>
        </w:r>
        <w:r w:rsidR="00F17842">
          <w:rPr>
            <w:webHidden/>
            <w:sz w:val="22"/>
            <w:szCs w:val="22"/>
          </w:rPr>
          <w:t>152</w:t>
        </w:r>
        <w:r w:rsidR="00D57307" w:rsidRPr="00400B4E">
          <w:rPr>
            <w:webHidden/>
            <w:sz w:val="22"/>
            <w:szCs w:val="22"/>
          </w:rPr>
          <w:fldChar w:fldCharType="end"/>
        </w:r>
      </w:hyperlink>
    </w:p>
    <w:p w14:paraId="59CE080F" w14:textId="29C51CAF" w:rsidR="00D57307" w:rsidRPr="00400B4E" w:rsidRDefault="002F0B86">
      <w:pPr>
        <w:pStyle w:val="Obsah1"/>
        <w:rPr>
          <w:rFonts w:eastAsiaTheme="minorEastAsia"/>
          <w:b w:val="0"/>
          <w:bCs w:val="0"/>
          <w:sz w:val="22"/>
          <w:szCs w:val="22"/>
          <w:lang w:eastAsia="sk-SK"/>
        </w:rPr>
      </w:pPr>
      <w:hyperlink w:anchor="_Toc93916867" w:history="1">
        <w:r w:rsidR="00D57307" w:rsidRPr="00400B4E">
          <w:rPr>
            <w:rStyle w:val="Hypertextovprepojenie"/>
            <w:rFonts w:cs="Arial"/>
            <w:sz w:val="22"/>
            <w:szCs w:val="22"/>
          </w:rPr>
          <w:t>VII</w:t>
        </w:r>
        <w:r w:rsidR="00D57307" w:rsidRPr="00400B4E">
          <w:rPr>
            <w:rFonts w:eastAsiaTheme="minorEastAsia"/>
            <w:b w:val="0"/>
            <w:bCs w:val="0"/>
            <w:sz w:val="22"/>
            <w:szCs w:val="22"/>
            <w:lang w:eastAsia="sk-SK"/>
          </w:rPr>
          <w:tab/>
        </w:r>
        <w:r w:rsidR="00D57307" w:rsidRPr="00400B4E">
          <w:rPr>
            <w:rStyle w:val="Hypertextovprepojenie"/>
            <w:rFonts w:cs="Arial"/>
            <w:sz w:val="22"/>
            <w:szCs w:val="22"/>
          </w:rPr>
          <w:t>Doplňujúce informácie k zámeru.</w:t>
        </w:r>
        <w:r w:rsidR="00D57307" w:rsidRPr="00400B4E">
          <w:rPr>
            <w:webHidden/>
            <w:sz w:val="22"/>
            <w:szCs w:val="22"/>
          </w:rPr>
          <w:tab/>
        </w:r>
        <w:r w:rsidR="00D57307" w:rsidRPr="00400B4E">
          <w:rPr>
            <w:webHidden/>
            <w:sz w:val="22"/>
            <w:szCs w:val="22"/>
          </w:rPr>
          <w:fldChar w:fldCharType="begin"/>
        </w:r>
        <w:r w:rsidR="00D57307" w:rsidRPr="00400B4E">
          <w:rPr>
            <w:webHidden/>
            <w:sz w:val="22"/>
            <w:szCs w:val="22"/>
          </w:rPr>
          <w:instrText xml:space="preserve"> PAGEREF _Toc93916867 \h </w:instrText>
        </w:r>
        <w:r w:rsidR="00D57307" w:rsidRPr="00400B4E">
          <w:rPr>
            <w:webHidden/>
            <w:sz w:val="22"/>
            <w:szCs w:val="22"/>
          </w:rPr>
        </w:r>
        <w:r w:rsidR="00D57307" w:rsidRPr="00400B4E">
          <w:rPr>
            <w:webHidden/>
            <w:sz w:val="22"/>
            <w:szCs w:val="22"/>
          </w:rPr>
          <w:fldChar w:fldCharType="separate"/>
        </w:r>
        <w:r w:rsidR="00F17842">
          <w:rPr>
            <w:webHidden/>
            <w:sz w:val="22"/>
            <w:szCs w:val="22"/>
          </w:rPr>
          <w:t>152</w:t>
        </w:r>
        <w:r w:rsidR="00D57307" w:rsidRPr="00400B4E">
          <w:rPr>
            <w:webHidden/>
            <w:sz w:val="22"/>
            <w:szCs w:val="22"/>
          </w:rPr>
          <w:fldChar w:fldCharType="end"/>
        </w:r>
      </w:hyperlink>
    </w:p>
    <w:p w14:paraId="501810F3" w14:textId="79592525"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68" w:history="1">
        <w:r w:rsidR="00D57307" w:rsidRPr="00400B4E">
          <w:rPr>
            <w:rStyle w:val="Hypertextovprepojenie"/>
            <w:rFonts w:ascii="Arial" w:hAnsi="Arial" w:cs="Arial"/>
            <w:noProof/>
            <w:sz w:val="22"/>
            <w:szCs w:val="22"/>
          </w:rPr>
          <w:t>VII.1</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Zoznam textovej a grafickej dokumentácie, ktorá sa vypracovala pre zámer a zoznam hlavných použitých materiálov.</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_Toc93916868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152</w:t>
        </w:r>
        <w:r w:rsidR="00D57307" w:rsidRPr="00400B4E">
          <w:rPr>
            <w:rFonts w:ascii="Arial" w:hAnsi="Arial" w:cs="Arial"/>
            <w:noProof/>
            <w:webHidden/>
            <w:sz w:val="22"/>
            <w:szCs w:val="22"/>
          </w:rPr>
          <w:fldChar w:fldCharType="end"/>
        </w:r>
      </w:hyperlink>
    </w:p>
    <w:p w14:paraId="464F0A87" w14:textId="617772D8"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69" w:history="1">
        <w:r w:rsidR="00D57307" w:rsidRPr="00400B4E">
          <w:rPr>
            <w:rStyle w:val="Hypertextovprepojenie"/>
            <w:rFonts w:ascii="Arial" w:hAnsi="Arial" w:cs="Arial"/>
            <w:noProof/>
            <w:sz w:val="22"/>
            <w:szCs w:val="22"/>
          </w:rPr>
          <w:t>VII.2</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Zoznam vyjadrení a stanovísk vyžiadaných k navrhovanej činnosti pred vypracovaním zámeru</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_Toc93916869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154</w:t>
        </w:r>
        <w:r w:rsidR="00D57307" w:rsidRPr="00400B4E">
          <w:rPr>
            <w:rFonts w:ascii="Arial" w:hAnsi="Arial" w:cs="Arial"/>
            <w:noProof/>
            <w:webHidden/>
            <w:sz w:val="22"/>
            <w:szCs w:val="22"/>
          </w:rPr>
          <w:fldChar w:fldCharType="end"/>
        </w:r>
      </w:hyperlink>
    </w:p>
    <w:p w14:paraId="6153A51F" w14:textId="78FB9200"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70" w:history="1">
        <w:r w:rsidR="00D57307" w:rsidRPr="00400B4E">
          <w:rPr>
            <w:rStyle w:val="Hypertextovprepojenie"/>
            <w:rFonts w:ascii="Arial" w:hAnsi="Arial" w:cs="Arial"/>
            <w:noProof/>
            <w:sz w:val="22"/>
            <w:szCs w:val="22"/>
          </w:rPr>
          <w:t>VII.3</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Ďalšie doplňujúce informácie o doterajšom postupe prípravy zámeru a posudzovaní jeho predpokladaných  vplyvov</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_Toc93916870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154</w:t>
        </w:r>
        <w:r w:rsidR="00D57307" w:rsidRPr="00400B4E">
          <w:rPr>
            <w:rFonts w:ascii="Arial" w:hAnsi="Arial" w:cs="Arial"/>
            <w:noProof/>
            <w:webHidden/>
            <w:sz w:val="22"/>
            <w:szCs w:val="22"/>
          </w:rPr>
          <w:fldChar w:fldCharType="end"/>
        </w:r>
      </w:hyperlink>
    </w:p>
    <w:p w14:paraId="60F28C6C" w14:textId="02094B0F" w:rsidR="00D57307" w:rsidRPr="00400B4E" w:rsidRDefault="002F0B86">
      <w:pPr>
        <w:pStyle w:val="Obsah1"/>
        <w:rPr>
          <w:rFonts w:eastAsiaTheme="minorEastAsia"/>
          <w:b w:val="0"/>
          <w:bCs w:val="0"/>
          <w:sz w:val="22"/>
          <w:szCs w:val="22"/>
          <w:lang w:eastAsia="sk-SK"/>
        </w:rPr>
      </w:pPr>
      <w:hyperlink w:anchor="_Toc93916871" w:history="1">
        <w:r w:rsidR="00D57307" w:rsidRPr="00400B4E">
          <w:rPr>
            <w:rStyle w:val="Hypertextovprepojenie"/>
            <w:rFonts w:cs="Arial"/>
            <w:sz w:val="22"/>
            <w:szCs w:val="22"/>
          </w:rPr>
          <w:t>VIII</w:t>
        </w:r>
        <w:r w:rsidR="00D57307" w:rsidRPr="00400B4E">
          <w:rPr>
            <w:rFonts w:eastAsiaTheme="minorEastAsia"/>
            <w:b w:val="0"/>
            <w:bCs w:val="0"/>
            <w:sz w:val="22"/>
            <w:szCs w:val="22"/>
            <w:lang w:eastAsia="sk-SK"/>
          </w:rPr>
          <w:tab/>
        </w:r>
        <w:r w:rsidR="00D57307" w:rsidRPr="00400B4E">
          <w:rPr>
            <w:rStyle w:val="Hypertextovprepojenie"/>
            <w:rFonts w:cs="Arial"/>
            <w:sz w:val="22"/>
            <w:szCs w:val="22"/>
          </w:rPr>
          <w:t>Miesto a dátum vypracovania zámeru</w:t>
        </w:r>
        <w:r w:rsidR="00D57307" w:rsidRPr="00400B4E">
          <w:rPr>
            <w:webHidden/>
            <w:sz w:val="22"/>
            <w:szCs w:val="22"/>
          </w:rPr>
          <w:tab/>
        </w:r>
        <w:r w:rsidR="00D57307" w:rsidRPr="00400B4E">
          <w:rPr>
            <w:webHidden/>
            <w:sz w:val="22"/>
            <w:szCs w:val="22"/>
          </w:rPr>
          <w:fldChar w:fldCharType="begin"/>
        </w:r>
        <w:r w:rsidR="00D57307" w:rsidRPr="00400B4E">
          <w:rPr>
            <w:webHidden/>
            <w:sz w:val="22"/>
            <w:szCs w:val="22"/>
          </w:rPr>
          <w:instrText xml:space="preserve"> PAGEREF _Toc93916871 \h </w:instrText>
        </w:r>
        <w:r w:rsidR="00D57307" w:rsidRPr="00400B4E">
          <w:rPr>
            <w:webHidden/>
            <w:sz w:val="22"/>
            <w:szCs w:val="22"/>
          </w:rPr>
        </w:r>
        <w:r w:rsidR="00D57307" w:rsidRPr="00400B4E">
          <w:rPr>
            <w:webHidden/>
            <w:sz w:val="22"/>
            <w:szCs w:val="22"/>
          </w:rPr>
          <w:fldChar w:fldCharType="separate"/>
        </w:r>
        <w:r w:rsidR="00F17842">
          <w:rPr>
            <w:webHidden/>
            <w:sz w:val="22"/>
            <w:szCs w:val="22"/>
          </w:rPr>
          <w:t>155</w:t>
        </w:r>
        <w:r w:rsidR="00D57307" w:rsidRPr="00400B4E">
          <w:rPr>
            <w:webHidden/>
            <w:sz w:val="22"/>
            <w:szCs w:val="22"/>
          </w:rPr>
          <w:fldChar w:fldCharType="end"/>
        </w:r>
      </w:hyperlink>
    </w:p>
    <w:p w14:paraId="5401F63B" w14:textId="0F3B650C" w:rsidR="00D57307" w:rsidRPr="00400B4E" w:rsidRDefault="002F0B86">
      <w:pPr>
        <w:pStyle w:val="Obsah1"/>
        <w:rPr>
          <w:rFonts w:eastAsiaTheme="minorEastAsia"/>
          <w:b w:val="0"/>
          <w:bCs w:val="0"/>
          <w:sz w:val="22"/>
          <w:szCs w:val="22"/>
          <w:lang w:eastAsia="sk-SK"/>
        </w:rPr>
      </w:pPr>
      <w:hyperlink w:anchor="_Toc93916872" w:history="1">
        <w:r w:rsidR="00D57307" w:rsidRPr="00400B4E">
          <w:rPr>
            <w:rStyle w:val="Hypertextovprepojenie"/>
            <w:rFonts w:cs="Arial"/>
            <w:sz w:val="22"/>
            <w:szCs w:val="22"/>
          </w:rPr>
          <w:t>IX</w:t>
        </w:r>
        <w:r w:rsidR="00D57307" w:rsidRPr="00400B4E">
          <w:rPr>
            <w:rFonts w:eastAsiaTheme="minorEastAsia"/>
            <w:b w:val="0"/>
            <w:bCs w:val="0"/>
            <w:sz w:val="22"/>
            <w:szCs w:val="22"/>
            <w:lang w:eastAsia="sk-SK"/>
          </w:rPr>
          <w:tab/>
        </w:r>
        <w:r w:rsidR="00D57307" w:rsidRPr="00400B4E">
          <w:rPr>
            <w:rStyle w:val="Hypertextovprepojenie"/>
            <w:rFonts w:cs="Arial"/>
            <w:sz w:val="22"/>
            <w:szCs w:val="22"/>
          </w:rPr>
          <w:t>Potvrdenie správnosti údajov</w:t>
        </w:r>
        <w:r w:rsidR="00D57307" w:rsidRPr="00400B4E">
          <w:rPr>
            <w:webHidden/>
            <w:sz w:val="22"/>
            <w:szCs w:val="22"/>
          </w:rPr>
          <w:tab/>
        </w:r>
        <w:r w:rsidR="00D57307" w:rsidRPr="00400B4E">
          <w:rPr>
            <w:webHidden/>
            <w:sz w:val="22"/>
            <w:szCs w:val="22"/>
          </w:rPr>
          <w:fldChar w:fldCharType="begin"/>
        </w:r>
        <w:r w:rsidR="00D57307" w:rsidRPr="00400B4E">
          <w:rPr>
            <w:webHidden/>
            <w:sz w:val="22"/>
            <w:szCs w:val="22"/>
          </w:rPr>
          <w:instrText xml:space="preserve"> PAGEREF _Toc93916872 \h </w:instrText>
        </w:r>
        <w:r w:rsidR="00D57307" w:rsidRPr="00400B4E">
          <w:rPr>
            <w:webHidden/>
            <w:sz w:val="22"/>
            <w:szCs w:val="22"/>
          </w:rPr>
        </w:r>
        <w:r w:rsidR="00D57307" w:rsidRPr="00400B4E">
          <w:rPr>
            <w:webHidden/>
            <w:sz w:val="22"/>
            <w:szCs w:val="22"/>
          </w:rPr>
          <w:fldChar w:fldCharType="separate"/>
        </w:r>
        <w:r w:rsidR="00F17842">
          <w:rPr>
            <w:webHidden/>
            <w:sz w:val="22"/>
            <w:szCs w:val="22"/>
          </w:rPr>
          <w:t>155</w:t>
        </w:r>
        <w:r w:rsidR="00D57307" w:rsidRPr="00400B4E">
          <w:rPr>
            <w:webHidden/>
            <w:sz w:val="22"/>
            <w:szCs w:val="22"/>
          </w:rPr>
          <w:fldChar w:fldCharType="end"/>
        </w:r>
      </w:hyperlink>
    </w:p>
    <w:p w14:paraId="6A501DF5" w14:textId="40CECFCB"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73" w:history="1">
        <w:r w:rsidR="00D57307" w:rsidRPr="00400B4E">
          <w:rPr>
            <w:rStyle w:val="Hypertextovprepojenie"/>
            <w:rFonts w:ascii="Arial" w:hAnsi="Arial" w:cs="Arial"/>
            <w:noProof/>
            <w:sz w:val="22"/>
            <w:szCs w:val="22"/>
          </w:rPr>
          <w:t>IX.1</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Spracovatelia zámeru</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_Toc93916873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155</w:t>
        </w:r>
        <w:r w:rsidR="00D57307" w:rsidRPr="00400B4E">
          <w:rPr>
            <w:rFonts w:ascii="Arial" w:hAnsi="Arial" w:cs="Arial"/>
            <w:noProof/>
            <w:webHidden/>
            <w:sz w:val="22"/>
            <w:szCs w:val="22"/>
          </w:rPr>
          <w:fldChar w:fldCharType="end"/>
        </w:r>
      </w:hyperlink>
    </w:p>
    <w:p w14:paraId="1E9A28C2" w14:textId="6835E532" w:rsidR="00D57307" w:rsidRPr="00400B4E" w:rsidRDefault="002F0B86">
      <w:pPr>
        <w:pStyle w:val="Obsah2"/>
        <w:tabs>
          <w:tab w:val="left" w:pos="800"/>
          <w:tab w:val="right" w:leader="dot" w:pos="9062"/>
        </w:tabs>
        <w:rPr>
          <w:rFonts w:ascii="Arial" w:eastAsiaTheme="minorEastAsia" w:hAnsi="Arial" w:cs="Arial"/>
          <w:i w:val="0"/>
          <w:iCs w:val="0"/>
          <w:noProof/>
          <w:sz w:val="22"/>
          <w:szCs w:val="22"/>
          <w:lang w:eastAsia="sk-SK"/>
        </w:rPr>
      </w:pPr>
      <w:hyperlink w:anchor="_Toc93916874" w:history="1">
        <w:r w:rsidR="00D57307" w:rsidRPr="00400B4E">
          <w:rPr>
            <w:rStyle w:val="Hypertextovprepojenie"/>
            <w:rFonts w:ascii="Arial" w:hAnsi="Arial" w:cs="Arial"/>
            <w:noProof/>
            <w:sz w:val="22"/>
            <w:szCs w:val="22"/>
          </w:rPr>
          <w:t>IX.2</w:t>
        </w:r>
        <w:r w:rsidR="00D57307" w:rsidRPr="00400B4E">
          <w:rPr>
            <w:rFonts w:ascii="Arial" w:eastAsiaTheme="minorEastAsia" w:hAnsi="Arial" w:cs="Arial"/>
            <w:i w:val="0"/>
            <w:iCs w:val="0"/>
            <w:noProof/>
            <w:sz w:val="22"/>
            <w:szCs w:val="22"/>
            <w:lang w:eastAsia="sk-SK"/>
          </w:rPr>
          <w:tab/>
        </w:r>
        <w:r w:rsidR="00D57307" w:rsidRPr="00400B4E">
          <w:rPr>
            <w:rStyle w:val="Hypertextovprepojenie"/>
            <w:rFonts w:ascii="Arial" w:hAnsi="Arial" w:cs="Arial"/>
            <w:noProof/>
            <w:sz w:val="22"/>
            <w:szCs w:val="22"/>
          </w:rPr>
          <w:t>Potvrdenie správnosti údajov podpisom spracovateľa zámeru a oprávneného zástupcu navrhovateľa</w:t>
        </w:r>
        <w:r w:rsidR="00D57307" w:rsidRPr="00400B4E">
          <w:rPr>
            <w:rFonts w:ascii="Arial" w:hAnsi="Arial" w:cs="Arial"/>
            <w:noProof/>
            <w:webHidden/>
            <w:sz w:val="22"/>
            <w:szCs w:val="22"/>
          </w:rPr>
          <w:tab/>
        </w:r>
        <w:r w:rsidR="00D57307" w:rsidRPr="00400B4E">
          <w:rPr>
            <w:rFonts w:ascii="Arial" w:hAnsi="Arial" w:cs="Arial"/>
            <w:noProof/>
            <w:webHidden/>
            <w:sz w:val="22"/>
            <w:szCs w:val="22"/>
          </w:rPr>
          <w:fldChar w:fldCharType="begin"/>
        </w:r>
        <w:r w:rsidR="00D57307" w:rsidRPr="00400B4E">
          <w:rPr>
            <w:rFonts w:ascii="Arial" w:hAnsi="Arial" w:cs="Arial"/>
            <w:noProof/>
            <w:webHidden/>
            <w:sz w:val="22"/>
            <w:szCs w:val="22"/>
          </w:rPr>
          <w:instrText xml:space="preserve"> PAGEREF _Toc93916874 \h </w:instrText>
        </w:r>
        <w:r w:rsidR="00D57307" w:rsidRPr="00400B4E">
          <w:rPr>
            <w:rFonts w:ascii="Arial" w:hAnsi="Arial" w:cs="Arial"/>
            <w:noProof/>
            <w:webHidden/>
            <w:sz w:val="22"/>
            <w:szCs w:val="22"/>
          </w:rPr>
        </w:r>
        <w:r w:rsidR="00D57307" w:rsidRPr="00400B4E">
          <w:rPr>
            <w:rFonts w:ascii="Arial" w:hAnsi="Arial" w:cs="Arial"/>
            <w:noProof/>
            <w:webHidden/>
            <w:sz w:val="22"/>
            <w:szCs w:val="22"/>
          </w:rPr>
          <w:fldChar w:fldCharType="separate"/>
        </w:r>
        <w:r w:rsidR="00F17842">
          <w:rPr>
            <w:rFonts w:ascii="Arial" w:hAnsi="Arial" w:cs="Arial"/>
            <w:noProof/>
            <w:webHidden/>
            <w:sz w:val="22"/>
            <w:szCs w:val="22"/>
          </w:rPr>
          <w:t>155</w:t>
        </w:r>
        <w:r w:rsidR="00D57307" w:rsidRPr="00400B4E">
          <w:rPr>
            <w:rFonts w:ascii="Arial" w:hAnsi="Arial" w:cs="Arial"/>
            <w:noProof/>
            <w:webHidden/>
            <w:sz w:val="22"/>
            <w:szCs w:val="22"/>
          </w:rPr>
          <w:fldChar w:fldCharType="end"/>
        </w:r>
      </w:hyperlink>
    </w:p>
    <w:p w14:paraId="6B3B1986" w14:textId="1B1A4B68" w:rsidR="00660CFA" w:rsidRPr="003538A4" w:rsidRDefault="00E65CA9" w:rsidP="00C2666D">
      <w:pPr>
        <w:widowControl/>
        <w:jc w:val="both"/>
        <w:rPr>
          <w:rFonts w:ascii="Arial" w:hAnsi="Arial" w:cs="Arial"/>
          <w:b/>
          <w:bCs/>
          <w:i/>
          <w:iCs/>
          <w:sz w:val="22"/>
          <w:szCs w:val="22"/>
          <w:lang w:eastAsia="en-US"/>
        </w:rPr>
      </w:pPr>
      <w:r w:rsidRPr="00400B4E">
        <w:rPr>
          <w:rFonts w:ascii="Arial" w:hAnsi="Arial" w:cs="Arial"/>
          <w:sz w:val="22"/>
          <w:szCs w:val="22"/>
        </w:rPr>
        <w:fldChar w:fldCharType="end"/>
      </w:r>
    </w:p>
    <w:p w14:paraId="5F269D48" w14:textId="18D44378" w:rsidR="001D544D" w:rsidRPr="00D53766" w:rsidRDefault="004D33F1" w:rsidP="001D544D">
      <w:pPr>
        <w:widowControl/>
        <w:spacing w:before="120"/>
        <w:jc w:val="both"/>
        <w:rPr>
          <w:rFonts w:ascii="Arial" w:hAnsi="Arial" w:cs="Arial"/>
          <w:b/>
          <w:bCs/>
          <w:i/>
          <w:iCs/>
          <w:sz w:val="24"/>
          <w:szCs w:val="24"/>
          <w:lang w:eastAsia="en-US"/>
        </w:rPr>
      </w:pPr>
      <w:r w:rsidRPr="00D53766">
        <w:rPr>
          <w:rFonts w:ascii="Arial" w:hAnsi="Arial" w:cs="Arial"/>
          <w:b/>
          <w:bCs/>
          <w:i/>
          <w:iCs/>
          <w:sz w:val="24"/>
          <w:szCs w:val="24"/>
          <w:lang w:eastAsia="en-US"/>
        </w:rPr>
        <w:t>P</w:t>
      </w:r>
      <w:r w:rsidR="001D544D" w:rsidRPr="00D53766">
        <w:rPr>
          <w:rFonts w:ascii="Arial" w:hAnsi="Arial" w:cs="Arial"/>
          <w:b/>
          <w:bCs/>
          <w:i/>
          <w:iCs/>
          <w:sz w:val="24"/>
          <w:szCs w:val="24"/>
          <w:lang w:eastAsia="en-US"/>
        </w:rPr>
        <w:t>rílohy</w:t>
      </w:r>
    </w:p>
    <w:p w14:paraId="222D0E77" w14:textId="4A1AADA5" w:rsidR="004D33F1" w:rsidRPr="00D53766" w:rsidRDefault="004D33F1" w:rsidP="004B289F">
      <w:pPr>
        <w:widowControl/>
        <w:jc w:val="both"/>
        <w:rPr>
          <w:rFonts w:ascii="Arial" w:hAnsi="Arial" w:cs="Arial"/>
          <w:b/>
          <w:bCs/>
          <w:i/>
          <w:iCs/>
          <w:sz w:val="24"/>
          <w:szCs w:val="24"/>
          <w:lang w:eastAsia="en-US"/>
        </w:rPr>
      </w:pPr>
      <w:r w:rsidRPr="00D53766">
        <w:rPr>
          <w:rFonts w:ascii="Arial" w:hAnsi="Arial" w:cs="Arial"/>
          <w:b/>
          <w:bCs/>
          <w:i/>
          <w:iCs/>
          <w:sz w:val="24"/>
          <w:szCs w:val="24"/>
          <w:lang w:eastAsia="en-US"/>
        </w:rPr>
        <w:t>P1</w:t>
      </w:r>
      <w:r w:rsidR="00741414" w:rsidRPr="00D53766">
        <w:rPr>
          <w:rFonts w:ascii="Arial" w:hAnsi="Arial" w:cs="Arial"/>
          <w:b/>
          <w:bCs/>
          <w:i/>
          <w:iCs/>
          <w:sz w:val="24"/>
          <w:szCs w:val="24"/>
          <w:lang w:eastAsia="en-US"/>
        </w:rPr>
        <w:tab/>
        <w:t>Grafické prílohy</w:t>
      </w:r>
    </w:p>
    <w:p w14:paraId="7C847D43" w14:textId="2D5A39E9" w:rsidR="00741414" w:rsidRPr="00D53766" w:rsidRDefault="00741414" w:rsidP="004B289F">
      <w:pPr>
        <w:widowControl/>
        <w:jc w:val="both"/>
        <w:rPr>
          <w:rFonts w:ascii="Arial" w:hAnsi="Arial" w:cs="Arial"/>
          <w:b/>
          <w:bCs/>
          <w:i/>
          <w:iCs/>
          <w:sz w:val="24"/>
          <w:szCs w:val="24"/>
          <w:lang w:eastAsia="en-US"/>
        </w:rPr>
      </w:pPr>
      <w:r w:rsidRPr="00D53766">
        <w:rPr>
          <w:rFonts w:ascii="Arial" w:hAnsi="Arial" w:cs="Arial"/>
          <w:b/>
          <w:bCs/>
          <w:i/>
          <w:iCs/>
          <w:sz w:val="24"/>
          <w:szCs w:val="24"/>
          <w:lang w:eastAsia="en-US"/>
        </w:rPr>
        <w:t>P2</w:t>
      </w:r>
      <w:r w:rsidRPr="00D53766">
        <w:rPr>
          <w:rFonts w:ascii="Arial" w:hAnsi="Arial" w:cs="Arial"/>
          <w:b/>
          <w:bCs/>
          <w:i/>
          <w:iCs/>
          <w:sz w:val="24"/>
          <w:szCs w:val="24"/>
          <w:lang w:eastAsia="en-US"/>
        </w:rPr>
        <w:tab/>
        <w:t xml:space="preserve">Akustická štúdia </w:t>
      </w:r>
    </w:p>
    <w:p w14:paraId="796C7B21" w14:textId="465C4F66" w:rsidR="004B289F" w:rsidRPr="00D53766" w:rsidRDefault="004B289F" w:rsidP="004B289F">
      <w:pPr>
        <w:widowControl/>
        <w:jc w:val="both"/>
        <w:rPr>
          <w:rFonts w:ascii="Arial" w:hAnsi="Arial" w:cs="Arial"/>
          <w:b/>
          <w:bCs/>
          <w:i/>
          <w:iCs/>
          <w:sz w:val="24"/>
          <w:szCs w:val="24"/>
          <w:lang w:eastAsia="en-US"/>
        </w:rPr>
      </w:pPr>
      <w:r w:rsidRPr="00D53766">
        <w:rPr>
          <w:rFonts w:ascii="Arial" w:hAnsi="Arial" w:cs="Arial"/>
          <w:b/>
          <w:bCs/>
          <w:i/>
          <w:iCs/>
          <w:sz w:val="24"/>
          <w:szCs w:val="24"/>
          <w:lang w:eastAsia="en-US"/>
        </w:rPr>
        <w:t>P3</w:t>
      </w:r>
      <w:r w:rsidRPr="00D53766">
        <w:rPr>
          <w:rFonts w:ascii="Arial" w:hAnsi="Arial" w:cs="Arial"/>
          <w:b/>
          <w:bCs/>
          <w:i/>
          <w:iCs/>
          <w:sz w:val="24"/>
          <w:szCs w:val="24"/>
          <w:lang w:eastAsia="en-US"/>
        </w:rPr>
        <w:tab/>
        <w:t xml:space="preserve">Rozptylová štúdia </w:t>
      </w:r>
    </w:p>
    <w:p w14:paraId="592B443C" w14:textId="2EE32456" w:rsidR="002A1BB8" w:rsidRPr="00D53766" w:rsidRDefault="002A1BB8" w:rsidP="004B289F">
      <w:pPr>
        <w:widowControl/>
        <w:jc w:val="both"/>
        <w:rPr>
          <w:rFonts w:ascii="Arial" w:hAnsi="Arial" w:cs="Arial"/>
          <w:b/>
          <w:bCs/>
          <w:i/>
          <w:iCs/>
          <w:sz w:val="24"/>
          <w:szCs w:val="24"/>
          <w:lang w:eastAsia="en-US"/>
        </w:rPr>
      </w:pPr>
      <w:r w:rsidRPr="00D53766">
        <w:rPr>
          <w:rFonts w:ascii="Arial" w:hAnsi="Arial" w:cs="Arial"/>
          <w:b/>
          <w:bCs/>
          <w:i/>
          <w:iCs/>
          <w:sz w:val="24"/>
          <w:szCs w:val="24"/>
          <w:lang w:eastAsia="en-US"/>
        </w:rPr>
        <w:t>P4</w:t>
      </w:r>
      <w:r w:rsidRPr="00D53766">
        <w:rPr>
          <w:rFonts w:ascii="Arial" w:hAnsi="Arial" w:cs="Arial"/>
          <w:b/>
          <w:bCs/>
          <w:i/>
          <w:iCs/>
          <w:sz w:val="24"/>
          <w:szCs w:val="24"/>
          <w:lang w:eastAsia="en-US"/>
        </w:rPr>
        <w:tab/>
        <w:t>Sve</w:t>
      </w:r>
      <w:r w:rsidR="009B585B" w:rsidRPr="00D53766">
        <w:rPr>
          <w:rFonts w:ascii="Arial" w:hAnsi="Arial" w:cs="Arial"/>
          <w:b/>
          <w:bCs/>
          <w:i/>
          <w:iCs/>
          <w:sz w:val="24"/>
          <w:szCs w:val="24"/>
          <w:lang w:eastAsia="en-US"/>
        </w:rPr>
        <w:t>tlotechnické posúdenie</w:t>
      </w:r>
    </w:p>
    <w:p w14:paraId="5E5EC5DC" w14:textId="241DBBE6" w:rsidR="004B289F" w:rsidRPr="00D53766" w:rsidRDefault="004B289F" w:rsidP="004B289F">
      <w:pPr>
        <w:widowControl/>
        <w:jc w:val="both"/>
        <w:rPr>
          <w:rFonts w:ascii="Arial" w:hAnsi="Arial" w:cs="Arial"/>
          <w:b/>
          <w:bCs/>
          <w:i/>
          <w:iCs/>
          <w:sz w:val="24"/>
          <w:szCs w:val="24"/>
          <w:lang w:eastAsia="en-US"/>
        </w:rPr>
      </w:pPr>
      <w:r w:rsidRPr="00D53766">
        <w:rPr>
          <w:rFonts w:ascii="Arial" w:hAnsi="Arial" w:cs="Arial"/>
          <w:b/>
          <w:bCs/>
          <w:i/>
          <w:iCs/>
          <w:sz w:val="24"/>
          <w:szCs w:val="24"/>
          <w:lang w:eastAsia="en-US"/>
        </w:rPr>
        <w:t>P</w:t>
      </w:r>
      <w:r w:rsidR="009B585B" w:rsidRPr="00D53766">
        <w:rPr>
          <w:rFonts w:ascii="Arial" w:hAnsi="Arial" w:cs="Arial"/>
          <w:b/>
          <w:bCs/>
          <w:i/>
          <w:iCs/>
          <w:sz w:val="24"/>
          <w:szCs w:val="24"/>
          <w:lang w:eastAsia="en-US"/>
        </w:rPr>
        <w:t>5</w:t>
      </w:r>
      <w:r w:rsidR="002A1BB8" w:rsidRPr="00D53766">
        <w:rPr>
          <w:rFonts w:ascii="Arial" w:hAnsi="Arial" w:cs="Arial"/>
          <w:b/>
          <w:bCs/>
          <w:i/>
          <w:iCs/>
          <w:sz w:val="24"/>
          <w:szCs w:val="24"/>
          <w:lang w:eastAsia="en-US"/>
        </w:rPr>
        <w:tab/>
        <w:t xml:space="preserve">Dendrologický prieskum </w:t>
      </w:r>
    </w:p>
    <w:p w14:paraId="7A48BC49" w14:textId="6C617CE9" w:rsidR="00FF6C1B" w:rsidRPr="009B585B" w:rsidRDefault="00CF6A61" w:rsidP="00FF6C1B">
      <w:pPr>
        <w:pStyle w:val="Nadpis1"/>
        <w:shd w:val="clear" w:color="auto" w:fill="auto"/>
        <w:rPr>
          <w:lang w:val="sk-SK"/>
        </w:rPr>
      </w:pPr>
      <w:bookmarkStart w:id="0" w:name="_Toc132078634"/>
      <w:bookmarkStart w:id="1" w:name="_Toc495992923"/>
      <w:bookmarkStart w:id="2" w:name="_Toc132078641"/>
      <w:r w:rsidRPr="004A7717">
        <w:rPr>
          <w:color w:val="FF0000"/>
          <w:lang w:val="sk-SK"/>
        </w:rPr>
        <w:br w:type="page"/>
      </w:r>
      <w:bookmarkStart w:id="3" w:name="_Toc93916797"/>
      <w:r w:rsidR="00FF6C1B" w:rsidRPr="009B585B">
        <w:rPr>
          <w:lang w:val="sk-SK"/>
        </w:rPr>
        <w:lastRenderedPageBreak/>
        <w:t>Základné údaje o</w:t>
      </w:r>
      <w:r w:rsidRPr="009B585B">
        <w:rPr>
          <w:lang w:val="sk-SK"/>
        </w:rPr>
        <w:t> </w:t>
      </w:r>
      <w:r w:rsidR="00FF6C1B" w:rsidRPr="009B585B">
        <w:rPr>
          <w:lang w:val="sk-SK"/>
        </w:rPr>
        <w:t>navrhovateľovi</w:t>
      </w:r>
      <w:bookmarkEnd w:id="0"/>
      <w:bookmarkEnd w:id="1"/>
      <w:bookmarkEnd w:id="3"/>
    </w:p>
    <w:p w14:paraId="424E7E9F" w14:textId="77777777" w:rsidR="00CF6A61" w:rsidRPr="009B585B" w:rsidRDefault="00CF6A61" w:rsidP="00CF6A61">
      <w:pPr>
        <w:rPr>
          <w:lang w:eastAsia="en-US"/>
        </w:rPr>
      </w:pPr>
    </w:p>
    <w:p w14:paraId="39AFE290" w14:textId="77777777" w:rsidR="006C3C6F" w:rsidRDefault="004276C0" w:rsidP="006C3C6F">
      <w:pPr>
        <w:pStyle w:val="Nadpis2"/>
      </w:pPr>
      <w:bookmarkStart w:id="4" w:name="_Toc132078635"/>
      <w:bookmarkStart w:id="5" w:name="_Toc495992924"/>
      <w:bookmarkStart w:id="6" w:name="_Toc93916798"/>
      <w:bookmarkStart w:id="7" w:name="_Toc495992929"/>
      <w:bookmarkStart w:id="8" w:name="_Toc80536513"/>
      <w:bookmarkStart w:id="9" w:name="_Toc132078650"/>
      <w:bookmarkStart w:id="10" w:name="_Toc495992937"/>
      <w:bookmarkEnd w:id="2"/>
      <w:r w:rsidRPr="009B585B">
        <w:t>Názov</w:t>
      </w:r>
      <w:bookmarkEnd w:id="4"/>
      <w:bookmarkEnd w:id="5"/>
      <w:bookmarkEnd w:id="6"/>
    </w:p>
    <w:p w14:paraId="30512B84" w14:textId="1E799759" w:rsidR="006C3C6F" w:rsidRPr="00B45BBC" w:rsidRDefault="006C3C6F" w:rsidP="006C3C6F">
      <w:pPr>
        <w:pStyle w:val="Nadpis2"/>
        <w:numPr>
          <w:ilvl w:val="0"/>
          <w:numId w:val="0"/>
        </w:numPr>
        <w:ind w:left="1134"/>
        <w:rPr>
          <w:b w:val="0"/>
          <w:bCs w:val="0"/>
        </w:rPr>
      </w:pPr>
      <w:r w:rsidRPr="00B45BBC">
        <w:rPr>
          <w:rFonts w:cs="Arial"/>
          <w:b w:val="0"/>
          <w:bCs w:val="0"/>
          <w:sz w:val="22"/>
          <w:szCs w:val="24"/>
          <w:lang w:eastAsia="ar-SA"/>
        </w:rPr>
        <w:t>Metro Bratislava, a.s.</w:t>
      </w:r>
    </w:p>
    <w:p w14:paraId="2E4B139B" w14:textId="77777777" w:rsidR="001A333B" w:rsidRPr="009B585B" w:rsidRDefault="001A333B" w:rsidP="004276C0">
      <w:pPr>
        <w:widowControl/>
        <w:spacing w:before="120"/>
        <w:ind w:firstLine="567"/>
        <w:jc w:val="both"/>
        <w:rPr>
          <w:rFonts w:ascii="Arial" w:hAnsi="Arial" w:cs="Arial"/>
          <w:sz w:val="22"/>
          <w:szCs w:val="24"/>
          <w:lang w:eastAsia="ar-SA"/>
        </w:rPr>
      </w:pPr>
    </w:p>
    <w:p w14:paraId="0FC42EC6" w14:textId="77777777" w:rsidR="004276C0" w:rsidRPr="009B585B" w:rsidRDefault="004276C0" w:rsidP="008C6F96">
      <w:pPr>
        <w:pStyle w:val="Nadpis2"/>
      </w:pPr>
      <w:bookmarkStart w:id="11" w:name="_Toc132078636"/>
      <w:bookmarkStart w:id="12" w:name="_Toc495992925"/>
      <w:bookmarkStart w:id="13" w:name="_Toc93916799"/>
      <w:r w:rsidRPr="009B585B">
        <w:t>Identifikačné číslo</w:t>
      </w:r>
      <w:bookmarkEnd w:id="11"/>
      <w:bookmarkEnd w:id="12"/>
      <w:bookmarkEnd w:id="13"/>
    </w:p>
    <w:p w14:paraId="744308AA" w14:textId="5AE9E801" w:rsidR="004276C0" w:rsidRPr="009B585B" w:rsidRDefault="004276C0" w:rsidP="00607939">
      <w:pPr>
        <w:pStyle w:val="text0"/>
        <w:widowControl/>
        <w:suppressAutoHyphens/>
        <w:ind w:left="425" w:firstLine="709"/>
        <w:rPr>
          <w:rFonts w:cs="Arial"/>
          <w:bCs/>
          <w:sz w:val="22"/>
          <w:szCs w:val="22"/>
          <w:lang w:val="sk-SK" w:eastAsia="ar-SA"/>
        </w:rPr>
      </w:pPr>
      <w:r w:rsidRPr="009B585B">
        <w:rPr>
          <w:rFonts w:cs="Arial"/>
          <w:bCs/>
          <w:sz w:val="22"/>
          <w:szCs w:val="22"/>
          <w:lang w:val="sk-SK" w:eastAsia="ar-SA"/>
        </w:rPr>
        <w:t>IČO:</w:t>
      </w:r>
      <w:r w:rsidR="00386BD1" w:rsidRPr="00386BD1">
        <w:rPr>
          <w:rFonts w:cs="Arial"/>
          <w:bCs/>
          <w:sz w:val="22"/>
          <w:szCs w:val="22"/>
          <w:lang w:eastAsia="ar-SA"/>
        </w:rPr>
        <w:t xml:space="preserve"> </w:t>
      </w:r>
      <w:r w:rsidR="00386BD1" w:rsidRPr="00AC6296">
        <w:rPr>
          <w:rFonts w:cs="Arial"/>
          <w:bCs/>
          <w:sz w:val="22"/>
          <w:szCs w:val="22"/>
          <w:lang w:eastAsia="ar-SA"/>
        </w:rPr>
        <w:t>35 732 881</w:t>
      </w:r>
    </w:p>
    <w:p w14:paraId="0DBC7C13" w14:textId="7CCC51FF" w:rsidR="002732A7" w:rsidRPr="009B585B" w:rsidRDefault="002732A7" w:rsidP="004276C0">
      <w:pPr>
        <w:pStyle w:val="text0"/>
        <w:widowControl/>
        <w:suppressAutoHyphens/>
        <w:ind w:firstLine="567"/>
        <w:rPr>
          <w:rFonts w:cs="Arial"/>
          <w:bCs/>
          <w:sz w:val="22"/>
          <w:szCs w:val="22"/>
          <w:lang w:val="sk-SK" w:eastAsia="ar-SA"/>
        </w:rPr>
      </w:pPr>
    </w:p>
    <w:p w14:paraId="45729753" w14:textId="77777777" w:rsidR="001A333B" w:rsidRPr="009B585B" w:rsidRDefault="001A333B" w:rsidP="004276C0">
      <w:pPr>
        <w:pStyle w:val="text0"/>
        <w:widowControl/>
        <w:suppressAutoHyphens/>
        <w:ind w:firstLine="567"/>
        <w:rPr>
          <w:rFonts w:cs="Arial"/>
          <w:bCs/>
          <w:sz w:val="22"/>
          <w:szCs w:val="22"/>
          <w:lang w:val="sk-SK" w:eastAsia="ar-SA"/>
        </w:rPr>
      </w:pPr>
    </w:p>
    <w:p w14:paraId="41BE9169" w14:textId="77777777" w:rsidR="0078210C" w:rsidRDefault="004276C0" w:rsidP="0078210C">
      <w:pPr>
        <w:pStyle w:val="Nadpis2"/>
      </w:pPr>
      <w:bookmarkStart w:id="14" w:name="_Toc132078637"/>
      <w:bookmarkStart w:id="15" w:name="_Toc495992926"/>
      <w:bookmarkStart w:id="16" w:name="_Toc93916800"/>
      <w:r w:rsidRPr="009B585B">
        <w:t>Sídlo</w:t>
      </w:r>
      <w:bookmarkEnd w:id="14"/>
      <w:bookmarkEnd w:id="15"/>
      <w:bookmarkEnd w:id="16"/>
    </w:p>
    <w:p w14:paraId="3F149389" w14:textId="77777777" w:rsidR="0078210C" w:rsidRPr="00B45BBC" w:rsidRDefault="0078210C" w:rsidP="0078210C">
      <w:pPr>
        <w:pStyle w:val="Nadpis2"/>
        <w:numPr>
          <w:ilvl w:val="0"/>
          <w:numId w:val="0"/>
        </w:numPr>
        <w:ind w:left="1134"/>
        <w:rPr>
          <w:rFonts w:cs="Arial"/>
          <w:b w:val="0"/>
          <w:bCs w:val="0"/>
          <w:sz w:val="22"/>
          <w:szCs w:val="22"/>
          <w:lang w:eastAsia="ar-SA"/>
        </w:rPr>
      </w:pPr>
      <w:r w:rsidRPr="00B45BBC">
        <w:rPr>
          <w:rFonts w:cs="Arial"/>
          <w:b w:val="0"/>
          <w:bCs w:val="0"/>
          <w:sz w:val="22"/>
          <w:szCs w:val="22"/>
          <w:lang w:eastAsia="ar-SA"/>
        </w:rPr>
        <w:t>Primaciálne nám. 1</w:t>
      </w:r>
    </w:p>
    <w:p w14:paraId="0C8D9076" w14:textId="3977AC2A" w:rsidR="0078210C" w:rsidRPr="00B45BBC" w:rsidRDefault="0078210C" w:rsidP="0078210C">
      <w:pPr>
        <w:pStyle w:val="Nadpis2"/>
        <w:numPr>
          <w:ilvl w:val="0"/>
          <w:numId w:val="0"/>
        </w:numPr>
        <w:ind w:left="1134"/>
        <w:rPr>
          <w:b w:val="0"/>
          <w:bCs w:val="0"/>
        </w:rPr>
      </w:pPr>
      <w:r w:rsidRPr="00B45BBC">
        <w:rPr>
          <w:rFonts w:cs="Arial"/>
          <w:b w:val="0"/>
          <w:bCs w:val="0"/>
          <w:sz w:val="22"/>
          <w:szCs w:val="22"/>
          <w:lang w:eastAsia="ar-SA"/>
        </w:rPr>
        <w:t>814 99  Bratislava</w:t>
      </w:r>
    </w:p>
    <w:p w14:paraId="13FF3FC6" w14:textId="299D5FD9" w:rsidR="001A333B" w:rsidRPr="009B585B" w:rsidRDefault="001A333B" w:rsidP="004276C0">
      <w:pPr>
        <w:pStyle w:val="text0"/>
        <w:widowControl/>
        <w:suppressAutoHyphens/>
        <w:spacing w:before="0"/>
        <w:ind w:firstLine="567"/>
        <w:rPr>
          <w:rFonts w:cs="Arial"/>
          <w:bCs/>
          <w:sz w:val="22"/>
          <w:szCs w:val="22"/>
          <w:lang w:val="sk-SK" w:eastAsia="ar-SA"/>
        </w:rPr>
      </w:pPr>
    </w:p>
    <w:p w14:paraId="1572D995" w14:textId="2605FBB6" w:rsidR="001A333B" w:rsidRPr="009B585B" w:rsidRDefault="001A333B" w:rsidP="004276C0">
      <w:pPr>
        <w:pStyle w:val="text0"/>
        <w:widowControl/>
        <w:suppressAutoHyphens/>
        <w:spacing w:before="0"/>
        <w:ind w:firstLine="567"/>
        <w:rPr>
          <w:rFonts w:cs="Arial"/>
          <w:bCs/>
          <w:sz w:val="22"/>
          <w:szCs w:val="22"/>
          <w:lang w:val="sk-SK" w:eastAsia="ar-SA"/>
        </w:rPr>
      </w:pPr>
    </w:p>
    <w:p w14:paraId="4E962CCA" w14:textId="77777777" w:rsidR="001A333B" w:rsidRPr="009B585B" w:rsidRDefault="001A333B" w:rsidP="004276C0">
      <w:pPr>
        <w:pStyle w:val="text0"/>
        <w:widowControl/>
        <w:suppressAutoHyphens/>
        <w:spacing w:before="0"/>
        <w:ind w:firstLine="567"/>
        <w:rPr>
          <w:rFonts w:cs="Arial"/>
          <w:bCs/>
          <w:sz w:val="22"/>
          <w:szCs w:val="22"/>
          <w:lang w:val="sk-SK" w:eastAsia="ar-SA"/>
        </w:rPr>
      </w:pPr>
    </w:p>
    <w:p w14:paraId="5840A429" w14:textId="77777777" w:rsidR="004276C0" w:rsidRPr="009B585B" w:rsidRDefault="004276C0" w:rsidP="008C6F96">
      <w:pPr>
        <w:pStyle w:val="Nadpis2"/>
      </w:pPr>
      <w:bookmarkStart w:id="17" w:name="_Toc488343950"/>
      <w:bookmarkStart w:id="18" w:name="_Toc495992927"/>
      <w:bookmarkStart w:id="19" w:name="_Toc93916801"/>
      <w:bookmarkStart w:id="20" w:name="_Toc132078639"/>
      <w:r w:rsidRPr="009B585B">
        <w:t>Meno, priezvisko, adresa, telefónne číslo a iné kontaktné údaje oprávneného zástupcu navrhovateľa</w:t>
      </w:r>
      <w:bookmarkEnd w:id="17"/>
      <w:bookmarkEnd w:id="18"/>
      <w:bookmarkEnd w:id="19"/>
    </w:p>
    <w:p w14:paraId="42E69C06" w14:textId="77777777" w:rsidR="004276C0" w:rsidRPr="009B585B" w:rsidRDefault="004276C0" w:rsidP="000307F0">
      <w:pPr>
        <w:widowControl/>
        <w:spacing w:before="120"/>
        <w:ind w:left="1134"/>
        <w:rPr>
          <w:rFonts w:ascii="Arial" w:hAnsi="Arial" w:cs="Arial"/>
          <w:sz w:val="22"/>
          <w:szCs w:val="24"/>
          <w:lang w:eastAsia="ar-SA"/>
        </w:rPr>
      </w:pPr>
      <w:r w:rsidRPr="009B585B">
        <w:rPr>
          <w:rFonts w:ascii="Arial" w:hAnsi="Arial" w:cs="Arial"/>
          <w:sz w:val="22"/>
          <w:szCs w:val="24"/>
          <w:lang w:eastAsia="ar-SA"/>
        </w:rPr>
        <w:t xml:space="preserve">Oprávneným zástupcom navrhovateľa je: </w:t>
      </w:r>
    </w:p>
    <w:p w14:paraId="3C3F7F26" w14:textId="77777777" w:rsidR="004276C0" w:rsidRPr="009B585B" w:rsidRDefault="004276C0" w:rsidP="000307F0">
      <w:pPr>
        <w:pStyle w:val="text0"/>
        <w:widowControl/>
        <w:suppressAutoHyphens/>
        <w:spacing w:before="0"/>
        <w:ind w:left="567" w:firstLine="567"/>
        <w:rPr>
          <w:rFonts w:cs="Arial"/>
          <w:bCs/>
          <w:sz w:val="22"/>
          <w:szCs w:val="22"/>
          <w:lang w:val="sk-SK" w:eastAsia="ar-SA"/>
        </w:rPr>
      </w:pPr>
    </w:p>
    <w:p w14:paraId="4808B097" w14:textId="77777777" w:rsidR="00594990" w:rsidRPr="00AC0AE3" w:rsidRDefault="00594990" w:rsidP="000307F0">
      <w:pPr>
        <w:widowControl/>
        <w:ind w:left="1134"/>
        <w:rPr>
          <w:rFonts w:ascii="Arial" w:hAnsi="Arial" w:cs="Arial"/>
          <w:sz w:val="22"/>
          <w:szCs w:val="24"/>
          <w:lang w:eastAsia="ar-SA"/>
        </w:rPr>
      </w:pPr>
      <w:r w:rsidRPr="00AC0AE3">
        <w:rPr>
          <w:rFonts w:ascii="Arial" w:hAnsi="Arial" w:cs="Arial"/>
          <w:sz w:val="22"/>
          <w:szCs w:val="24"/>
          <w:lang w:eastAsia="ar-SA"/>
        </w:rPr>
        <w:t>Ing. Matúš Močáry</w:t>
      </w:r>
    </w:p>
    <w:p w14:paraId="106B6CF2" w14:textId="77777777" w:rsidR="00594990" w:rsidRPr="00AC0AE3" w:rsidRDefault="00594990" w:rsidP="000307F0">
      <w:pPr>
        <w:pStyle w:val="text0"/>
        <w:widowControl/>
        <w:suppressAutoHyphens/>
        <w:spacing w:before="0"/>
        <w:ind w:left="1134"/>
        <w:rPr>
          <w:rFonts w:cs="Arial"/>
          <w:bCs/>
          <w:sz w:val="22"/>
          <w:szCs w:val="22"/>
          <w:lang w:eastAsia="ar-SA"/>
        </w:rPr>
      </w:pPr>
      <w:r w:rsidRPr="00AC0AE3">
        <w:rPr>
          <w:rFonts w:cs="Arial"/>
          <w:bCs/>
          <w:sz w:val="22"/>
          <w:szCs w:val="22"/>
          <w:lang w:eastAsia="ar-SA"/>
        </w:rPr>
        <w:t xml:space="preserve">Metro Bratislava, a.s. </w:t>
      </w:r>
    </w:p>
    <w:p w14:paraId="043F3C76" w14:textId="77777777" w:rsidR="00594990" w:rsidRPr="00DF7148" w:rsidRDefault="00594990" w:rsidP="000307F0">
      <w:pPr>
        <w:pStyle w:val="text0"/>
        <w:widowControl/>
        <w:suppressAutoHyphens/>
        <w:spacing w:before="0"/>
        <w:ind w:left="1134"/>
        <w:rPr>
          <w:rFonts w:cs="Arial"/>
          <w:bCs/>
          <w:color w:val="000000" w:themeColor="text1"/>
          <w:sz w:val="22"/>
          <w:szCs w:val="22"/>
          <w:lang w:eastAsia="ar-SA"/>
        </w:rPr>
      </w:pPr>
      <w:r w:rsidRPr="00DF7148">
        <w:rPr>
          <w:rFonts w:cs="Arial"/>
          <w:bCs/>
          <w:color w:val="000000" w:themeColor="text1"/>
          <w:sz w:val="22"/>
          <w:szCs w:val="22"/>
          <w:lang w:eastAsia="ar-SA"/>
        </w:rPr>
        <w:t>Primaciálne nám. 1</w:t>
      </w:r>
    </w:p>
    <w:p w14:paraId="08FF255B" w14:textId="77777777" w:rsidR="00594990" w:rsidRPr="00DF7148" w:rsidRDefault="00594990" w:rsidP="000307F0">
      <w:pPr>
        <w:widowControl/>
        <w:ind w:left="1134"/>
        <w:rPr>
          <w:rFonts w:ascii="Arial" w:hAnsi="Arial" w:cs="Arial"/>
          <w:color w:val="000000" w:themeColor="text1"/>
        </w:rPr>
      </w:pPr>
      <w:r w:rsidRPr="00DF7148">
        <w:rPr>
          <w:rFonts w:ascii="Arial" w:hAnsi="Arial" w:cs="Arial"/>
          <w:bCs/>
          <w:color w:val="000000" w:themeColor="text1"/>
          <w:sz w:val="22"/>
          <w:szCs w:val="22"/>
          <w:lang w:eastAsia="ar-SA"/>
        </w:rPr>
        <w:t>811 01  Bratislava</w:t>
      </w:r>
      <w:r w:rsidRPr="00DF7148">
        <w:rPr>
          <w:rFonts w:ascii="Arial" w:hAnsi="Arial" w:cs="Arial"/>
          <w:color w:val="000000" w:themeColor="text1"/>
        </w:rPr>
        <w:t xml:space="preserve"> </w:t>
      </w:r>
    </w:p>
    <w:p w14:paraId="3B92C424" w14:textId="13C5826C" w:rsidR="001A333B" w:rsidRPr="00DF7148" w:rsidRDefault="002F0B86" w:rsidP="000307F0">
      <w:pPr>
        <w:widowControl/>
        <w:ind w:left="1134"/>
        <w:rPr>
          <w:rFonts w:ascii="Arial" w:hAnsi="Arial" w:cs="Arial"/>
          <w:color w:val="000000" w:themeColor="text1"/>
          <w:sz w:val="22"/>
          <w:szCs w:val="22"/>
          <w:lang w:eastAsia="en-US"/>
        </w:rPr>
      </w:pPr>
      <w:hyperlink r:id="rId13" w:history="1">
        <w:r w:rsidR="00833CF2" w:rsidRPr="00DF7148">
          <w:rPr>
            <w:rStyle w:val="Hypertextovprepojenie"/>
            <w:rFonts w:ascii="Arial" w:hAnsi="Arial" w:cs="Arial"/>
            <w:color w:val="000000" w:themeColor="text1"/>
            <w:sz w:val="22"/>
            <w:szCs w:val="24"/>
            <w:lang w:eastAsia="ar-SA"/>
          </w:rPr>
          <w:t>matus.mocary@metroba.sk</w:t>
        </w:r>
      </w:hyperlink>
      <w:r w:rsidR="00594990" w:rsidRPr="00DF7148">
        <w:rPr>
          <w:rFonts w:ascii="Arial" w:hAnsi="Arial" w:cs="Arial"/>
          <w:color w:val="000000" w:themeColor="text1"/>
          <w:sz w:val="22"/>
          <w:szCs w:val="24"/>
          <w:lang w:eastAsia="ar-SA"/>
        </w:rPr>
        <w:t xml:space="preserve"> </w:t>
      </w:r>
      <w:r w:rsidR="00594990" w:rsidRPr="00DF7148">
        <w:rPr>
          <w:rFonts w:ascii="Arial" w:hAnsi="Arial" w:cs="Arial"/>
          <w:color w:val="000000" w:themeColor="text1"/>
          <w:sz w:val="22"/>
          <w:szCs w:val="24"/>
          <w:lang w:eastAsia="ar-SA"/>
        </w:rPr>
        <w:br/>
        <w:t>Tel: +421 948 116 956</w:t>
      </w:r>
    </w:p>
    <w:p w14:paraId="34E1D490" w14:textId="77777777" w:rsidR="001A333B" w:rsidRPr="009B585B" w:rsidRDefault="001A333B" w:rsidP="002732A7">
      <w:pPr>
        <w:widowControl/>
        <w:ind w:left="3966"/>
        <w:rPr>
          <w:rFonts w:ascii="Arial" w:hAnsi="Arial" w:cs="Arial"/>
          <w:sz w:val="22"/>
          <w:szCs w:val="22"/>
          <w:lang w:eastAsia="en-US"/>
        </w:rPr>
      </w:pPr>
    </w:p>
    <w:p w14:paraId="35492FC2" w14:textId="70A7E33F" w:rsidR="004276C0" w:rsidRPr="009B585B" w:rsidRDefault="004276C0" w:rsidP="008C6F96">
      <w:pPr>
        <w:pStyle w:val="Nadpis2"/>
      </w:pPr>
      <w:bookmarkStart w:id="21" w:name="_Toc488343951"/>
      <w:bookmarkStart w:id="22" w:name="_Toc495992928"/>
      <w:bookmarkStart w:id="23" w:name="_Toc93916802"/>
      <w:bookmarkEnd w:id="20"/>
      <w:r w:rsidRPr="009B585B">
        <w:t>Meno, priezvisko, adresa, telefónne číslo a iné kontaktné údaje kontaktnej osoby od ktorej možno dostať relevantné informácie o navrhovanej činnosti a miesto na konzultácie</w:t>
      </w:r>
      <w:bookmarkEnd w:id="21"/>
      <w:bookmarkEnd w:id="22"/>
      <w:bookmarkEnd w:id="23"/>
    </w:p>
    <w:p w14:paraId="03B6CA0E" w14:textId="77777777" w:rsidR="004238A8" w:rsidRPr="009B585B" w:rsidRDefault="004238A8" w:rsidP="004276C0">
      <w:pPr>
        <w:pStyle w:val="text0"/>
        <w:widowControl/>
        <w:suppressAutoHyphens/>
        <w:spacing w:before="0"/>
        <w:ind w:firstLine="567"/>
        <w:rPr>
          <w:rFonts w:cs="Arial"/>
          <w:bCs/>
          <w:sz w:val="22"/>
          <w:szCs w:val="22"/>
          <w:lang w:val="sk-SK" w:eastAsia="ar-SA"/>
        </w:rPr>
      </w:pPr>
    </w:p>
    <w:p w14:paraId="34A7E50A" w14:textId="4B58994F" w:rsidR="004238A8" w:rsidRPr="009B585B" w:rsidRDefault="004238A8" w:rsidP="00607939">
      <w:pPr>
        <w:pStyle w:val="text0"/>
        <w:widowControl/>
        <w:suppressAutoHyphens/>
        <w:spacing w:before="0"/>
        <w:ind w:left="425" w:firstLine="709"/>
        <w:rPr>
          <w:rFonts w:cs="Arial"/>
          <w:bCs/>
          <w:sz w:val="22"/>
          <w:szCs w:val="22"/>
          <w:lang w:val="sk-SK" w:eastAsia="ar-SA"/>
        </w:rPr>
      </w:pPr>
      <w:r w:rsidRPr="009B585B">
        <w:rPr>
          <w:rFonts w:cs="Arial"/>
          <w:bCs/>
          <w:sz w:val="22"/>
          <w:szCs w:val="22"/>
          <w:lang w:val="sk-SK" w:eastAsia="ar-SA"/>
        </w:rPr>
        <w:t xml:space="preserve">Kontaktnou osobou je : </w:t>
      </w:r>
    </w:p>
    <w:p w14:paraId="20FE5128" w14:textId="77777777" w:rsidR="004238A8" w:rsidRPr="009B585B" w:rsidRDefault="004238A8" w:rsidP="004276C0">
      <w:pPr>
        <w:pStyle w:val="text0"/>
        <w:widowControl/>
        <w:suppressAutoHyphens/>
        <w:spacing w:before="0"/>
        <w:ind w:firstLine="567"/>
        <w:rPr>
          <w:rFonts w:cs="Arial"/>
          <w:bCs/>
          <w:sz w:val="22"/>
          <w:szCs w:val="22"/>
          <w:lang w:val="sk-SK" w:eastAsia="ar-SA"/>
        </w:rPr>
      </w:pPr>
    </w:p>
    <w:p w14:paraId="1B12138B" w14:textId="77777777" w:rsidR="000307F0" w:rsidRPr="00AC0AE3" w:rsidRDefault="000307F0" w:rsidP="000307F0">
      <w:pPr>
        <w:widowControl/>
        <w:ind w:left="1134"/>
        <w:rPr>
          <w:rFonts w:ascii="Arial" w:hAnsi="Arial" w:cs="Arial"/>
          <w:sz w:val="22"/>
          <w:szCs w:val="24"/>
          <w:lang w:eastAsia="ar-SA"/>
        </w:rPr>
      </w:pPr>
      <w:r w:rsidRPr="00AC0AE3">
        <w:rPr>
          <w:rFonts w:ascii="Arial" w:hAnsi="Arial" w:cs="Arial"/>
          <w:sz w:val="22"/>
          <w:szCs w:val="24"/>
          <w:lang w:eastAsia="ar-SA"/>
        </w:rPr>
        <w:t>Ing. Matúš Močáry</w:t>
      </w:r>
    </w:p>
    <w:p w14:paraId="1F84768B" w14:textId="77777777" w:rsidR="000307F0" w:rsidRPr="00AC0AE3" w:rsidRDefault="000307F0" w:rsidP="000307F0">
      <w:pPr>
        <w:pStyle w:val="text0"/>
        <w:widowControl/>
        <w:suppressAutoHyphens/>
        <w:spacing w:before="0"/>
        <w:ind w:left="1134"/>
        <w:rPr>
          <w:rFonts w:cs="Arial"/>
          <w:bCs/>
          <w:sz w:val="22"/>
          <w:szCs w:val="22"/>
          <w:lang w:eastAsia="ar-SA"/>
        </w:rPr>
      </w:pPr>
      <w:r w:rsidRPr="00AC0AE3">
        <w:rPr>
          <w:rFonts w:cs="Arial"/>
          <w:bCs/>
          <w:sz w:val="22"/>
          <w:szCs w:val="22"/>
          <w:lang w:eastAsia="ar-SA"/>
        </w:rPr>
        <w:t xml:space="preserve">Metro Bratislava, a.s. </w:t>
      </w:r>
    </w:p>
    <w:p w14:paraId="37C46B11" w14:textId="77777777" w:rsidR="000307F0" w:rsidRPr="00AC0AE3" w:rsidRDefault="000307F0" w:rsidP="000307F0">
      <w:pPr>
        <w:pStyle w:val="text0"/>
        <w:widowControl/>
        <w:suppressAutoHyphens/>
        <w:spacing w:before="0"/>
        <w:ind w:left="1134"/>
        <w:rPr>
          <w:rFonts w:cs="Arial"/>
          <w:bCs/>
          <w:sz w:val="22"/>
          <w:szCs w:val="22"/>
          <w:lang w:eastAsia="ar-SA"/>
        </w:rPr>
      </w:pPr>
      <w:r w:rsidRPr="00AC0AE3">
        <w:rPr>
          <w:rFonts w:cs="Arial"/>
          <w:bCs/>
          <w:sz w:val="22"/>
          <w:szCs w:val="22"/>
          <w:lang w:eastAsia="ar-SA"/>
        </w:rPr>
        <w:t>Primaciálne nám. 1</w:t>
      </w:r>
    </w:p>
    <w:p w14:paraId="054C4A57" w14:textId="77777777" w:rsidR="000307F0" w:rsidRPr="00AC0AE3" w:rsidRDefault="000307F0" w:rsidP="000307F0">
      <w:pPr>
        <w:widowControl/>
        <w:ind w:left="1134"/>
        <w:rPr>
          <w:rFonts w:ascii="Arial" w:hAnsi="Arial" w:cs="Arial"/>
        </w:rPr>
      </w:pPr>
      <w:r w:rsidRPr="00AC0AE3">
        <w:rPr>
          <w:rFonts w:ascii="Arial" w:hAnsi="Arial" w:cs="Arial"/>
          <w:bCs/>
          <w:sz w:val="22"/>
          <w:szCs w:val="22"/>
          <w:lang w:eastAsia="ar-SA"/>
        </w:rPr>
        <w:t>811 01  Bratislava</w:t>
      </w:r>
      <w:r w:rsidRPr="00AC0AE3">
        <w:rPr>
          <w:rFonts w:ascii="Arial" w:hAnsi="Arial" w:cs="Arial"/>
        </w:rPr>
        <w:t xml:space="preserve"> </w:t>
      </w:r>
    </w:p>
    <w:p w14:paraId="4474D192" w14:textId="77777777" w:rsidR="000307F0" w:rsidRDefault="002F0B86" w:rsidP="000307F0">
      <w:pPr>
        <w:widowControl/>
        <w:ind w:left="3399" w:hanging="2265"/>
        <w:rPr>
          <w:rFonts w:ascii="Arial" w:hAnsi="Arial" w:cs="Arial"/>
          <w:sz w:val="22"/>
          <w:szCs w:val="24"/>
          <w:lang w:eastAsia="ar-SA"/>
        </w:rPr>
      </w:pPr>
      <w:hyperlink r:id="rId14" w:history="1">
        <w:r w:rsidR="000307F0" w:rsidRPr="00AC0AE3">
          <w:rPr>
            <w:rStyle w:val="Hypertextovprepojenie"/>
            <w:rFonts w:ascii="Arial" w:hAnsi="Arial" w:cs="Arial"/>
            <w:color w:val="auto"/>
            <w:sz w:val="22"/>
            <w:szCs w:val="24"/>
            <w:lang w:eastAsia="ar-SA"/>
          </w:rPr>
          <w:t>matus.mocary@metroba.sk</w:t>
        </w:r>
      </w:hyperlink>
      <w:r w:rsidR="000307F0" w:rsidRPr="00AC0AE3">
        <w:rPr>
          <w:rFonts w:ascii="Arial" w:hAnsi="Arial" w:cs="Arial"/>
          <w:sz w:val="22"/>
          <w:szCs w:val="24"/>
          <w:lang w:eastAsia="ar-SA"/>
        </w:rPr>
        <w:t xml:space="preserve"> </w:t>
      </w:r>
    </w:p>
    <w:p w14:paraId="2AFD0AB6" w14:textId="48BE37F0" w:rsidR="004276C0" w:rsidRPr="009B585B" w:rsidRDefault="000307F0" w:rsidP="000307F0">
      <w:pPr>
        <w:widowControl/>
        <w:ind w:left="3399" w:hanging="2265"/>
        <w:rPr>
          <w:rFonts w:ascii="Arial" w:hAnsi="Arial" w:cs="Arial"/>
          <w:sz w:val="22"/>
          <w:szCs w:val="22"/>
          <w:lang w:eastAsia="en-US"/>
        </w:rPr>
      </w:pPr>
      <w:r w:rsidRPr="00AC0AE3">
        <w:rPr>
          <w:rFonts w:ascii="Arial" w:hAnsi="Arial" w:cs="Arial"/>
          <w:sz w:val="22"/>
          <w:szCs w:val="24"/>
          <w:lang w:eastAsia="ar-SA"/>
        </w:rPr>
        <w:t>Tel: +421 948 116 956</w:t>
      </w:r>
      <w:r w:rsidR="00672205" w:rsidRPr="009B585B">
        <w:rPr>
          <w:rFonts w:ascii="Arial" w:hAnsi="Arial" w:cs="Arial"/>
          <w:sz w:val="22"/>
          <w:szCs w:val="24"/>
          <w:lang w:eastAsia="ar-SA"/>
        </w:rPr>
        <w:br/>
      </w:r>
      <w:r w:rsidR="004276C0" w:rsidRPr="009B585B">
        <w:rPr>
          <w:rFonts w:ascii="Arial" w:hAnsi="Arial" w:cs="Arial"/>
          <w:sz w:val="22"/>
          <w:szCs w:val="24"/>
          <w:lang w:eastAsia="ar-SA"/>
        </w:rPr>
        <w:br/>
      </w:r>
    </w:p>
    <w:p w14:paraId="48909FDD" w14:textId="1CE12151" w:rsidR="004276C0" w:rsidRPr="009B585B" w:rsidRDefault="004276C0" w:rsidP="004276C0">
      <w:pPr>
        <w:widowControl/>
        <w:ind w:left="567"/>
        <w:rPr>
          <w:rFonts w:ascii="Arial" w:hAnsi="Arial" w:cs="Arial"/>
          <w:sz w:val="22"/>
          <w:szCs w:val="22"/>
          <w:lang w:eastAsia="en-US"/>
        </w:rPr>
      </w:pPr>
    </w:p>
    <w:p w14:paraId="6F51C084" w14:textId="77777777" w:rsidR="004276C0" w:rsidRPr="009B585B" w:rsidRDefault="004276C0" w:rsidP="004276C0">
      <w:pPr>
        <w:widowControl/>
        <w:spacing w:before="120"/>
        <w:ind w:left="567"/>
        <w:rPr>
          <w:rFonts w:ascii="Arial" w:hAnsi="Arial" w:cs="Arial"/>
          <w:sz w:val="22"/>
          <w:szCs w:val="24"/>
          <w:lang w:eastAsia="en-US"/>
        </w:rPr>
      </w:pPr>
    </w:p>
    <w:p w14:paraId="5482281E" w14:textId="2D80EDBB" w:rsidR="00B45BBC" w:rsidRPr="00B45BBC" w:rsidRDefault="004276C0" w:rsidP="00B45BBC">
      <w:pPr>
        <w:pStyle w:val="text0"/>
        <w:widowControl/>
        <w:suppressAutoHyphens/>
        <w:spacing w:before="0"/>
        <w:ind w:left="567"/>
        <w:rPr>
          <w:rFonts w:cs="Arial"/>
          <w:sz w:val="22"/>
          <w:szCs w:val="24"/>
          <w:lang w:eastAsia="en-US"/>
        </w:rPr>
      </w:pPr>
      <w:r w:rsidRPr="009B585B">
        <w:rPr>
          <w:rFonts w:cs="Arial"/>
          <w:sz w:val="22"/>
          <w:szCs w:val="24"/>
          <w:lang w:eastAsia="en-US"/>
        </w:rPr>
        <w:t>Miestom konzultácie na základe</w:t>
      </w:r>
      <w:r w:rsidR="00B45BBC">
        <w:rPr>
          <w:rFonts w:cs="Arial"/>
          <w:sz w:val="22"/>
          <w:szCs w:val="24"/>
          <w:lang w:eastAsia="en-US"/>
        </w:rPr>
        <w:t xml:space="preserve"> d</w:t>
      </w:r>
      <w:r w:rsidRPr="009B585B">
        <w:rPr>
          <w:rFonts w:cs="Arial"/>
          <w:sz w:val="22"/>
          <w:szCs w:val="24"/>
          <w:lang w:eastAsia="en-US"/>
        </w:rPr>
        <w:t>ohody (telefonickej alebo e-mailom) s kontaktnou osobou je</w:t>
      </w:r>
      <w:r w:rsidR="00B45BBC">
        <w:rPr>
          <w:rFonts w:cs="Arial"/>
          <w:sz w:val="22"/>
          <w:szCs w:val="24"/>
          <w:lang w:eastAsia="en-US"/>
        </w:rPr>
        <w:t xml:space="preserve">: </w:t>
      </w:r>
      <w:r w:rsidR="00B45BBC" w:rsidRPr="008A0425">
        <w:rPr>
          <w:rFonts w:cs="Arial"/>
          <w:bCs/>
          <w:sz w:val="22"/>
          <w:szCs w:val="22"/>
          <w:lang w:eastAsia="ar-SA"/>
        </w:rPr>
        <w:t>Metro Bratislava, a.s.</w:t>
      </w:r>
      <w:r w:rsidR="00B45BBC">
        <w:rPr>
          <w:rFonts w:cs="Arial"/>
          <w:bCs/>
          <w:sz w:val="22"/>
          <w:szCs w:val="22"/>
          <w:lang w:eastAsia="ar-SA"/>
        </w:rPr>
        <w:t xml:space="preserve">, </w:t>
      </w:r>
      <w:r w:rsidR="00B45BBC" w:rsidRPr="008A0425">
        <w:rPr>
          <w:rFonts w:cs="Arial"/>
          <w:bCs/>
          <w:sz w:val="22"/>
          <w:szCs w:val="22"/>
          <w:lang w:eastAsia="ar-SA"/>
        </w:rPr>
        <w:t>Primaciálne nám. 1, 814 99 Bratislava</w:t>
      </w:r>
      <w:r w:rsidR="00B45BBC" w:rsidRPr="008A0425">
        <w:rPr>
          <w:rFonts w:cs="Arial"/>
        </w:rPr>
        <w:t xml:space="preserve"> </w:t>
      </w:r>
    </w:p>
    <w:p w14:paraId="2E5382FD" w14:textId="2049DE91" w:rsidR="004276C0" w:rsidRPr="009B585B" w:rsidRDefault="004276C0" w:rsidP="004276C0">
      <w:pPr>
        <w:widowControl/>
        <w:ind w:left="567"/>
        <w:rPr>
          <w:rFonts w:ascii="Arial" w:hAnsi="Arial" w:cs="Arial"/>
          <w:bCs/>
          <w:sz w:val="22"/>
          <w:szCs w:val="22"/>
          <w:lang w:eastAsia="ar-SA"/>
        </w:rPr>
      </w:pPr>
    </w:p>
    <w:p w14:paraId="248D234D" w14:textId="25D2C10B" w:rsidR="004276C0" w:rsidRPr="009B585B" w:rsidRDefault="004276C0" w:rsidP="001A333B">
      <w:pPr>
        <w:widowControl/>
        <w:rPr>
          <w:rFonts w:ascii="Arial" w:hAnsi="Arial" w:cs="Arial"/>
          <w:bCs/>
          <w:sz w:val="22"/>
          <w:szCs w:val="22"/>
          <w:highlight w:val="yellow"/>
          <w:lang w:eastAsia="ar-SA"/>
        </w:rPr>
      </w:pPr>
    </w:p>
    <w:p w14:paraId="0B344671" w14:textId="3CB6F55A" w:rsidR="003C013B" w:rsidRPr="009B585B" w:rsidRDefault="003C013B" w:rsidP="003C013B">
      <w:pPr>
        <w:pStyle w:val="Nadpis1"/>
        <w:shd w:val="clear" w:color="auto" w:fill="auto"/>
        <w:rPr>
          <w:lang w:val="sk-SK"/>
        </w:rPr>
      </w:pPr>
      <w:bookmarkStart w:id="24" w:name="_Toc93916803"/>
      <w:r w:rsidRPr="009B585B">
        <w:rPr>
          <w:lang w:val="sk-SK"/>
        </w:rPr>
        <w:t>Základné údaje o navrhovanej činnosti</w:t>
      </w:r>
      <w:bookmarkEnd w:id="7"/>
      <w:bookmarkEnd w:id="24"/>
      <w:r w:rsidRPr="009B585B">
        <w:rPr>
          <w:lang w:val="sk-SK"/>
        </w:rPr>
        <w:t xml:space="preserve"> </w:t>
      </w:r>
    </w:p>
    <w:p w14:paraId="6F7F06DC" w14:textId="77777777" w:rsidR="003C013B" w:rsidRPr="009B585B" w:rsidRDefault="003C013B" w:rsidP="008C6F96">
      <w:pPr>
        <w:pStyle w:val="Nadpis2"/>
      </w:pPr>
      <w:bookmarkStart w:id="25" w:name="_Toc132078642"/>
      <w:bookmarkStart w:id="26" w:name="_Toc495992930"/>
      <w:bookmarkStart w:id="27" w:name="_Toc93916804"/>
      <w:r w:rsidRPr="009B585B">
        <w:t>Názov</w:t>
      </w:r>
      <w:bookmarkEnd w:id="25"/>
      <w:bookmarkEnd w:id="26"/>
      <w:bookmarkEnd w:id="27"/>
    </w:p>
    <w:p w14:paraId="29946A4A" w14:textId="7F2EC90E" w:rsidR="001A333B" w:rsidRPr="009B585B" w:rsidRDefault="00BD55D2" w:rsidP="005234A7">
      <w:pPr>
        <w:widowControl/>
        <w:spacing w:before="120" w:after="315" w:line="259" w:lineRule="auto"/>
        <w:ind w:left="419" w:right="2676" w:firstLine="715"/>
        <w:rPr>
          <w:rFonts w:ascii="Arial" w:eastAsia="Arial" w:hAnsi="Arial" w:cs="Arial"/>
          <w:b/>
          <w:sz w:val="22"/>
          <w:szCs w:val="22"/>
        </w:rPr>
      </w:pPr>
      <w:bookmarkStart w:id="28" w:name="_Toc80536506"/>
      <w:bookmarkStart w:id="29" w:name="_Toc132078644"/>
      <w:bookmarkStart w:id="30" w:name="_Toc495992931"/>
      <w:r w:rsidRPr="009B585B">
        <w:rPr>
          <w:rFonts w:ascii="Arial" w:eastAsia="Arial" w:hAnsi="Arial" w:cs="Arial"/>
          <w:b/>
          <w:sz w:val="22"/>
          <w:szCs w:val="22"/>
        </w:rPr>
        <w:t>Bytový dom Terchovská</w:t>
      </w:r>
    </w:p>
    <w:p w14:paraId="1609D60D" w14:textId="07BD7E58" w:rsidR="003C013B" w:rsidRPr="009B585B" w:rsidRDefault="003C013B" w:rsidP="008C6F96">
      <w:pPr>
        <w:pStyle w:val="Nadpis2"/>
      </w:pPr>
      <w:bookmarkStart w:id="31" w:name="_Toc93916805"/>
      <w:r w:rsidRPr="009B585B">
        <w:t>Účel</w:t>
      </w:r>
      <w:bookmarkEnd w:id="28"/>
      <w:bookmarkEnd w:id="29"/>
      <w:bookmarkEnd w:id="30"/>
      <w:bookmarkEnd w:id="31"/>
      <w:r w:rsidRPr="009B585B">
        <w:t xml:space="preserve">     </w:t>
      </w:r>
    </w:p>
    <w:p w14:paraId="571941CE" w14:textId="2AB783C4" w:rsidR="004B030D" w:rsidRPr="0078489E" w:rsidRDefault="004B030D" w:rsidP="004B030D">
      <w:pPr>
        <w:pStyle w:val="A-Text11"/>
      </w:pPr>
      <w:r w:rsidRPr="0078489E">
        <w:rPr>
          <w:lang w:eastAsia="ar-SA"/>
        </w:rPr>
        <w:t xml:space="preserve">Účelom navrhovanej činnosti je </w:t>
      </w:r>
      <w:r w:rsidRPr="0078489E">
        <w:t>výstavb</w:t>
      </w:r>
      <w:r w:rsidR="004E317C" w:rsidRPr="0078489E">
        <w:t xml:space="preserve">a a prevádzka </w:t>
      </w:r>
      <w:r w:rsidRPr="0078489E">
        <w:t xml:space="preserve">bytového domu. Výstavba je navrhovaná </w:t>
      </w:r>
      <w:r w:rsidRPr="0078489E">
        <w:rPr>
          <w:lang w:eastAsia="ar-SA"/>
        </w:rPr>
        <w:t xml:space="preserve">v Bratislavskom kraji, </w:t>
      </w:r>
      <w:r w:rsidRPr="0078489E">
        <w:t xml:space="preserve">na území hlavného mesta SR Bratislavy, v okrese Bratislava II, v mestskej časti Bratislava – Ružinov. </w:t>
      </w:r>
    </w:p>
    <w:p w14:paraId="1AD70DAA" w14:textId="1F67D82A" w:rsidR="00BB5F6D" w:rsidRPr="0078489E" w:rsidRDefault="00BB5F6D" w:rsidP="00D21B63">
      <w:pPr>
        <w:pStyle w:val="A-Text11"/>
      </w:pPr>
      <w:bookmarkStart w:id="32" w:name="_Toc80536508"/>
      <w:bookmarkStart w:id="33" w:name="_Toc132078645"/>
      <w:r w:rsidRPr="0078489E">
        <w:t xml:space="preserve">Predmetom investičného zámeru (predkladanej navrhovanej činnosti) </w:t>
      </w:r>
      <w:r w:rsidR="00B92A62" w:rsidRPr="0078489E">
        <w:t>je 8 hlavných objektov</w:t>
      </w:r>
      <w:r w:rsidR="00094636" w:rsidRPr="0078489E">
        <w:t>.</w:t>
      </w:r>
      <w:r w:rsidR="00B92A62" w:rsidRPr="0078489E">
        <w:t xml:space="preserve"> </w:t>
      </w:r>
      <w:r w:rsidR="00094636" w:rsidRPr="0078489E">
        <w:t>V  spoločnej spodnej časti</w:t>
      </w:r>
      <w:r w:rsidR="002634E7" w:rsidRPr="0078489E">
        <w:t>,</w:t>
      </w:r>
      <w:r w:rsidR="00094636" w:rsidRPr="0078489E">
        <w:t xml:space="preserve"> umiestnenej pod terénom</w:t>
      </w:r>
      <w:r w:rsidR="002634E7" w:rsidRPr="0078489E">
        <w:t>,</w:t>
      </w:r>
      <w:r w:rsidR="00094636" w:rsidRPr="0078489E">
        <w:t xml:space="preserve"> sú riešené podzemné parkoviská a technické priestory.</w:t>
      </w:r>
    </w:p>
    <w:p w14:paraId="5DC5AD8E" w14:textId="30EF53DC" w:rsidR="00CF6A61" w:rsidRPr="009B585B" w:rsidRDefault="003C013B" w:rsidP="008C6F96">
      <w:pPr>
        <w:pStyle w:val="Nadpis2"/>
      </w:pPr>
      <w:bookmarkStart w:id="34" w:name="_Toc495992932"/>
      <w:bookmarkStart w:id="35" w:name="_Toc93916806"/>
      <w:r w:rsidRPr="009B585B">
        <w:t>Užívateľ</w:t>
      </w:r>
      <w:bookmarkEnd w:id="32"/>
      <w:bookmarkEnd w:id="33"/>
      <w:bookmarkEnd w:id="34"/>
      <w:bookmarkEnd w:id="35"/>
      <w:r w:rsidRPr="009B585B">
        <w:t xml:space="preserve"> </w:t>
      </w:r>
      <w:bookmarkStart w:id="36" w:name="_Toc80536509"/>
      <w:bookmarkStart w:id="37" w:name="_Toc132078646"/>
      <w:bookmarkStart w:id="38" w:name="_Toc495992933"/>
    </w:p>
    <w:p w14:paraId="3DE98405" w14:textId="0972804C" w:rsidR="00CF6A61" w:rsidRPr="009B585B" w:rsidRDefault="00CF6A61" w:rsidP="00D21B63">
      <w:pPr>
        <w:pStyle w:val="A-Text11"/>
        <w:rPr>
          <w:b/>
        </w:rPr>
      </w:pPr>
      <w:r w:rsidRPr="009B585B">
        <w:t>Užívateľom navrhovanej činnosti bude navrhovateľ, resp. majitelia budúcich bytov, apartmánov a nájomníci nebytových priestorov.</w:t>
      </w:r>
      <w:r w:rsidR="00676514" w:rsidRPr="009B585B">
        <w:t xml:space="preserve"> Priestory parku a zelene vnútrobloku môžu využívať aj obyvatelia širšieho okolia, mestskej časti, návštevníci prevádzok v území, alebo turisti.</w:t>
      </w:r>
    </w:p>
    <w:p w14:paraId="141728AE" w14:textId="2CA21ACB" w:rsidR="003C013B" w:rsidRPr="009B585B" w:rsidRDefault="003C013B" w:rsidP="008C6F96">
      <w:pPr>
        <w:pStyle w:val="Nadpis2"/>
      </w:pPr>
      <w:bookmarkStart w:id="39" w:name="_Toc93916807"/>
      <w:r w:rsidRPr="009B585B">
        <w:t>Charakter navrhovanej činnosti</w:t>
      </w:r>
      <w:bookmarkEnd w:id="36"/>
      <w:bookmarkEnd w:id="37"/>
      <w:bookmarkEnd w:id="38"/>
      <w:bookmarkEnd w:id="39"/>
      <w:r w:rsidRPr="009B585B">
        <w:t xml:space="preserve">   </w:t>
      </w:r>
    </w:p>
    <w:p w14:paraId="1AAF11CF" w14:textId="012D8A1C" w:rsidR="00151FD1" w:rsidRPr="00FE3047" w:rsidRDefault="00151FD1" w:rsidP="00151FD1">
      <w:pPr>
        <w:pStyle w:val="A-Text11"/>
      </w:pPr>
      <w:r w:rsidRPr="00FE3047">
        <w:t xml:space="preserve">Koncepcia návrhu v čo najväčšej miere vychádza z kontextu okolia a daných špecifikácií. Rozloženie a veľkosť navrhovaných budov vytvára prirodzený prechod medzi nízkopodlažnými domami, priemyselnými budovami a panelovým sídliskom. Celkovo je navrhnutých </w:t>
      </w:r>
      <w:r w:rsidR="003F6C27" w:rsidRPr="00FE3047">
        <w:t>8</w:t>
      </w:r>
      <w:r w:rsidRPr="00FE3047">
        <w:t xml:space="preserve"> hlavných obj</w:t>
      </w:r>
      <w:r w:rsidR="003F6C27" w:rsidRPr="00FE3047">
        <w:t>ektov</w:t>
      </w:r>
      <w:r w:rsidRPr="00FE3047">
        <w:t xml:space="preserve"> (</w:t>
      </w:r>
      <w:r w:rsidR="003F6C27" w:rsidRPr="00FE3047">
        <w:t>2 spojené</w:t>
      </w:r>
      <w:r w:rsidRPr="00FE3047">
        <w:t xml:space="preserve"> pozdĺžn</w:t>
      </w:r>
      <w:r w:rsidR="003F6C27" w:rsidRPr="00FE3047">
        <w:t>e</w:t>
      </w:r>
      <w:r w:rsidRPr="00FE3047">
        <w:t xml:space="preserve"> objekt</w:t>
      </w:r>
      <w:r w:rsidR="003F6C27" w:rsidRPr="00FE3047">
        <w:t>y</w:t>
      </w:r>
      <w:r w:rsidRPr="00FE3047">
        <w:t xml:space="preserve"> a 6 bodových objektov), ktoré sú v podzemnej úrovni prepojené hromadnou garážou a technickým zázemím. (Vzhľadom na technologické prepojenie všetkých objemov prostredníctvom podzemnej stavebnej a technologickej infraštruktúry pôjde stavebne a legislatívne o jeden bytový dom, rozdelený na čiastkové objekty).</w:t>
      </w:r>
    </w:p>
    <w:p w14:paraId="494B0179" w14:textId="77777777" w:rsidR="00151FD1" w:rsidRPr="00FE3047" w:rsidRDefault="00151FD1" w:rsidP="00151FD1">
      <w:pPr>
        <w:pStyle w:val="A-Text11"/>
      </w:pPr>
      <w:r w:rsidRPr="00FE3047">
        <w:t xml:space="preserve">Horizontálna hmota pavlačového objektu reaguje na problém blízkosti hlučnej cesty, ktorá zabraňuje šíreniu hluku ďalej do okolia. Drobná mierka bodových objektov a ich usporiadanie vytvára intímnu atmosféru medzi jednotlivými hmotami. Domy tiež vytvárajú rôznorodé vonkajšie poloverejné priestory, ktoré podporujú komunitný život obyvateľov. Tvar a veľkosť priestorov sú definované ich obsahom. Tento princíp sa podobne odráža aj v spoločných priestoroch pavlačí. </w:t>
      </w:r>
    </w:p>
    <w:p w14:paraId="5D845F8A" w14:textId="45E7D3D7" w:rsidR="00151FD1" w:rsidRPr="00FE3047" w:rsidRDefault="00151FD1" w:rsidP="00151FD1">
      <w:pPr>
        <w:pStyle w:val="A-Text11"/>
      </w:pPr>
      <w:r w:rsidRPr="00FE3047">
        <w:t xml:space="preserve">Funkcie sú navrhnuté tak, aby každý subpriestor mal svoje špecifické využitie. Je dôležité, aby funkčný obsah pokrýval všetky vekové skupiny. Preto </w:t>
      </w:r>
      <w:r w:rsidR="00C82ECA" w:rsidRPr="00FE3047">
        <w:t xml:space="preserve">je návrh </w:t>
      </w:r>
      <w:r w:rsidR="00732A7F" w:rsidRPr="00FE3047">
        <w:t>umiestniť</w:t>
      </w:r>
      <w:r w:rsidRPr="00FE3047">
        <w:t xml:space="preserve"> do týchto priestorov komunitné stoly, šach, detské ihrisko, pieskovisko, workout atď. Významným aspektom návrhu je aj využitie strešných terás na komunitné záhrady, včelíny, skleníky alebo miesta na posedenie s výhľadom, ako aj súkromné terasy pre jednotlivé byty. </w:t>
      </w:r>
    </w:p>
    <w:p w14:paraId="3A521024" w14:textId="1C633F0C" w:rsidR="00151FD1" w:rsidRPr="00FE3047" w:rsidRDefault="00151FD1" w:rsidP="00151FD1">
      <w:pPr>
        <w:pStyle w:val="A-Text11"/>
      </w:pPr>
      <w:r w:rsidRPr="00FE3047">
        <w:t xml:space="preserve">V koncových častiach prízemia lineárneho domu sa nachádzajú priestory občianskej vybavenosti, ako je kaviareň, bistro atď. s možnou expanziou záhradiek do exteriéru. Cieľom je oživiť priľahlé verejné priestranstvá, ktoré tvoria pomyselnú bránu do obytného domu. </w:t>
      </w:r>
      <w:r w:rsidRPr="00FE3047">
        <w:lastRenderedPageBreak/>
        <w:t xml:space="preserve">Súčasne nadväzujú na autobusovú zastávku, cyklistický chodník </w:t>
      </w:r>
      <w:r w:rsidR="009C67F3" w:rsidRPr="00FE3047">
        <w:t>n</w:t>
      </w:r>
      <w:r w:rsidRPr="00FE3047">
        <w:t>a Galvaniho ulici. Kontajnery na zmesový a triedený odpad sú umiestnené  na Terchovskej ulici v troch kontajnerových stanovištiach.</w:t>
      </w:r>
    </w:p>
    <w:p w14:paraId="7D939759" w14:textId="3B602DD4" w:rsidR="0032698B" w:rsidRPr="00FE3047" w:rsidRDefault="00540F7F" w:rsidP="0032698B">
      <w:pPr>
        <w:pStyle w:val="A-Text11"/>
        <w:rPr>
          <w:b/>
          <w:bCs/>
        </w:rPr>
      </w:pPr>
      <w:bookmarkStart w:id="40" w:name="_Toc80536510"/>
      <w:bookmarkStart w:id="41" w:name="_Toc132078647"/>
      <w:r w:rsidRPr="00FE3047">
        <w:t xml:space="preserve">Navrhovaná činnosť </w:t>
      </w:r>
      <w:r w:rsidR="0032698B" w:rsidRPr="00FE3047">
        <w:t xml:space="preserve">Bytový dom Terchovská predstavuje obytný dom </w:t>
      </w:r>
      <w:r w:rsidR="00244AD7" w:rsidRPr="00FE3047">
        <w:t xml:space="preserve">s dvomi </w:t>
      </w:r>
      <w:r w:rsidR="0032698B" w:rsidRPr="00FE3047">
        <w:t>spojen</w:t>
      </w:r>
      <w:r w:rsidR="00244AD7" w:rsidRPr="00FE3047">
        <w:t>ými</w:t>
      </w:r>
      <w:r w:rsidR="0032698B" w:rsidRPr="00FE3047">
        <w:t xml:space="preserve"> pozdĺžn</w:t>
      </w:r>
      <w:r w:rsidR="00244AD7" w:rsidRPr="00FE3047">
        <w:t>ymi</w:t>
      </w:r>
      <w:r w:rsidR="0032698B" w:rsidRPr="00FE3047">
        <w:t xml:space="preserve"> pavlačov</w:t>
      </w:r>
      <w:r w:rsidR="00244AD7" w:rsidRPr="00FE3047">
        <w:t>ými objektami (SO 001 A1, SO 001 A2),</w:t>
      </w:r>
      <w:r w:rsidR="0032698B" w:rsidRPr="00FE3047">
        <w:t xml:space="preserve"> </w:t>
      </w:r>
      <w:r w:rsidR="00244AD7" w:rsidRPr="00FE3047">
        <w:t>šiestimi</w:t>
      </w:r>
      <w:r w:rsidR="0032698B" w:rsidRPr="00FE3047">
        <w:t xml:space="preserve"> bodový</w:t>
      </w:r>
      <w:r w:rsidR="00244AD7" w:rsidRPr="00FE3047">
        <w:t>mi</w:t>
      </w:r>
      <w:r w:rsidR="0032698B" w:rsidRPr="00FE3047">
        <w:t xml:space="preserve"> pavlačový</w:t>
      </w:r>
      <w:r w:rsidR="00244AD7" w:rsidRPr="00FE3047">
        <w:t>mi objektami (SO 001 B1, SO 001 B2, SO 001 B3, SO 001 B4, SO 001 B5, SO 001 B6</w:t>
      </w:r>
      <w:r w:rsidR="0032698B" w:rsidRPr="00FE3047">
        <w:t>)</w:t>
      </w:r>
      <w:r w:rsidR="006B5178" w:rsidRPr="00FE3047">
        <w:t xml:space="preserve">, </w:t>
      </w:r>
      <w:r w:rsidR="0032698B" w:rsidRPr="00FE3047">
        <w:t>suterénom s</w:t>
      </w:r>
      <w:r w:rsidR="006B5178" w:rsidRPr="00FE3047">
        <w:t> </w:t>
      </w:r>
      <w:r w:rsidR="0032698B" w:rsidRPr="00FE3047">
        <w:t>garáž</w:t>
      </w:r>
      <w:r w:rsidR="00F53868" w:rsidRPr="00FE3047">
        <w:t>ou</w:t>
      </w:r>
      <w:r w:rsidR="006B5178" w:rsidRPr="00FE3047">
        <w:t xml:space="preserve"> a</w:t>
      </w:r>
      <w:r w:rsidR="0032698B" w:rsidRPr="00FE3047">
        <w:t xml:space="preserve"> technickým zázemím</w:t>
      </w:r>
      <w:r w:rsidR="006B5178" w:rsidRPr="00FE3047">
        <w:t>.</w:t>
      </w:r>
      <w:r w:rsidR="00847BB6" w:rsidRPr="00FE3047">
        <w:t xml:space="preserve"> </w:t>
      </w:r>
      <w:r w:rsidR="004E1D67" w:rsidRPr="00FE3047">
        <w:rPr>
          <w:b/>
          <w:bCs/>
        </w:rPr>
        <w:t>K</w:t>
      </w:r>
      <w:r w:rsidR="003A2A95" w:rsidRPr="00FE3047">
        <w:rPr>
          <w:b/>
          <w:bCs/>
        </w:rPr>
        <w:t>apacita je 85 bytov, 88 podzemných parkovacích stojísk, 11 povrchových stojísk.</w:t>
      </w:r>
      <w:r w:rsidR="0032698B" w:rsidRPr="00FE3047">
        <w:rPr>
          <w:b/>
          <w:bCs/>
        </w:rPr>
        <w:t xml:space="preserve"> </w:t>
      </w:r>
    </w:p>
    <w:p w14:paraId="751E2FBA" w14:textId="2EC63582" w:rsidR="0035464D" w:rsidRPr="00FE3047" w:rsidRDefault="0035464D" w:rsidP="0035464D">
      <w:pPr>
        <w:pStyle w:val="A-Text11"/>
      </w:pPr>
      <w:r w:rsidRPr="00FE3047">
        <w:t>Okolité komunikačné plochy okolo bytového domu pozdĺž ulíc Terchovská, B</w:t>
      </w:r>
      <w:r w:rsidR="004E1D67" w:rsidRPr="00FE3047">
        <w:t>a</w:t>
      </w:r>
      <w:r w:rsidRPr="00FE3047">
        <w:t>nšelova, Galv</w:t>
      </w:r>
      <w:r w:rsidR="004E1D67" w:rsidRPr="00FE3047">
        <w:t>a</w:t>
      </w:r>
      <w:r w:rsidRPr="00FE3047">
        <w:t>niho a súvisiaca technická infraštruktúra vrátane parkovacích miest, odstavných plôch, objektov pro kontejnery BD Terchovská, mobiliáre, mestskej zelene, cyklotrás a úprav križovatiek. Počet parkovacích stojísk dotknutého územie je 39 nových povrchových stojísk, 1 stávajúci značené sa ruší.</w:t>
      </w:r>
    </w:p>
    <w:p w14:paraId="12F64D23" w14:textId="7A5F3287" w:rsidR="0035464D" w:rsidRPr="00FE3047" w:rsidRDefault="0035464D" w:rsidP="0035464D">
      <w:pPr>
        <w:pStyle w:val="A-Text11"/>
        <w:rPr>
          <w:b/>
          <w:bCs/>
        </w:rPr>
      </w:pPr>
      <w:r w:rsidRPr="00FE3047">
        <w:rPr>
          <w:b/>
          <w:bCs/>
        </w:rPr>
        <w:t>Celkovo sa navrhuje 88 + 11 + 39 – 1 = 137 stojísk.</w:t>
      </w:r>
    </w:p>
    <w:p w14:paraId="5979DB4F" w14:textId="5CC2E056" w:rsidR="00847BB6" w:rsidRPr="00FE3047" w:rsidRDefault="002F4788" w:rsidP="00B729B6">
      <w:pPr>
        <w:pStyle w:val="A-Text11"/>
      </w:pPr>
      <w:r w:rsidRPr="00FE3047">
        <w:t>Osem</w:t>
      </w:r>
      <w:r w:rsidR="00312E6B" w:rsidRPr="00FE3047">
        <w:t xml:space="preserve"> </w:t>
      </w:r>
      <w:r w:rsidR="00B729B6" w:rsidRPr="00FE3047">
        <w:t>hlavných ob</w:t>
      </w:r>
      <w:r w:rsidR="006E598B" w:rsidRPr="00FE3047">
        <w:t>j</w:t>
      </w:r>
      <w:r w:rsidR="00847BB6" w:rsidRPr="00FE3047">
        <w:t>ektov</w:t>
      </w:r>
      <w:r w:rsidRPr="00FE3047">
        <w:t xml:space="preserve"> sa </w:t>
      </w:r>
      <w:r w:rsidR="00B729B6" w:rsidRPr="00FE3047">
        <w:t>rozprestiera na trojuholníkovom stavebnom pozemku medzi ulicami Terchovská, Galv</w:t>
      </w:r>
      <w:r w:rsidR="004E1D67" w:rsidRPr="00FE3047">
        <w:t>a</w:t>
      </w:r>
      <w:r w:rsidR="00B729B6" w:rsidRPr="00FE3047">
        <w:t>niho a B</w:t>
      </w:r>
      <w:r w:rsidR="004E1D67" w:rsidRPr="00FE3047">
        <w:t>a</w:t>
      </w:r>
      <w:r w:rsidR="00B729B6" w:rsidRPr="00FE3047">
        <w:t xml:space="preserve">nšelova. </w:t>
      </w:r>
    </w:p>
    <w:p w14:paraId="40AC4F86" w14:textId="2F41B78A" w:rsidR="00B729B6" w:rsidRPr="00FE3047" w:rsidRDefault="00B729B6" w:rsidP="00B729B6">
      <w:pPr>
        <w:pStyle w:val="A-Text11"/>
      </w:pPr>
      <w:r w:rsidRPr="00FE3047">
        <w:t>Vymedzenie smerom ku Galvaniho ulici zabezpečuje štvorpodlažná pozdĺžna budova pavilónu. Ostatné trojpodlažné poschodové obj</w:t>
      </w:r>
      <w:r w:rsidR="00847BB6" w:rsidRPr="00FE3047">
        <w:t>ekty</w:t>
      </w:r>
      <w:r w:rsidRPr="00FE3047">
        <w:t xml:space="preserve"> sú skôr bodové a vytvárajú štruktúru parkových poloverejných priestorov medzi nimi. Areál bytového domu je voľne priechodný a nadväzuje naň úprava okolitých verejných priestranstiev: Terchovská ulica je upravená do podoby obytnej ulice, B</w:t>
      </w:r>
      <w:r w:rsidR="004E1D67" w:rsidRPr="00FE3047">
        <w:t>a</w:t>
      </w:r>
      <w:r w:rsidRPr="00FE3047">
        <w:t>nšelova ulica je lokálne zrekonštruovaná a pozdĺž Galvaniho ulice má pribudnúť chodník a cyklotrasa. Pri B</w:t>
      </w:r>
      <w:r w:rsidR="004E1D67" w:rsidRPr="00FE3047">
        <w:t>a</w:t>
      </w:r>
      <w:r w:rsidRPr="00FE3047">
        <w:t>nšelovej ulici vznikne nové parkovisko. Všetky stavebné prvky budú doplnené mestskou zeleňou.</w:t>
      </w:r>
    </w:p>
    <w:p w14:paraId="44C0CB6E" w14:textId="6461F62E" w:rsidR="003D3E2F" w:rsidRPr="00FE3047" w:rsidRDefault="00540F7F" w:rsidP="00C231EA">
      <w:pPr>
        <w:pStyle w:val="A-Text11"/>
        <w:spacing w:after="120"/>
        <w:ind w:firstLine="0"/>
        <w:rPr>
          <w:i/>
          <w:iCs/>
          <w:sz w:val="18"/>
          <w:szCs w:val="18"/>
        </w:rPr>
      </w:pPr>
      <w:r w:rsidRPr="00FE3047">
        <w:rPr>
          <w:i/>
          <w:iCs/>
          <w:sz w:val="18"/>
          <w:szCs w:val="18"/>
        </w:rPr>
        <w:t xml:space="preserve">Tab. č. </w:t>
      </w:r>
      <w:r w:rsidR="002016E3" w:rsidRPr="00FE3047">
        <w:rPr>
          <w:i/>
          <w:iCs/>
          <w:sz w:val="18"/>
          <w:szCs w:val="18"/>
        </w:rPr>
        <w:t>II.4.</w:t>
      </w:r>
      <w:r w:rsidR="0091304E" w:rsidRPr="00FE3047">
        <w:rPr>
          <w:i/>
          <w:iCs/>
          <w:sz w:val="18"/>
          <w:szCs w:val="18"/>
        </w:rPr>
        <w:t>1</w:t>
      </w:r>
      <w:r w:rsidRPr="00FE3047">
        <w:rPr>
          <w:i/>
          <w:iCs/>
          <w:sz w:val="18"/>
          <w:szCs w:val="18"/>
        </w:rPr>
        <w:t xml:space="preserve">: Zaradenie navrhovanej činnosti podľa Prílohy č. 8 k zákonu č. 24/2006 Z.z.  o posudzovaní vplyvov na životné prostredie </w:t>
      </w:r>
    </w:p>
    <w:tbl>
      <w:tblPr>
        <w:tblW w:w="9072" w:type="dxa"/>
        <w:tblInd w:w="-5" w:type="dxa"/>
        <w:tblCellMar>
          <w:left w:w="70" w:type="dxa"/>
          <w:right w:w="70" w:type="dxa"/>
        </w:tblCellMar>
        <w:tblLook w:val="04A0" w:firstRow="1" w:lastRow="0" w:firstColumn="1" w:lastColumn="0" w:noHBand="0" w:noVBand="1"/>
      </w:tblPr>
      <w:tblGrid>
        <w:gridCol w:w="3477"/>
        <w:gridCol w:w="2835"/>
        <w:gridCol w:w="2760"/>
      </w:tblGrid>
      <w:tr w:rsidR="00FE3047" w:rsidRPr="00FE3047" w14:paraId="4DCFD942" w14:textId="77777777" w:rsidTr="000802FD">
        <w:trPr>
          <w:trHeight w:val="420"/>
        </w:trPr>
        <w:tc>
          <w:tcPr>
            <w:tcW w:w="3477"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463D808F" w14:textId="77777777" w:rsidR="00632435" w:rsidRPr="00FE3047" w:rsidRDefault="00632435" w:rsidP="00632435">
            <w:pPr>
              <w:widowControl/>
              <w:rPr>
                <w:rFonts w:ascii="Arial" w:hAnsi="Arial" w:cs="Arial"/>
                <w:sz w:val="22"/>
                <w:szCs w:val="22"/>
              </w:rPr>
            </w:pPr>
            <w:r w:rsidRPr="00FE3047">
              <w:rPr>
                <w:rFonts w:ascii="Arial" w:hAnsi="Arial" w:cs="Arial"/>
                <w:bCs/>
                <w:sz w:val="22"/>
                <w:szCs w:val="28"/>
              </w:rPr>
              <w:t xml:space="preserve">Položka podľa Prílohy č. 8 </w:t>
            </w:r>
          </w:p>
        </w:tc>
        <w:tc>
          <w:tcPr>
            <w:tcW w:w="2835" w:type="dxa"/>
            <w:tcBorders>
              <w:top w:val="single" w:sz="4" w:space="0" w:color="FFFFFF"/>
              <w:left w:val="nil"/>
              <w:bottom w:val="single" w:sz="4" w:space="0" w:color="FFFFFF"/>
              <w:right w:val="single" w:sz="4" w:space="0" w:color="FFFFFF"/>
            </w:tcBorders>
            <w:shd w:val="clear" w:color="000000" w:fill="D9D9D9"/>
            <w:vAlign w:val="center"/>
            <w:hideMark/>
          </w:tcPr>
          <w:p w14:paraId="4079CCBC" w14:textId="77777777" w:rsidR="00632435" w:rsidRPr="00FE3047" w:rsidRDefault="00632435" w:rsidP="00632435">
            <w:pPr>
              <w:widowControl/>
              <w:jc w:val="center"/>
              <w:rPr>
                <w:rFonts w:ascii="Arial" w:hAnsi="Arial" w:cs="Arial"/>
                <w:sz w:val="22"/>
                <w:szCs w:val="22"/>
              </w:rPr>
            </w:pPr>
            <w:r w:rsidRPr="00FE3047">
              <w:rPr>
                <w:rFonts w:ascii="Arial" w:hAnsi="Arial" w:cs="Arial"/>
                <w:bCs/>
                <w:sz w:val="22"/>
                <w:szCs w:val="28"/>
              </w:rPr>
              <w:t xml:space="preserve">Variant č.1 </w:t>
            </w:r>
          </w:p>
        </w:tc>
        <w:tc>
          <w:tcPr>
            <w:tcW w:w="2760" w:type="dxa"/>
            <w:tcBorders>
              <w:top w:val="single" w:sz="4" w:space="0" w:color="FFFFFF"/>
              <w:left w:val="nil"/>
              <w:bottom w:val="single" w:sz="4" w:space="0" w:color="FFFFFF"/>
              <w:right w:val="single" w:sz="4" w:space="0" w:color="FFFFFF"/>
            </w:tcBorders>
            <w:shd w:val="clear" w:color="000000" w:fill="D9D9D9"/>
            <w:vAlign w:val="center"/>
            <w:hideMark/>
          </w:tcPr>
          <w:p w14:paraId="1BB01986" w14:textId="77777777" w:rsidR="00632435" w:rsidRPr="00FE3047" w:rsidRDefault="00632435" w:rsidP="00632435">
            <w:pPr>
              <w:widowControl/>
              <w:jc w:val="center"/>
              <w:rPr>
                <w:rFonts w:ascii="Arial" w:hAnsi="Arial" w:cs="Arial"/>
                <w:sz w:val="22"/>
                <w:szCs w:val="22"/>
              </w:rPr>
            </w:pPr>
            <w:r w:rsidRPr="00FE3047">
              <w:rPr>
                <w:rFonts w:ascii="Arial" w:hAnsi="Arial" w:cs="Arial"/>
                <w:bCs/>
                <w:sz w:val="22"/>
                <w:szCs w:val="28"/>
              </w:rPr>
              <w:t xml:space="preserve">Variant č.2 </w:t>
            </w:r>
          </w:p>
        </w:tc>
      </w:tr>
      <w:tr w:rsidR="00FE3047" w:rsidRPr="00FE3047" w14:paraId="3C7B82D7" w14:textId="77777777" w:rsidTr="000802FD">
        <w:trPr>
          <w:trHeight w:val="390"/>
        </w:trPr>
        <w:tc>
          <w:tcPr>
            <w:tcW w:w="3477" w:type="dxa"/>
            <w:tcBorders>
              <w:top w:val="nil"/>
              <w:left w:val="single" w:sz="4" w:space="0" w:color="FFFFFF"/>
              <w:bottom w:val="single" w:sz="4" w:space="0" w:color="FFFFFF"/>
              <w:right w:val="single" w:sz="4" w:space="0" w:color="FFFFFF"/>
            </w:tcBorders>
            <w:shd w:val="clear" w:color="000000" w:fill="D9D9D9"/>
            <w:vAlign w:val="center"/>
            <w:hideMark/>
          </w:tcPr>
          <w:p w14:paraId="39CE9FEE" w14:textId="77777777" w:rsidR="00632435" w:rsidRPr="00FE3047" w:rsidRDefault="00632435" w:rsidP="00632435">
            <w:pPr>
              <w:widowControl/>
              <w:rPr>
                <w:rFonts w:ascii="Arial" w:hAnsi="Arial" w:cs="Arial"/>
                <w:sz w:val="22"/>
                <w:szCs w:val="22"/>
              </w:rPr>
            </w:pPr>
            <w:r w:rsidRPr="00FE3047">
              <w:rPr>
                <w:rFonts w:ascii="Arial" w:hAnsi="Arial" w:cs="Arial"/>
                <w:bCs/>
                <w:sz w:val="22"/>
                <w:szCs w:val="28"/>
              </w:rPr>
              <w:t xml:space="preserve">Kapitola č. 9, položka č. 16a </w:t>
            </w:r>
          </w:p>
        </w:tc>
        <w:tc>
          <w:tcPr>
            <w:tcW w:w="5595" w:type="dxa"/>
            <w:gridSpan w:val="2"/>
            <w:tcBorders>
              <w:top w:val="single" w:sz="4" w:space="0" w:color="FFFFFF"/>
              <w:left w:val="nil"/>
              <w:bottom w:val="nil"/>
              <w:right w:val="single" w:sz="4" w:space="0" w:color="FFFFFF"/>
            </w:tcBorders>
            <w:shd w:val="clear" w:color="000000" w:fill="D9D9D9"/>
            <w:vAlign w:val="center"/>
            <w:hideMark/>
          </w:tcPr>
          <w:p w14:paraId="46DA36F7" w14:textId="77777777" w:rsidR="00632435" w:rsidRPr="00FE3047" w:rsidRDefault="00632435" w:rsidP="00632435">
            <w:pPr>
              <w:widowControl/>
              <w:jc w:val="center"/>
              <w:rPr>
                <w:rFonts w:ascii="Arial" w:hAnsi="Arial" w:cs="Arial"/>
                <w:sz w:val="22"/>
                <w:szCs w:val="22"/>
              </w:rPr>
            </w:pPr>
            <w:r w:rsidRPr="00FE3047">
              <w:rPr>
                <w:rFonts w:ascii="Arial" w:hAnsi="Arial" w:cs="Arial"/>
                <w:bCs/>
                <w:sz w:val="22"/>
                <w:szCs w:val="28"/>
              </w:rPr>
              <w:t xml:space="preserve">Podlahová plocha </w:t>
            </w:r>
          </w:p>
        </w:tc>
      </w:tr>
      <w:tr w:rsidR="00FE3047" w:rsidRPr="00FE3047" w14:paraId="1E0D89B0" w14:textId="77777777" w:rsidTr="000802FD">
        <w:trPr>
          <w:trHeight w:val="1170"/>
        </w:trPr>
        <w:tc>
          <w:tcPr>
            <w:tcW w:w="3477" w:type="dxa"/>
            <w:tcBorders>
              <w:top w:val="nil"/>
              <w:left w:val="single" w:sz="4" w:space="0" w:color="FFFFFF"/>
              <w:bottom w:val="single" w:sz="4" w:space="0" w:color="FFFFFF"/>
              <w:right w:val="nil"/>
            </w:tcBorders>
            <w:shd w:val="clear" w:color="000000" w:fill="F2F2F2"/>
            <w:vAlign w:val="center"/>
            <w:hideMark/>
          </w:tcPr>
          <w:p w14:paraId="6957352A" w14:textId="77777777" w:rsidR="00632435" w:rsidRPr="00FE3047" w:rsidRDefault="00632435" w:rsidP="00632435">
            <w:pPr>
              <w:widowControl/>
              <w:rPr>
                <w:rFonts w:ascii="Arial" w:hAnsi="Arial" w:cs="Arial"/>
                <w:sz w:val="22"/>
                <w:szCs w:val="22"/>
              </w:rPr>
            </w:pPr>
            <w:r w:rsidRPr="00FE3047">
              <w:rPr>
                <w:rFonts w:ascii="Arial" w:hAnsi="Arial" w:cs="Arial"/>
                <w:bCs/>
                <w:sz w:val="22"/>
                <w:szCs w:val="28"/>
              </w:rPr>
              <w:t xml:space="preserve">Pozemné stavby alebo ich súbory, ak nie sú uvedené v iných položkách tejto prílohy </w:t>
            </w:r>
          </w:p>
        </w:tc>
        <w:tc>
          <w:tcPr>
            <w:tcW w:w="2835" w:type="dxa"/>
            <w:tcBorders>
              <w:top w:val="single" w:sz="4" w:space="0" w:color="D9D9D9"/>
              <w:left w:val="single" w:sz="4" w:space="0" w:color="D9D9D9"/>
              <w:bottom w:val="single" w:sz="4" w:space="0" w:color="D9D9D9"/>
              <w:right w:val="nil"/>
            </w:tcBorders>
            <w:shd w:val="clear" w:color="000000" w:fill="FFFFFF"/>
            <w:vAlign w:val="center"/>
            <w:hideMark/>
          </w:tcPr>
          <w:p w14:paraId="519F7BE6" w14:textId="653D09BF" w:rsidR="00632435" w:rsidRPr="000E0BC7" w:rsidRDefault="00F90C9B" w:rsidP="00632435">
            <w:pPr>
              <w:widowControl/>
              <w:jc w:val="center"/>
              <w:rPr>
                <w:rFonts w:ascii="Arial" w:hAnsi="Arial" w:cs="Arial"/>
                <w:sz w:val="22"/>
                <w:szCs w:val="22"/>
              </w:rPr>
            </w:pPr>
            <w:r w:rsidRPr="000E0BC7">
              <w:rPr>
                <w:rFonts w:ascii="Arial" w:hAnsi="Arial" w:cs="Arial"/>
                <w:bCs/>
                <w:sz w:val="22"/>
                <w:szCs w:val="28"/>
              </w:rPr>
              <w:t>7</w:t>
            </w:r>
            <w:r w:rsidR="00450075" w:rsidRPr="000E0BC7">
              <w:rPr>
                <w:rFonts w:ascii="Arial" w:hAnsi="Arial" w:cs="Arial"/>
                <w:bCs/>
                <w:sz w:val="22"/>
                <w:szCs w:val="28"/>
              </w:rPr>
              <w:t>523</w:t>
            </w:r>
            <w:r w:rsidR="00632435" w:rsidRPr="000E0BC7">
              <w:rPr>
                <w:rFonts w:ascii="Arial" w:hAnsi="Arial" w:cs="Arial"/>
                <w:bCs/>
                <w:sz w:val="22"/>
                <w:szCs w:val="28"/>
              </w:rPr>
              <w:t xml:space="preserve"> m</w:t>
            </w:r>
            <w:r w:rsidR="00632435" w:rsidRPr="00931EA0">
              <w:rPr>
                <w:rFonts w:ascii="Arial" w:hAnsi="Arial" w:cs="Arial"/>
                <w:bCs/>
                <w:sz w:val="22"/>
                <w:szCs w:val="28"/>
                <w:vertAlign w:val="superscript"/>
              </w:rPr>
              <w:t xml:space="preserve">2 </w:t>
            </w:r>
            <w:r w:rsidR="00632435" w:rsidRPr="000E0BC7">
              <w:rPr>
                <w:rFonts w:ascii="Arial" w:hAnsi="Arial" w:cs="Arial"/>
                <w:bCs/>
                <w:sz w:val="22"/>
                <w:szCs w:val="28"/>
              </w:rPr>
              <w:t xml:space="preserve"> </w:t>
            </w:r>
          </w:p>
        </w:tc>
        <w:tc>
          <w:tcPr>
            <w:tcW w:w="2760" w:type="dxa"/>
            <w:tcBorders>
              <w:top w:val="single" w:sz="4" w:space="0" w:color="D9D9D9"/>
              <w:left w:val="single" w:sz="4" w:space="0" w:color="D9D9D9"/>
              <w:bottom w:val="single" w:sz="4" w:space="0" w:color="D9D9D9"/>
              <w:right w:val="single" w:sz="4" w:space="0" w:color="D9D9D9"/>
            </w:tcBorders>
            <w:shd w:val="clear" w:color="000000" w:fill="FFFFFF"/>
            <w:vAlign w:val="center"/>
            <w:hideMark/>
          </w:tcPr>
          <w:p w14:paraId="6E61191E" w14:textId="2BC54770" w:rsidR="00632435" w:rsidRPr="000E0BC7" w:rsidRDefault="00F90C9B" w:rsidP="00632435">
            <w:pPr>
              <w:widowControl/>
              <w:jc w:val="center"/>
              <w:rPr>
                <w:rFonts w:ascii="Arial" w:hAnsi="Arial" w:cs="Arial"/>
                <w:sz w:val="22"/>
                <w:szCs w:val="22"/>
              </w:rPr>
            </w:pPr>
            <w:r w:rsidRPr="000E0BC7">
              <w:rPr>
                <w:rFonts w:ascii="Arial" w:hAnsi="Arial" w:cs="Arial"/>
                <w:bCs/>
                <w:sz w:val="22"/>
                <w:szCs w:val="28"/>
              </w:rPr>
              <w:t>7</w:t>
            </w:r>
            <w:r w:rsidR="00450075" w:rsidRPr="000E0BC7">
              <w:rPr>
                <w:rFonts w:ascii="Arial" w:hAnsi="Arial" w:cs="Arial"/>
                <w:bCs/>
                <w:sz w:val="22"/>
                <w:szCs w:val="28"/>
              </w:rPr>
              <w:t>523</w:t>
            </w:r>
            <w:r w:rsidR="00632435" w:rsidRPr="000E0BC7">
              <w:rPr>
                <w:rFonts w:ascii="Arial" w:hAnsi="Arial" w:cs="Arial"/>
                <w:bCs/>
                <w:sz w:val="22"/>
                <w:szCs w:val="28"/>
              </w:rPr>
              <w:t xml:space="preserve"> m</w:t>
            </w:r>
            <w:r w:rsidR="00632435" w:rsidRPr="00931EA0">
              <w:rPr>
                <w:rFonts w:ascii="Arial" w:hAnsi="Arial" w:cs="Arial"/>
                <w:bCs/>
                <w:sz w:val="22"/>
                <w:szCs w:val="28"/>
                <w:vertAlign w:val="superscript"/>
              </w:rPr>
              <w:t>2</w:t>
            </w:r>
            <w:r w:rsidR="00632435" w:rsidRPr="000E0BC7">
              <w:rPr>
                <w:rFonts w:ascii="Arial" w:hAnsi="Arial" w:cs="Arial"/>
                <w:bCs/>
                <w:sz w:val="22"/>
                <w:szCs w:val="28"/>
              </w:rPr>
              <w:t xml:space="preserve"> </w:t>
            </w:r>
          </w:p>
        </w:tc>
      </w:tr>
      <w:tr w:rsidR="00FE3047" w:rsidRPr="00FE3047" w14:paraId="0723E3ED" w14:textId="77777777" w:rsidTr="000802FD">
        <w:trPr>
          <w:trHeight w:val="390"/>
        </w:trPr>
        <w:tc>
          <w:tcPr>
            <w:tcW w:w="3477" w:type="dxa"/>
            <w:tcBorders>
              <w:top w:val="nil"/>
              <w:left w:val="single" w:sz="4" w:space="0" w:color="FFFFFF"/>
              <w:bottom w:val="single" w:sz="4" w:space="0" w:color="FFFFFF"/>
              <w:right w:val="single" w:sz="4" w:space="0" w:color="FFFFFF"/>
            </w:tcBorders>
            <w:shd w:val="clear" w:color="000000" w:fill="D9D9D9"/>
            <w:vAlign w:val="center"/>
            <w:hideMark/>
          </w:tcPr>
          <w:p w14:paraId="0867ED19" w14:textId="77777777" w:rsidR="00632435" w:rsidRPr="00FE3047" w:rsidRDefault="00632435" w:rsidP="00632435">
            <w:pPr>
              <w:widowControl/>
              <w:rPr>
                <w:rFonts w:ascii="Arial" w:hAnsi="Arial" w:cs="Arial"/>
                <w:sz w:val="22"/>
                <w:szCs w:val="22"/>
              </w:rPr>
            </w:pPr>
            <w:r w:rsidRPr="00FE3047">
              <w:rPr>
                <w:rFonts w:ascii="Arial" w:hAnsi="Arial" w:cs="Arial"/>
                <w:bCs/>
                <w:sz w:val="22"/>
                <w:szCs w:val="28"/>
              </w:rPr>
              <w:t xml:space="preserve">Kapitola č. 9, položka č. 16b </w:t>
            </w:r>
          </w:p>
        </w:tc>
        <w:tc>
          <w:tcPr>
            <w:tcW w:w="5595" w:type="dxa"/>
            <w:gridSpan w:val="2"/>
            <w:tcBorders>
              <w:top w:val="nil"/>
              <w:left w:val="nil"/>
              <w:bottom w:val="nil"/>
              <w:right w:val="single" w:sz="4" w:space="0" w:color="FFFFFF"/>
            </w:tcBorders>
            <w:shd w:val="clear" w:color="000000" w:fill="D9D9D9"/>
            <w:vAlign w:val="center"/>
            <w:hideMark/>
          </w:tcPr>
          <w:p w14:paraId="15FF887D" w14:textId="77777777" w:rsidR="00632435" w:rsidRPr="00FE3047" w:rsidRDefault="00632435" w:rsidP="00632435">
            <w:pPr>
              <w:widowControl/>
              <w:jc w:val="center"/>
              <w:rPr>
                <w:rFonts w:ascii="Arial" w:hAnsi="Arial" w:cs="Arial"/>
                <w:sz w:val="22"/>
                <w:szCs w:val="22"/>
              </w:rPr>
            </w:pPr>
            <w:r w:rsidRPr="00FE3047">
              <w:rPr>
                <w:rFonts w:ascii="Arial" w:hAnsi="Arial" w:cs="Arial"/>
                <w:bCs/>
                <w:sz w:val="22"/>
                <w:szCs w:val="28"/>
              </w:rPr>
              <w:t xml:space="preserve">Počet stojísk </w:t>
            </w:r>
          </w:p>
        </w:tc>
      </w:tr>
      <w:tr w:rsidR="00FE3047" w:rsidRPr="00FE3047" w14:paraId="773E7539" w14:textId="77777777" w:rsidTr="000802FD">
        <w:trPr>
          <w:trHeight w:val="540"/>
        </w:trPr>
        <w:tc>
          <w:tcPr>
            <w:tcW w:w="3477" w:type="dxa"/>
            <w:tcBorders>
              <w:top w:val="nil"/>
              <w:left w:val="single" w:sz="4" w:space="0" w:color="FFFFFF"/>
              <w:bottom w:val="single" w:sz="4" w:space="0" w:color="FFFFFF"/>
              <w:right w:val="nil"/>
            </w:tcBorders>
            <w:shd w:val="clear" w:color="000000" w:fill="F2F2F2"/>
            <w:vAlign w:val="center"/>
            <w:hideMark/>
          </w:tcPr>
          <w:p w14:paraId="06EBBDA3" w14:textId="77777777" w:rsidR="00632435" w:rsidRPr="00FE3047" w:rsidRDefault="00632435" w:rsidP="00632435">
            <w:pPr>
              <w:widowControl/>
              <w:rPr>
                <w:rFonts w:ascii="Arial" w:hAnsi="Arial" w:cs="Arial"/>
                <w:sz w:val="22"/>
                <w:szCs w:val="22"/>
              </w:rPr>
            </w:pPr>
            <w:r w:rsidRPr="00FE3047">
              <w:rPr>
                <w:rFonts w:ascii="Arial" w:hAnsi="Arial" w:cs="Arial"/>
                <w:sz w:val="22"/>
                <w:szCs w:val="22"/>
              </w:rPr>
              <w:t xml:space="preserve">Statická doprava </w:t>
            </w:r>
          </w:p>
        </w:tc>
        <w:tc>
          <w:tcPr>
            <w:tcW w:w="2835" w:type="dxa"/>
            <w:tcBorders>
              <w:top w:val="single" w:sz="4" w:space="0" w:color="D9D9D9"/>
              <w:left w:val="single" w:sz="4" w:space="0" w:color="D9D9D9"/>
              <w:bottom w:val="single" w:sz="4" w:space="0" w:color="D9D9D9"/>
              <w:right w:val="single" w:sz="4" w:space="0" w:color="D9D9D9"/>
            </w:tcBorders>
            <w:shd w:val="clear" w:color="000000" w:fill="FFFFFF"/>
            <w:vAlign w:val="center"/>
            <w:hideMark/>
          </w:tcPr>
          <w:p w14:paraId="1CD6D515" w14:textId="78A9179D" w:rsidR="00632435" w:rsidRPr="00FE3047" w:rsidRDefault="0035464D" w:rsidP="00632435">
            <w:pPr>
              <w:widowControl/>
              <w:jc w:val="center"/>
              <w:rPr>
                <w:rFonts w:ascii="Arial" w:hAnsi="Arial" w:cs="Arial"/>
                <w:sz w:val="22"/>
                <w:szCs w:val="22"/>
              </w:rPr>
            </w:pPr>
            <w:r w:rsidRPr="00FE3047">
              <w:rPr>
                <w:rFonts w:ascii="Arial" w:hAnsi="Arial" w:cs="Arial"/>
                <w:bCs/>
                <w:sz w:val="22"/>
                <w:szCs w:val="28"/>
              </w:rPr>
              <w:t>137</w:t>
            </w:r>
          </w:p>
        </w:tc>
        <w:tc>
          <w:tcPr>
            <w:tcW w:w="2760" w:type="dxa"/>
            <w:tcBorders>
              <w:top w:val="single" w:sz="4" w:space="0" w:color="D9D9D9"/>
              <w:left w:val="nil"/>
              <w:bottom w:val="single" w:sz="4" w:space="0" w:color="D9D9D9"/>
              <w:right w:val="single" w:sz="4" w:space="0" w:color="D9D9D9"/>
            </w:tcBorders>
            <w:shd w:val="clear" w:color="000000" w:fill="FFFFFF"/>
            <w:vAlign w:val="center"/>
            <w:hideMark/>
          </w:tcPr>
          <w:p w14:paraId="78B94950" w14:textId="33E65FD5" w:rsidR="00632435" w:rsidRPr="00FE3047" w:rsidRDefault="0035464D" w:rsidP="00632435">
            <w:pPr>
              <w:widowControl/>
              <w:jc w:val="center"/>
              <w:rPr>
                <w:rFonts w:ascii="Arial" w:hAnsi="Arial" w:cs="Arial"/>
                <w:sz w:val="22"/>
                <w:szCs w:val="22"/>
              </w:rPr>
            </w:pPr>
            <w:r w:rsidRPr="00FE3047">
              <w:rPr>
                <w:rFonts w:ascii="Arial" w:hAnsi="Arial" w:cs="Arial"/>
                <w:sz w:val="22"/>
                <w:szCs w:val="22"/>
              </w:rPr>
              <w:t>137</w:t>
            </w:r>
          </w:p>
        </w:tc>
      </w:tr>
      <w:tr w:rsidR="00FE3047" w:rsidRPr="00FE3047" w14:paraId="5B865C1A" w14:textId="77777777" w:rsidTr="000802FD">
        <w:trPr>
          <w:trHeight w:val="390"/>
        </w:trPr>
        <w:tc>
          <w:tcPr>
            <w:tcW w:w="3477" w:type="dxa"/>
            <w:tcBorders>
              <w:top w:val="nil"/>
              <w:left w:val="single" w:sz="4" w:space="0" w:color="FFFFFF"/>
              <w:bottom w:val="single" w:sz="4" w:space="0" w:color="FFFFFF"/>
              <w:right w:val="nil"/>
            </w:tcBorders>
            <w:shd w:val="clear" w:color="000000" w:fill="D9D9D9"/>
            <w:vAlign w:val="center"/>
            <w:hideMark/>
          </w:tcPr>
          <w:p w14:paraId="322412F4" w14:textId="77777777" w:rsidR="00632435" w:rsidRPr="00FE3047" w:rsidRDefault="00632435" w:rsidP="00632435">
            <w:pPr>
              <w:widowControl/>
              <w:rPr>
                <w:rFonts w:ascii="Arial" w:hAnsi="Arial" w:cs="Arial"/>
                <w:sz w:val="22"/>
                <w:szCs w:val="22"/>
              </w:rPr>
            </w:pPr>
            <w:r w:rsidRPr="00FE3047">
              <w:rPr>
                <w:rFonts w:ascii="Arial" w:hAnsi="Arial" w:cs="Arial"/>
                <w:bCs/>
                <w:sz w:val="22"/>
                <w:szCs w:val="28"/>
              </w:rPr>
              <w:t xml:space="preserve">Kapitola č. 2, položka 14  </w:t>
            </w:r>
          </w:p>
        </w:tc>
        <w:tc>
          <w:tcPr>
            <w:tcW w:w="2835" w:type="dxa"/>
            <w:vMerge w:val="restart"/>
            <w:tcBorders>
              <w:top w:val="nil"/>
              <w:left w:val="single" w:sz="4" w:space="0" w:color="D9D9D9"/>
              <w:bottom w:val="single" w:sz="4" w:space="0" w:color="D9D9D9"/>
              <w:right w:val="single" w:sz="4" w:space="0" w:color="D9D9D9"/>
            </w:tcBorders>
            <w:shd w:val="clear" w:color="000000" w:fill="FFFFFF"/>
            <w:vAlign w:val="center"/>
            <w:hideMark/>
          </w:tcPr>
          <w:p w14:paraId="2CF7EF3C" w14:textId="77777777" w:rsidR="00632435" w:rsidRPr="00FE3047" w:rsidRDefault="00632435" w:rsidP="00632435">
            <w:pPr>
              <w:widowControl/>
              <w:jc w:val="center"/>
              <w:rPr>
                <w:rFonts w:ascii="Arial" w:hAnsi="Arial" w:cs="Arial"/>
                <w:sz w:val="22"/>
                <w:szCs w:val="22"/>
              </w:rPr>
            </w:pPr>
            <w:r w:rsidRPr="00FE3047">
              <w:rPr>
                <w:rFonts w:ascii="Arial" w:hAnsi="Arial" w:cs="Arial"/>
                <w:bCs/>
                <w:sz w:val="22"/>
                <w:szCs w:val="28"/>
              </w:rPr>
              <w:t xml:space="preserve">Bez limitu </w:t>
            </w:r>
          </w:p>
        </w:tc>
        <w:tc>
          <w:tcPr>
            <w:tcW w:w="2760" w:type="dxa"/>
            <w:vMerge w:val="restart"/>
            <w:tcBorders>
              <w:top w:val="nil"/>
              <w:left w:val="nil"/>
              <w:bottom w:val="single" w:sz="4" w:space="0" w:color="D9D9D9"/>
              <w:right w:val="single" w:sz="4" w:space="0" w:color="D9D9D9"/>
            </w:tcBorders>
            <w:shd w:val="clear" w:color="000000" w:fill="FFFFFF"/>
            <w:vAlign w:val="center"/>
            <w:hideMark/>
          </w:tcPr>
          <w:p w14:paraId="3EA1AD69" w14:textId="77777777" w:rsidR="00632435" w:rsidRPr="00FE3047" w:rsidRDefault="00632435" w:rsidP="00632435">
            <w:pPr>
              <w:widowControl/>
              <w:jc w:val="center"/>
              <w:rPr>
                <w:rFonts w:ascii="Arial" w:hAnsi="Arial" w:cs="Arial"/>
                <w:sz w:val="22"/>
                <w:szCs w:val="22"/>
              </w:rPr>
            </w:pPr>
            <w:r w:rsidRPr="00FE3047">
              <w:rPr>
                <w:rFonts w:ascii="Arial" w:hAnsi="Arial" w:cs="Arial"/>
                <w:bCs/>
                <w:sz w:val="22"/>
                <w:szCs w:val="28"/>
              </w:rPr>
              <w:t xml:space="preserve">Bez limitu </w:t>
            </w:r>
          </w:p>
        </w:tc>
      </w:tr>
      <w:tr w:rsidR="00FE3047" w:rsidRPr="00FE3047" w14:paraId="66E84D71" w14:textId="77777777" w:rsidTr="000802FD">
        <w:trPr>
          <w:trHeight w:val="855"/>
        </w:trPr>
        <w:tc>
          <w:tcPr>
            <w:tcW w:w="3477" w:type="dxa"/>
            <w:tcBorders>
              <w:top w:val="nil"/>
              <w:left w:val="single" w:sz="4" w:space="0" w:color="FFFFFF"/>
              <w:bottom w:val="single" w:sz="4" w:space="0" w:color="FFFFFF"/>
              <w:right w:val="nil"/>
            </w:tcBorders>
            <w:shd w:val="clear" w:color="000000" w:fill="F2F2F2"/>
            <w:vAlign w:val="center"/>
            <w:hideMark/>
          </w:tcPr>
          <w:p w14:paraId="4C882BCF" w14:textId="77777777" w:rsidR="00632435" w:rsidRPr="00FE3047" w:rsidRDefault="00632435" w:rsidP="00632435">
            <w:pPr>
              <w:widowControl/>
              <w:rPr>
                <w:rFonts w:ascii="Arial" w:hAnsi="Arial" w:cs="Arial"/>
                <w:sz w:val="22"/>
                <w:szCs w:val="22"/>
              </w:rPr>
            </w:pPr>
            <w:r w:rsidRPr="00FE3047">
              <w:rPr>
                <w:rFonts w:ascii="Arial" w:hAnsi="Arial" w:cs="Arial"/>
                <w:bCs/>
                <w:sz w:val="22"/>
                <w:szCs w:val="28"/>
              </w:rPr>
              <w:t xml:space="preserve">Priemyselné zariadenia na vedenie pary, plynu a teplej vody </w:t>
            </w:r>
          </w:p>
        </w:tc>
        <w:tc>
          <w:tcPr>
            <w:tcW w:w="2835" w:type="dxa"/>
            <w:vMerge/>
            <w:tcBorders>
              <w:top w:val="nil"/>
              <w:left w:val="single" w:sz="4" w:space="0" w:color="D9D9D9"/>
              <w:bottom w:val="single" w:sz="4" w:space="0" w:color="D9D9D9"/>
              <w:right w:val="single" w:sz="4" w:space="0" w:color="D9D9D9"/>
            </w:tcBorders>
            <w:vAlign w:val="center"/>
            <w:hideMark/>
          </w:tcPr>
          <w:p w14:paraId="1F05804A" w14:textId="77777777" w:rsidR="00632435" w:rsidRPr="00FE3047" w:rsidRDefault="00632435" w:rsidP="00632435">
            <w:pPr>
              <w:widowControl/>
              <w:rPr>
                <w:rFonts w:ascii="Arial" w:hAnsi="Arial" w:cs="Arial"/>
                <w:sz w:val="22"/>
                <w:szCs w:val="22"/>
              </w:rPr>
            </w:pPr>
          </w:p>
        </w:tc>
        <w:tc>
          <w:tcPr>
            <w:tcW w:w="2760" w:type="dxa"/>
            <w:vMerge/>
            <w:tcBorders>
              <w:top w:val="nil"/>
              <w:left w:val="nil"/>
              <w:bottom w:val="single" w:sz="4" w:space="0" w:color="D9D9D9"/>
              <w:right w:val="single" w:sz="4" w:space="0" w:color="D9D9D9"/>
            </w:tcBorders>
            <w:vAlign w:val="center"/>
            <w:hideMark/>
          </w:tcPr>
          <w:p w14:paraId="3117536D" w14:textId="77777777" w:rsidR="00632435" w:rsidRPr="00FE3047" w:rsidRDefault="00632435" w:rsidP="00632435">
            <w:pPr>
              <w:widowControl/>
              <w:rPr>
                <w:rFonts w:ascii="Arial" w:hAnsi="Arial" w:cs="Arial"/>
                <w:sz w:val="22"/>
                <w:szCs w:val="22"/>
              </w:rPr>
            </w:pPr>
          </w:p>
        </w:tc>
      </w:tr>
    </w:tbl>
    <w:p w14:paraId="49DE2C2B" w14:textId="5FC4AF14" w:rsidR="00540F7F" w:rsidRPr="00FE3047" w:rsidRDefault="00540F7F" w:rsidP="00D21B63">
      <w:pPr>
        <w:pStyle w:val="A-Text11"/>
      </w:pPr>
      <w:r w:rsidRPr="00FE3047">
        <w:t>Podľa §18, zákona č. 24/2006 Z.z. o posudzovaní vplyvov na životné prostredie v znení neskorších predpisov, navrhovaná činnosť uvedená v prílohe č. 8  je na základe prahových hodnôt predmetom zisťovacieho konania, pretože v obidvoch navrhovaných variantoch kapacitne bude obsahovať od 100 do 500 parkovacích stojísk v celkovom počte 1</w:t>
      </w:r>
      <w:r w:rsidR="007B4183" w:rsidRPr="00FE3047">
        <w:t>37</w:t>
      </w:r>
      <w:r w:rsidRPr="00FE3047">
        <w:t xml:space="preserve"> PM.  </w:t>
      </w:r>
    </w:p>
    <w:p w14:paraId="1CF2756C" w14:textId="3ED2155E" w:rsidR="00B32874" w:rsidRPr="00FE3047" w:rsidRDefault="00B32874" w:rsidP="00D21B63">
      <w:pPr>
        <w:pStyle w:val="A-Text11"/>
      </w:pPr>
      <w:r w:rsidRPr="00FE3047">
        <w:lastRenderedPageBreak/>
        <w:t xml:space="preserve">Navrhovaná  činnosť je v konkrétne dotknutom území novou činnosťou. </w:t>
      </w:r>
    </w:p>
    <w:p w14:paraId="79610A43" w14:textId="2BF6D544" w:rsidR="003C013B" w:rsidRPr="002016E3" w:rsidRDefault="003C013B" w:rsidP="00400B4E">
      <w:pPr>
        <w:pStyle w:val="Nadpis2"/>
      </w:pPr>
      <w:bookmarkStart w:id="42" w:name="_Toc495992934"/>
      <w:bookmarkStart w:id="43" w:name="_Toc93916808"/>
      <w:r w:rsidRPr="002016E3">
        <w:t xml:space="preserve">Umiestnenie navrhovanej </w:t>
      </w:r>
      <w:bookmarkEnd w:id="40"/>
      <w:r w:rsidRPr="002016E3">
        <w:t>činnosti</w:t>
      </w:r>
      <w:bookmarkEnd w:id="41"/>
      <w:bookmarkEnd w:id="42"/>
      <w:bookmarkEnd w:id="43"/>
      <w:r w:rsidRPr="002016E3">
        <w:t xml:space="preserve">   </w:t>
      </w:r>
    </w:p>
    <w:p w14:paraId="4DAC74E4" w14:textId="4F2A506F" w:rsidR="00420F1A" w:rsidRPr="00FE3047" w:rsidRDefault="00420F1A" w:rsidP="00400B4E">
      <w:pPr>
        <w:pStyle w:val="A-Text11"/>
        <w:spacing w:line="240" w:lineRule="auto"/>
      </w:pPr>
      <w:bookmarkStart w:id="44" w:name="_Toc132078648"/>
      <w:r w:rsidRPr="00FE3047">
        <w:t xml:space="preserve">Navrhovaná činnosť </w:t>
      </w:r>
      <w:r w:rsidR="00B32874" w:rsidRPr="00FE3047">
        <w:t xml:space="preserve">bude </w:t>
      </w:r>
      <w:r w:rsidRPr="00FE3047">
        <w:t xml:space="preserve"> podľa katastra nehnuteľností umiestnená v Bratislavskom kraji, na území hlavného mesta SR Bratislavy, v okrese Bratislava II, v mestskej časti Ružinov</w:t>
      </w:r>
      <w:r w:rsidR="00DB2117" w:rsidRPr="00FE3047">
        <w:t xml:space="preserve"> a miestnej časti Trnávka</w:t>
      </w:r>
      <w:r w:rsidRPr="00FE3047">
        <w:t xml:space="preserve">.   </w:t>
      </w:r>
    </w:p>
    <w:p w14:paraId="6C0D2837" w14:textId="77777777" w:rsidR="00420F1A" w:rsidRPr="00FE3047" w:rsidRDefault="00420F1A" w:rsidP="00400B4E">
      <w:pPr>
        <w:pStyle w:val="A-Text11"/>
        <w:spacing w:line="240" w:lineRule="auto"/>
      </w:pPr>
      <w:r w:rsidRPr="00FE3047">
        <w:t>Územie navrhovanej činnosti je ohraničené ulicami Terchovská (zo západu), Banšelova (z juhovýchodu) a Galvaniho (zo severovýchodu).</w:t>
      </w:r>
    </w:p>
    <w:p w14:paraId="2F5BBDBA" w14:textId="45790861" w:rsidR="00420F1A" w:rsidRPr="00FE3047" w:rsidRDefault="00420F1A" w:rsidP="00400B4E">
      <w:pPr>
        <w:pStyle w:val="A-Text11"/>
        <w:spacing w:line="240" w:lineRule="auto"/>
      </w:pPr>
      <w:r w:rsidRPr="00FE3047">
        <w:t xml:space="preserve">Severne od navrhovanej činnosti sa nachádza bývalý hlavný ťah – cesta prvej triedy 61. Pri navrhovanej činnosti je prítomná autobusová zástavka, cez ktorú premávajú linky 63 a 96. V relatívnej blízkosti navrhovanej činnosti sa nachádzajú prvky základnej občianskej vybavenosti. Smerom na západ sú prítomné reštaurácie Zagarolo pizza, Top partner s. r. o., východne sa nachádza reštaurácia Opportune. V okolí navrhovanej činnosti sú prítomné aj obchody technického charakteru. </w:t>
      </w:r>
    </w:p>
    <w:p w14:paraId="509EDACB" w14:textId="57F98C8C" w:rsidR="007A37E3" w:rsidRPr="00FE3047" w:rsidRDefault="007A37E3" w:rsidP="00400B4E">
      <w:pPr>
        <w:pStyle w:val="A-Text11"/>
        <w:spacing w:line="240" w:lineRule="auto"/>
      </w:pPr>
      <w:r w:rsidRPr="00FE3047">
        <w:t xml:space="preserve">Všetky parcely sa nachádzajú v katastrálnom území Bratislava </w:t>
      </w:r>
      <w:r w:rsidR="00B01EC1" w:rsidRPr="00FE3047">
        <w:t>– Ružinov</w:t>
      </w:r>
      <w:r w:rsidRPr="00FE3047">
        <w:t xml:space="preserve">, okres Bratislava II. V katastri nehnuteľností je uvedené umiestnenie v zastavanom území obce.  </w:t>
      </w:r>
    </w:p>
    <w:p w14:paraId="5652DCEB" w14:textId="0BBF46C5" w:rsidR="006B0F0B" w:rsidRPr="00FE3047" w:rsidRDefault="006B0F0B" w:rsidP="00400B4E">
      <w:pPr>
        <w:pStyle w:val="A-Text11"/>
        <w:spacing w:line="240" w:lineRule="auto"/>
      </w:pPr>
      <w:r w:rsidRPr="00FE3047">
        <w:rPr>
          <w:rFonts w:eastAsiaTheme="majorEastAsia"/>
        </w:rPr>
        <w:t xml:space="preserve">Stavba nezasahuje do ochranných pásiem s výnimkou pásiem spoločnej technickej infraštruktúry. </w:t>
      </w:r>
      <w:r w:rsidRPr="00FE3047">
        <w:t>Územie je z technického aj právneho pohľadu zastavateľné.</w:t>
      </w:r>
    </w:p>
    <w:p w14:paraId="3250F8C5" w14:textId="7021C3DF" w:rsidR="00316AD1" w:rsidRPr="00FE3047" w:rsidRDefault="006C65E0" w:rsidP="00400B4E">
      <w:pPr>
        <w:pStyle w:val="A-Text11"/>
        <w:spacing w:line="240" w:lineRule="auto"/>
        <w:ind w:firstLine="425"/>
      </w:pPr>
      <w:r w:rsidRPr="00FE3047">
        <w:t xml:space="preserve">Výstavba hlavných stavebných objektov navrhovanej činnosti (projekt </w:t>
      </w:r>
      <w:r w:rsidR="00420F1A" w:rsidRPr="00FE3047">
        <w:t>Bytový dom Terchovská</w:t>
      </w:r>
      <w:r w:rsidRPr="00FE3047">
        <w:t>)</w:t>
      </w:r>
      <w:r w:rsidR="00420F1A" w:rsidRPr="00FE3047">
        <w:rPr>
          <w:b/>
        </w:rPr>
        <w:t xml:space="preserve"> </w:t>
      </w:r>
      <w:r w:rsidR="00420F1A" w:rsidRPr="00FE3047">
        <w:t>bude umiestnená na týchto parcelách</w:t>
      </w:r>
      <w:r w:rsidRPr="00FE3047">
        <w:t xml:space="preserve"> registra C</w:t>
      </w:r>
      <w:r w:rsidR="00420F1A" w:rsidRPr="00FE3047">
        <w:t xml:space="preserve">: </w:t>
      </w:r>
    </w:p>
    <w:p w14:paraId="4793459A" w14:textId="77777777" w:rsidR="002A4BDB" w:rsidRPr="00FE3047" w:rsidRDefault="002A4BDB" w:rsidP="00400B4E">
      <w:pPr>
        <w:pStyle w:val="A-Text11"/>
        <w:spacing w:line="240" w:lineRule="auto"/>
        <w:ind w:firstLine="425"/>
      </w:pPr>
      <w:r w:rsidRPr="00FE3047">
        <w:t>Bytový dom Terchovská:</w:t>
      </w:r>
    </w:p>
    <w:p w14:paraId="52C010A8" w14:textId="253D7B3F" w:rsidR="002A4BDB" w:rsidRPr="00FE3047" w:rsidRDefault="002A4BDB" w:rsidP="00400B4E">
      <w:pPr>
        <w:pStyle w:val="A-Text11"/>
        <w:spacing w:line="240" w:lineRule="auto"/>
        <w:ind w:firstLine="425"/>
      </w:pPr>
      <w:r w:rsidRPr="00FE3047">
        <w:t>Okres Bratislava II., Obec: BA-m.č. Ružinov, k.ú. Trnávka, pozemky na parcelách registra „C“ p.č. 17007/47, p.č. 17007/46,</w:t>
      </w:r>
      <w:r w:rsidR="002328C8" w:rsidRPr="00FE3047">
        <w:t xml:space="preserve"> </w:t>
      </w:r>
      <w:r w:rsidRPr="00FE3047">
        <w:t>p.č. 17014/2, p.č. 17016/1, p.č. 14472/1, p.č. 14472/53</w:t>
      </w:r>
    </w:p>
    <w:p w14:paraId="51C1C6A2" w14:textId="77777777" w:rsidR="002A4BDB" w:rsidRPr="00FE3047" w:rsidRDefault="002A4BDB" w:rsidP="00400B4E">
      <w:pPr>
        <w:pStyle w:val="A-Text11"/>
        <w:spacing w:line="240" w:lineRule="auto"/>
        <w:ind w:firstLine="425"/>
      </w:pPr>
      <w:r w:rsidRPr="00FE3047">
        <w:t>Dotknuté územie bytového domu Terchovská:</w:t>
      </w:r>
    </w:p>
    <w:p w14:paraId="7E84CB0E" w14:textId="2A1D4F77" w:rsidR="002A4BDB" w:rsidRPr="00FE3047" w:rsidRDefault="002A4BDB" w:rsidP="00400B4E">
      <w:pPr>
        <w:pStyle w:val="A-Text11"/>
        <w:spacing w:line="240" w:lineRule="auto"/>
        <w:ind w:firstLine="425"/>
      </w:pPr>
      <w:r w:rsidRPr="00FE3047">
        <w:t>Okres Bratislava II., Obec: BA-m.č. Ružinov, k.ú. Trnávka, pozemky na parcelách registra „C“</w:t>
      </w:r>
      <w:r w:rsidR="00704614" w:rsidRPr="00FE3047">
        <w:t xml:space="preserve"> </w:t>
      </w:r>
      <w:r w:rsidRPr="00FE3047">
        <w:t>p.č. 17007/47, p.č. 17007/46, p.č. 17014/2, p.č. 17016/1, p.č. 22247/9, p.č. 17007/1, p.č.14472/11,</w:t>
      </w:r>
      <w:r w:rsidR="002328C8" w:rsidRPr="00FE3047">
        <w:t xml:space="preserve"> </w:t>
      </w:r>
      <w:r w:rsidRPr="00FE3047">
        <w:t>p.č. 14472/1, p.č. 14472/53, p.č. 14472/43, p.č. 17019/1, p.č. 17015/80, p.č. 17015/81</w:t>
      </w:r>
    </w:p>
    <w:p w14:paraId="2A0337E2" w14:textId="3F63E760" w:rsidR="006C65E0" w:rsidRPr="00FE3047" w:rsidRDefault="006C65E0" w:rsidP="00400B4E">
      <w:pPr>
        <w:pStyle w:val="A-Text11"/>
        <w:spacing w:line="240" w:lineRule="auto"/>
      </w:pPr>
      <w:r w:rsidRPr="00FE3047">
        <w:t>Listy vlastníctva hlavného mesta SR Bratislavy sú zapísané buď priamo v registri C, alebo v registri E, pričom popisujú tie isté pozemky.</w:t>
      </w:r>
      <w:r w:rsidR="00AC21C6" w:rsidRPr="00FE3047">
        <w:t xml:space="preserve"> </w:t>
      </w:r>
    </w:p>
    <w:p w14:paraId="76B025C3" w14:textId="01AF4AF3" w:rsidR="0041075A" w:rsidRPr="00FE3047" w:rsidRDefault="0041075A" w:rsidP="00400B4E">
      <w:pPr>
        <w:pStyle w:val="A-Text11"/>
        <w:spacing w:line="240" w:lineRule="auto"/>
      </w:pPr>
      <w:r w:rsidRPr="00FE3047">
        <w:t>Všetky pozemky sú vo vlastníctve investora.</w:t>
      </w:r>
    </w:p>
    <w:p w14:paraId="2277892E" w14:textId="460F87FB" w:rsidR="003C013B" w:rsidRPr="004A7717" w:rsidRDefault="003C013B" w:rsidP="00400B4E">
      <w:pPr>
        <w:pStyle w:val="Nadpis2"/>
      </w:pPr>
      <w:bookmarkStart w:id="45" w:name="_Toc495992935"/>
      <w:bookmarkStart w:id="46" w:name="_Toc93916809"/>
      <w:r w:rsidRPr="004A7717">
        <w:t>Prehľadná situácia umiestnenia navrhovanej stavby</w:t>
      </w:r>
      <w:bookmarkEnd w:id="44"/>
      <w:bookmarkEnd w:id="45"/>
      <w:bookmarkEnd w:id="46"/>
    </w:p>
    <w:p w14:paraId="5ED68007" w14:textId="23489B7B" w:rsidR="003C013B" w:rsidRDefault="003C013B" w:rsidP="00400B4E">
      <w:pPr>
        <w:widowControl/>
        <w:spacing w:before="120"/>
        <w:jc w:val="both"/>
        <w:rPr>
          <w:rFonts w:ascii="Arial" w:hAnsi="Arial" w:cs="Arial"/>
          <w:b/>
          <w:bCs/>
          <w:i/>
          <w:iCs/>
          <w:sz w:val="22"/>
          <w:szCs w:val="24"/>
          <w:lang w:eastAsia="en-US"/>
        </w:rPr>
      </w:pPr>
      <w:bookmarkStart w:id="47" w:name="_Toc80536511"/>
      <w:r w:rsidRPr="00A954AE">
        <w:rPr>
          <w:rFonts w:ascii="Arial" w:hAnsi="Arial" w:cs="Arial"/>
          <w:sz w:val="22"/>
          <w:szCs w:val="24"/>
          <w:lang w:eastAsia="en-US"/>
        </w:rPr>
        <w:t xml:space="preserve">Výrez z mapy m 1:50 000 s vyznačením lokality navrhovanej činnosti, </w:t>
      </w:r>
      <w:r w:rsidRPr="00715FB3">
        <w:rPr>
          <w:rFonts w:ascii="Arial" w:hAnsi="Arial" w:cs="Arial"/>
          <w:sz w:val="22"/>
          <w:szCs w:val="24"/>
          <w:lang w:eastAsia="en-US"/>
        </w:rPr>
        <w:t>situácia širších vzťahov</w:t>
      </w:r>
      <w:r w:rsidRPr="00A954AE">
        <w:rPr>
          <w:rFonts w:ascii="Arial" w:hAnsi="Arial" w:cs="Arial"/>
          <w:sz w:val="22"/>
          <w:szCs w:val="24"/>
          <w:lang w:eastAsia="en-US"/>
        </w:rPr>
        <w:t xml:space="preserve"> sú v </w:t>
      </w:r>
      <w:r w:rsidRPr="00A954AE">
        <w:rPr>
          <w:rFonts w:ascii="Arial" w:hAnsi="Arial" w:cs="Arial"/>
          <w:b/>
          <w:bCs/>
          <w:i/>
          <w:iCs/>
          <w:sz w:val="22"/>
          <w:szCs w:val="24"/>
          <w:lang w:eastAsia="en-US"/>
        </w:rPr>
        <w:t xml:space="preserve">Prílohe. </w:t>
      </w:r>
    </w:p>
    <w:p w14:paraId="65FA6FF9" w14:textId="4DD9CA80" w:rsidR="003C013B" w:rsidRPr="004A7717" w:rsidRDefault="003C013B" w:rsidP="00400B4E">
      <w:pPr>
        <w:pStyle w:val="Nadpis2"/>
      </w:pPr>
      <w:bookmarkStart w:id="48" w:name="_Toc132078649"/>
      <w:bookmarkStart w:id="49" w:name="_Toc495992936"/>
      <w:bookmarkStart w:id="50" w:name="_Toc93916810"/>
      <w:r w:rsidRPr="004A7717">
        <w:t>Termíny začatia a skončenia výstavby</w:t>
      </w:r>
      <w:bookmarkEnd w:id="47"/>
      <w:r w:rsidRPr="004A7717">
        <w:t xml:space="preserve"> a prevádzky</w:t>
      </w:r>
      <w:bookmarkEnd w:id="48"/>
      <w:r w:rsidRPr="004A7717">
        <w:t xml:space="preserve"> navrhovanej činnosti</w:t>
      </w:r>
      <w:bookmarkEnd w:id="49"/>
      <w:bookmarkEnd w:id="50"/>
    </w:p>
    <w:p w14:paraId="5B991034" w14:textId="2DBD9114" w:rsidR="00E00B86" w:rsidRPr="000E0BC7" w:rsidRDefault="00E00B86" w:rsidP="00400B4E">
      <w:pPr>
        <w:pStyle w:val="A-Text11"/>
        <w:spacing w:line="240" w:lineRule="auto"/>
        <w:rPr>
          <w:snapToGrid w:val="0"/>
          <w:szCs w:val="20"/>
        </w:rPr>
      </w:pPr>
      <w:r w:rsidRPr="0031635B">
        <w:rPr>
          <w:snapToGrid w:val="0"/>
          <w:szCs w:val="20"/>
        </w:rPr>
        <w:t>Predpokladaný termín začiatku výstavby</w:t>
      </w:r>
      <w:r w:rsidR="00EF1B6F" w:rsidRPr="0031635B">
        <w:rPr>
          <w:snapToGrid w:val="0"/>
          <w:szCs w:val="20"/>
        </w:rPr>
        <w:t>:</w:t>
      </w:r>
      <w:r w:rsidR="00EF1B6F" w:rsidRPr="0031635B">
        <w:rPr>
          <w:snapToGrid w:val="0"/>
          <w:szCs w:val="20"/>
        </w:rPr>
        <w:tab/>
      </w:r>
      <w:r w:rsidR="00543CC6" w:rsidRPr="000E0BC7">
        <w:rPr>
          <w:snapToGrid w:val="0"/>
          <w:szCs w:val="20"/>
        </w:rPr>
        <w:t>08</w:t>
      </w:r>
      <w:r w:rsidRPr="000E0BC7">
        <w:rPr>
          <w:snapToGrid w:val="0"/>
          <w:szCs w:val="20"/>
        </w:rPr>
        <w:t xml:space="preserve"> / </w:t>
      </w:r>
      <w:r w:rsidR="00543CC6" w:rsidRPr="000E0BC7">
        <w:rPr>
          <w:snapToGrid w:val="0"/>
          <w:szCs w:val="20"/>
        </w:rPr>
        <w:t>2023</w:t>
      </w:r>
    </w:p>
    <w:p w14:paraId="1A0F7E79" w14:textId="5FD7A3F1" w:rsidR="00E00B86" w:rsidRPr="0031635B" w:rsidRDefault="00E00B86" w:rsidP="00EF1B6F">
      <w:pPr>
        <w:pStyle w:val="A-Text11"/>
        <w:rPr>
          <w:snapToGrid w:val="0"/>
          <w:szCs w:val="20"/>
        </w:rPr>
      </w:pPr>
      <w:r w:rsidRPr="000E0BC7">
        <w:rPr>
          <w:snapToGrid w:val="0"/>
          <w:szCs w:val="20"/>
        </w:rPr>
        <w:t>Predpokladaný termín ukončenia stavby:</w:t>
      </w:r>
      <w:r w:rsidR="00EF1B6F" w:rsidRPr="000E0BC7">
        <w:rPr>
          <w:snapToGrid w:val="0"/>
          <w:szCs w:val="20"/>
        </w:rPr>
        <w:tab/>
      </w:r>
      <w:r w:rsidR="00543CC6" w:rsidRPr="000E0BC7">
        <w:rPr>
          <w:snapToGrid w:val="0"/>
          <w:szCs w:val="20"/>
        </w:rPr>
        <w:t>08</w:t>
      </w:r>
      <w:r w:rsidRPr="000E0BC7">
        <w:rPr>
          <w:snapToGrid w:val="0"/>
          <w:szCs w:val="20"/>
        </w:rPr>
        <w:t xml:space="preserve"> / </w:t>
      </w:r>
      <w:r w:rsidR="00543CC6" w:rsidRPr="000E0BC7">
        <w:rPr>
          <w:snapToGrid w:val="0"/>
          <w:szCs w:val="20"/>
        </w:rPr>
        <w:t>2025</w:t>
      </w:r>
    </w:p>
    <w:p w14:paraId="14FBE579" w14:textId="7710DB7C" w:rsidR="003C013B" w:rsidRPr="0031635B" w:rsidRDefault="003C013B" w:rsidP="00EF1B6F">
      <w:pPr>
        <w:pStyle w:val="A-Text11"/>
        <w:rPr>
          <w:szCs w:val="24"/>
        </w:rPr>
      </w:pPr>
      <w:r w:rsidRPr="0031635B">
        <w:rPr>
          <w:szCs w:val="24"/>
        </w:rPr>
        <w:t xml:space="preserve">Termín začiatku stavby  je podmienený právoplatnými rozhodnutiami v povoľovacích procesoch podľa stavebného zákona.  </w:t>
      </w:r>
    </w:p>
    <w:p w14:paraId="691F8B35" w14:textId="6502773D" w:rsidR="002B5113" w:rsidRDefault="003C013B" w:rsidP="00EF1B6F">
      <w:pPr>
        <w:pStyle w:val="A-Text11"/>
        <w:rPr>
          <w:szCs w:val="24"/>
        </w:rPr>
      </w:pPr>
      <w:r w:rsidRPr="0031635B">
        <w:rPr>
          <w:szCs w:val="24"/>
        </w:rPr>
        <w:t xml:space="preserve">Termín ukončenia činnosti, teda prevádzky objektov, nie je definovaný. </w:t>
      </w:r>
      <w:bookmarkEnd w:id="8"/>
      <w:bookmarkEnd w:id="9"/>
      <w:bookmarkEnd w:id="10"/>
    </w:p>
    <w:p w14:paraId="35FFD30C" w14:textId="7058A7C4" w:rsidR="00E24C5D" w:rsidRDefault="00E24C5D" w:rsidP="008C6F96">
      <w:pPr>
        <w:pStyle w:val="Nadpis2"/>
      </w:pPr>
      <w:bookmarkStart w:id="51" w:name="_Toc93916811"/>
      <w:r w:rsidRPr="004A7717">
        <w:lastRenderedPageBreak/>
        <w:t>Opis technického a technologického riešenia</w:t>
      </w:r>
      <w:bookmarkEnd w:id="51"/>
      <w:r w:rsidRPr="004A7717">
        <w:t xml:space="preserve"> </w:t>
      </w:r>
      <w:bookmarkStart w:id="52" w:name="_Toc395894062"/>
      <w:bookmarkStart w:id="53" w:name="_Toc80536514"/>
      <w:bookmarkStart w:id="54" w:name="_Toc132078651"/>
    </w:p>
    <w:p w14:paraId="325048B4" w14:textId="08186B4F" w:rsidR="00E24C5D" w:rsidRPr="004A7717" w:rsidRDefault="00F60A38" w:rsidP="008C6F96">
      <w:pPr>
        <w:pStyle w:val="3rovenadpis"/>
      </w:pPr>
      <w:bookmarkStart w:id="55" w:name="_Toc495992938"/>
      <w:bookmarkStart w:id="56" w:name="_Toc93916812"/>
      <w:r w:rsidRPr="004A7717">
        <w:t>Opis súčasného stavu</w:t>
      </w:r>
      <w:bookmarkEnd w:id="52"/>
      <w:bookmarkEnd w:id="55"/>
      <w:bookmarkEnd w:id="56"/>
      <w:r w:rsidRPr="004A7717">
        <w:t xml:space="preserve"> </w:t>
      </w:r>
    </w:p>
    <w:p w14:paraId="77539A05" w14:textId="2EC6FDEC" w:rsidR="00116121" w:rsidRPr="00715FB3" w:rsidRDefault="00116121" w:rsidP="00116121">
      <w:pPr>
        <w:pStyle w:val="A-Text11"/>
      </w:pPr>
      <w:bookmarkStart w:id="57" w:name="_Toc395894063"/>
      <w:r w:rsidRPr="00715FB3">
        <w:t>Celé územie navrhovanej činnosti je umiestnené v teréne, ktorého sklon podľa digitálneho modelu reliéfu nepresahuje 3° a dá sa charakterizovať ako rovina. Záujmové územie je umiestnené v zastavanom území obce a je z hľadiska cestnej dopravy relatí</w:t>
      </w:r>
      <w:r w:rsidR="00075199" w:rsidRPr="00715FB3">
        <w:t>v</w:t>
      </w:r>
      <w:r w:rsidRPr="00715FB3">
        <w:t>ne dobre prístupné. Severne od navrhovanej činnosti sa nachádza bývalý hlavný ťah – cesta prvej triedy 61. V blízkosti záujmového územia je prítomná autobusová zástavka, cez ktorú premávajú linky 63 a 96. V okolí navrhovanej činnosti sa nachádzajú aj viaceré prvky základnej občianskej vybavenosti.</w:t>
      </w:r>
    </w:p>
    <w:p w14:paraId="743C4FE3" w14:textId="34F98EE2" w:rsidR="00370DCF" w:rsidRPr="00715FB3" w:rsidRDefault="00DA1BF9" w:rsidP="00370DCF">
      <w:pPr>
        <w:pStyle w:val="A-Text11"/>
      </w:pPr>
      <w:r w:rsidRPr="00715FB3">
        <w:t>Hranice záujmového územia sú tvorené ulicami Terchovská (západná strana), Galvaniho (severovýchodná strana) a Banšelova (juhovýchodná strana).</w:t>
      </w:r>
      <w:r w:rsidR="00475075" w:rsidRPr="00715FB3">
        <w:t xml:space="preserve"> Sú umiestnené na parcelách kde sa</w:t>
      </w:r>
      <w:r w:rsidR="00370DCF" w:rsidRPr="00715FB3">
        <w:t xml:space="preserve"> má</w:t>
      </w:r>
      <w:r w:rsidR="00475075" w:rsidRPr="00715FB3">
        <w:t xml:space="preserve"> podľa Spoločnej sprievodnej správy projektu</w:t>
      </w:r>
      <w:r w:rsidR="00370DCF" w:rsidRPr="00715FB3">
        <w:t xml:space="preserve"> uskutočniť výstavba ostatných plôch prípojok a inžinierskych objektov</w:t>
      </w:r>
      <w:r w:rsidR="00A11B0A" w:rsidRPr="00715FB3">
        <w:t xml:space="preserve">. </w:t>
      </w:r>
      <w:r w:rsidR="00370DCF" w:rsidRPr="00715FB3">
        <w:t xml:space="preserve">Tieto časti záujmového územia sú aktuálne tvorené spevnenými, minerálnymi povrchmi rôznej kvality. </w:t>
      </w:r>
      <w:r w:rsidR="001D461B" w:rsidRPr="00715FB3">
        <w:t>Rozloženie hraníc záujmového územia vytvára trojuholníkový tvar s pomyselnou preponou</w:t>
      </w:r>
      <w:r w:rsidR="004724BC" w:rsidRPr="00715FB3">
        <w:t xml:space="preserve"> umiestnenou na západe a</w:t>
      </w:r>
      <w:r w:rsidR="001D461B" w:rsidRPr="00715FB3">
        <w:t xml:space="preserve"> smerujúcou zo severu na juh.</w:t>
      </w:r>
    </w:p>
    <w:p w14:paraId="48B38766" w14:textId="61CCF1DA" w:rsidR="001551CE" w:rsidRPr="00715FB3" w:rsidRDefault="00144D40" w:rsidP="00D21B63">
      <w:pPr>
        <w:pStyle w:val="A-Text11"/>
      </w:pPr>
      <w:r w:rsidRPr="00715FB3">
        <w:t>Hlavná časť záujmového územia – pozemky kde sa budú nachádzať hlavné objekty navrhovanej činnosti, je</w:t>
      </w:r>
      <w:r w:rsidR="00475075" w:rsidRPr="00715FB3">
        <w:t xml:space="preserve"> podľa </w:t>
      </w:r>
      <w:r w:rsidR="00370DCF" w:rsidRPr="00715FB3">
        <w:t>Spoločnej</w:t>
      </w:r>
      <w:r w:rsidR="00475075" w:rsidRPr="00715FB3">
        <w:t xml:space="preserve"> sprievodnej správy projektu</w:t>
      </w:r>
      <w:r w:rsidRPr="00715FB3">
        <w:t xml:space="preserve"> tvorená dvomi parcelami</w:t>
      </w:r>
      <w:r w:rsidR="00475075" w:rsidRPr="00715FB3">
        <w:t xml:space="preserve"> registra C: p.č. 17007/47 a p.č. 17007/46</w:t>
      </w:r>
      <w:r w:rsidRPr="00715FB3">
        <w:t>.</w:t>
      </w:r>
      <w:r w:rsidR="00DA1BF9" w:rsidRPr="00715FB3">
        <w:t xml:space="preserve"> </w:t>
      </w:r>
      <w:r w:rsidR="001551CE" w:rsidRPr="00715FB3">
        <w:t xml:space="preserve">Severné plochy hlavnej časti záujmového územia sú </w:t>
      </w:r>
      <w:r w:rsidRPr="00715FB3">
        <w:t xml:space="preserve">v súčasnosti tvorené z prevažnej </w:t>
      </w:r>
      <w:r w:rsidR="001551CE" w:rsidRPr="00715FB3">
        <w:t>väčšiny</w:t>
      </w:r>
      <w:r w:rsidRPr="00715FB3">
        <w:t xml:space="preserve"> nespevnenými povrchmi s charakterom trvalých trávnatých porastov a</w:t>
      </w:r>
      <w:r w:rsidR="008E5E5D" w:rsidRPr="00715FB3">
        <w:t xml:space="preserve"> relatívne</w:t>
      </w:r>
      <w:r w:rsidRPr="00715FB3">
        <w:t xml:space="preserve"> nízkym výskytom listnatých drevín.</w:t>
      </w:r>
      <w:r w:rsidR="00C71675" w:rsidRPr="00715FB3">
        <w:t xml:space="preserve"> V tejto časti je zároveň umiestnená reklamná plocha, ktorá dominuje </w:t>
      </w:r>
      <w:r w:rsidR="00D7499A" w:rsidRPr="00715FB3">
        <w:t xml:space="preserve">severnému </w:t>
      </w:r>
      <w:r w:rsidR="00C71675" w:rsidRPr="00715FB3">
        <w:t>priestoru navrhovanej činnosti.</w:t>
      </w:r>
      <w:r w:rsidRPr="00715FB3">
        <w:t xml:space="preserve"> </w:t>
      </w:r>
      <w:r w:rsidR="00A11B0A" w:rsidRPr="00715FB3">
        <w:t>Južná časť</w:t>
      </w:r>
      <w:r w:rsidR="00860B30" w:rsidRPr="00715FB3">
        <w:t xml:space="preserve"> záujmového územia je tvoren</w:t>
      </w:r>
      <w:r w:rsidR="00A11B0A" w:rsidRPr="00715FB3">
        <w:t>á</w:t>
      </w:r>
      <w:r w:rsidR="00C71675" w:rsidRPr="00715FB3">
        <w:t> nespevnenými a spevnenými povrchmi.</w:t>
      </w:r>
      <w:r w:rsidR="004724BC" w:rsidRPr="00715FB3">
        <w:t xml:space="preserve"> </w:t>
      </w:r>
      <w:r w:rsidR="00A11B0A" w:rsidRPr="00715FB3">
        <w:t>P</w:t>
      </w:r>
      <w:r w:rsidR="00D7499A" w:rsidRPr="00715FB3">
        <w:t>lochy</w:t>
      </w:r>
      <w:r w:rsidR="00A11B0A" w:rsidRPr="00715FB3">
        <w:t>, ktoré majú</w:t>
      </w:r>
      <w:r w:rsidR="00D7499A" w:rsidRPr="00715FB3">
        <w:t xml:space="preserve"> </w:t>
      </w:r>
      <w:r w:rsidR="002228AB" w:rsidRPr="00715FB3">
        <w:t>nespevnený charakter sú pokryté trávou s občasným výskytom drevín a menšími reklamnými plochami.</w:t>
      </w:r>
      <w:r w:rsidR="001D461B" w:rsidRPr="00715FB3">
        <w:t xml:space="preserve"> </w:t>
      </w:r>
      <w:r w:rsidR="00897F23" w:rsidRPr="00715FB3">
        <w:t>V rámci južnej časti územia</w:t>
      </w:r>
      <w:r w:rsidR="00D7499A" w:rsidRPr="00715FB3">
        <w:t xml:space="preserve"> je vytvorených</w:t>
      </w:r>
      <w:r w:rsidR="002228AB" w:rsidRPr="00715FB3">
        <w:t xml:space="preserve"> aj</w:t>
      </w:r>
      <w:r w:rsidR="00D7499A" w:rsidRPr="00715FB3">
        <w:t xml:space="preserve"> v</w:t>
      </w:r>
      <w:r w:rsidR="00C71675" w:rsidRPr="00715FB3">
        <w:t>iacero parkovacích miest. K</w:t>
      </w:r>
      <w:r w:rsidR="00D7499A" w:rsidRPr="00715FB3">
        <w:t xml:space="preserve"> priestoru </w:t>
      </w:r>
      <w:r w:rsidR="00897F23" w:rsidRPr="00715FB3">
        <w:t xml:space="preserve">so spevneným povrchom tejto časti </w:t>
      </w:r>
      <w:r w:rsidR="00D7499A" w:rsidRPr="00715FB3">
        <w:t>vedie</w:t>
      </w:r>
      <w:r w:rsidR="00C71675" w:rsidRPr="00715FB3">
        <w:t xml:space="preserve"> z Terchovskej ulice krátka, spevnená príjazdová cesta.</w:t>
      </w:r>
      <w:r w:rsidR="001D461B" w:rsidRPr="00715FB3">
        <w:t xml:space="preserve"> </w:t>
      </w:r>
    </w:p>
    <w:p w14:paraId="5E1732D5" w14:textId="7E491160" w:rsidR="00E24C5D" w:rsidRPr="0021398A" w:rsidRDefault="00E24C5D" w:rsidP="008C6F96">
      <w:pPr>
        <w:pStyle w:val="3rovenadpis"/>
      </w:pPr>
      <w:bookmarkStart w:id="58" w:name="_Toc307774389"/>
      <w:bookmarkStart w:id="59" w:name="_Toc307774390"/>
      <w:bookmarkStart w:id="60" w:name="_Toc495992939"/>
      <w:bookmarkStart w:id="61" w:name="_Toc93916813"/>
      <w:bookmarkEnd w:id="58"/>
      <w:bookmarkEnd w:id="59"/>
      <w:r w:rsidRPr="0021398A">
        <w:t>Navrhované variant</w:t>
      </w:r>
      <w:bookmarkEnd w:id="57"/>
      <w:bookmarkEnd w:id="60"/>
      <w:r w:rsidRPr="0021398A">
        <w:t>y</w:t>
      </w:r>
      <w:bookmarkEnd w:id="61"/>
      <w:r w:rsidRPr="0021398A">
        <w:t xml:space="preserve"> </w:t>
      </w:r>
    </w:p>
    <w:bookmarkEnd w:id="53"/>
    <w:bookmarkEnd w:id="54"/>
    <w:p w14:paraId="2154739B" w14:textId="5AD1AB21" w:rsidR="00123F7B" w:rsidRPr="00123F7B" w:rsidRDefault="00123F7B" w:rsidP="005F46EB">
      <w:pPr>
        <w:pStyle w:val="A-Text11"/>
        <w:rPr>
          <w:i/>
          <w:iCs/>
          <w:lang w:eastAsia="ar-SA"/>
        </w:rPr>
      </w:pPr>
      <w:r w:rsidRPr="00123F7B">
        <w:rPr>
          <w:i/>
          <w:iCs/>
          <w:lang w:eastAsia="ar-SA"/>
        </w:rPr>
        <w:t xml:space="preserve">Opis navrhovanej činnosti je na podklade rozpracovanej dokumentácie pre územné rozhodnutie o umiestnení stavby - </w:t>
      </w:r>
      <w:r w:rsidRPr="00123F7B">
        <w:rPr>
          <w:i/>
          <w:iCs/>
        </w:rPr>
        <w:t>The</w:t>
      </w:r>
      <w:r w:rsidRPr="00123F7B">
        <w:rPr>
          <w:b/>
          <w:bCs/>
          <w:i/>
          <w:iCs/>
        </w:rPr>
        <w:t>Büro</w:t>
      </w:r>
      <w:r w:rsidRPr="00123F7B">
        <w:rPr>
          <w:i/>
          <w:iCs/>
        </w:rPr>
        <w:t>, s.r.o., Tučkova 24a, 602 00 Brno, Česká</w:t>
      </w:r>
      <w:r w:rsidRPr="008E348B">
        <w:t xml:space="preserve"> </w:t>
      </w:r>
      <w:r w:rsidRPr="00123F7B">
        <w:rPr>
          <w:i/>
          <w:iCs/>
        </w:rPr>
        <w:t>republika</w:t>
      </w:r>
      <w:r>
        <w:rPr>
          <w:i/>
          <w:iCs/>
        </w:rPr>
        <w:t>.</w:t>
      </w:r>
    </w:p>
    <w:p w14:paraId="12A65EFB" w14:textId="0C07C670" w:rsidR="00131185" w:rsidRPr="0021398A" w:rsidRDefault="007D2C4E" w:rsidP="005F46EB">
      <w:pPr>
        <w:pStyle w:val="A-Text11"/>
        <w:rPr>
          <w:lang w:eastAsia="ar-SA"/>
        </w:rPr>
      </w:pPr>
      <w:r w:rsidRPr="0021398A">
        <w:rPr>
          <w:lang w:eastAsia="ar-SA"/>
        </w:rPr>
        <w:t xml:space="preserve">Zámer je predkladaný v dvoch variantoch odlišujúcich sa v technologickom vybavení budovy, konkrétne druhom záložného zdroja v prípade výpadku energií. </w:t>
      </w:r>
    </w:p>
    <w:p w14:paraId="3C9C5174" w14:textId="350A9CB5" w:rsidR="007D2C4E" w:rsidRDefault="007D2C4E" w:rsidP="005F46EB">
      <w:pPr>
        <w:pStyle w:val="A-Text11"/>
        <w:rPr>
          <w:lang w:eastAsia="ar-SA"/>
        </w:rPr>
      </w:pPr>
      <w:r w:rsidRPr="0021398A">
        <w:rPr>
          <w:lang w:eastAsia="ar-SA"/>
        </w:rPr>
        <w:t>Urbanistické a </w:t>
      </w:r>
      <w:r w:rsidR="00075199" w:rsidRPr="0021398A">
        <w:rPr>
          <w:lang w:eastAsia="ar-SA"/>
        </w:rPr>
        <w:t>architektonické</w:t>
      </w:r>
      <w:r w:rsidRPr="0021398A">
        <w:rPr>
          <w:lang w:eastAsia="ar-SA"/>
        </w:rPr>
        <w:t xml:space="preserve"> riešenie je inak v zásade rovnaké. </w:t>
      </w:r>
    </w:p>
    <w:p w14:paraId="6B18A8EC" w14:textId="608082AA" w:rsidR="00C57725" w:rsidRPr="003756BF" w:rsidRDefault="00C57725" w:rsidP="00C57725">
      <w:pPr>
        <w:pStyle w:val="A-Text11"/>
        <w:rPr>
          <w:lang w:eastAsia="ar-SA"/>
        </w:rPr>
      </w:pPr>
      <w:r w:rsidRPr="003756BF">
        <w:rPr>
          <w:lang w:eastAsia="ar-SA"/>
        </w:rPr>
        <w:t xml:space="preserve">Prehľad stavebnej kapacity </w:t>
      </w:r>
    </w:p>
    <w:p w14:paraId="2C155527" w14:textId="181E97E2" w:rsidR="00C57725" w:rsidRPr="003756BF" w:rsidRDefault="00C57725" w:rsidP="003756BF">
      <w:pPr>
        <w:pStyle w:val="A-Text11"/>
        <w:spacing w:before="0" w:line="240" w:lineRule="auto"/>
        <w:ind w:firstLine="425"/>
        <w:rPr>
          <w:lang w:eastAsia="ar-SA"/>
        </w:rPr>
      </w:pPr>
      <w:r w:rsidRPr="003756BF">
        <w:rPr>
          <w:lang w:eastAsia="ar-SA"/>
        </w:rPr>
        <w:t xml:space="preserve">Počet bytov: </w:t>
      </w:r>
      <w:r w:rsidR="003756BF">
        <w:rPr>
          <w:lang w:eastAsia="ar-SA"/>
        </w:rPr>
        <w:tab/>
      </w:r>
      <w:r w:rsidR="003756BF">
        <w:rPr>
          <w:lang w:eastAsia="ar-SA"/>
        </w:rPr>
        <w:tab/>
      </w:r>
      <w:r w:rsidR="003756BF">
        <w:rPr>
          <w:lang w:eastAsia="ar-SA"/>
        </w:rPr>
        <w:tab/>
      </w:r>
      <w:r w:rsidR="00935184">
        <w:rPr>
          <w:lang w:eastAsia="ar-SA"/>
        </w:rPr>
        <w:t xml:space="preserve">         </w:t>
      </w:r>
      <w:r w:rsidRPr="003756BF">
        <w:rPr>
          <w:lang w:eastAsia="ar-SA"/>
        </w:rPr>
        <w:t>85</w:t>
      </w:r>
    </w:p>
    <w:p w14:paraId="497096E7" w14:textId="18E80543" w:rsidR="00C57725" w:rsidRPr="003756BF" w:rsidRDefault="00C57725" w:rsidP="003756BF">
      <w:pPr>
        <w:pStyle w:val="A-Text11"/>
        <w:spacing w:before="0" w:line="240" w:lineRule="auto"/>
        <w:ind w:firstLine="425"/>
        <w:rPr>
          <w:lang w:eastAsia="ar-SA"/>
        </w:rPr>
      </w:pPr>
      <w:r w:rsidRPr="003756BF">
        <w:rPr>
          <w:lang w:eastAsia="ar-SA"/>
        </w:rPr>
        <w:t xml:space="preserve">Počet obyvateľov: </w:t>
      </w:r>
      <w:r w:rsidR="003756BF">
        <w:rPr>
          <w:lang w:eastAsia="ar-SA"/>
        </w:rPr>
        <w:tab/>
      </w:r>
      <w:r w:rsidR="003756BF">
        <w:rPr>
          <w:lang w:eastAsia="ar-SA"/>
        </w:rPr>
        <w:tab/>
      </w:r>
      <w:r w:rsidR="00935184">
        <w:rPr>
          <w:lang w:eastAsia="ar-SA"/>
        </w:rPr>
        <w:t xml:space="preserve">       </w:t>
      </w:r>
      <w:r w:rsidRPr="003756BF">
        <w:rPr>
          <w:lang w:eastAsia="ar-SA"/>
        </w:rPr>
        <w:t>299</w:t>
      </w:r>
    </w:p>
    <w:p w14:paraId="7F59FEAB" w14:textId="18F5631D" w:rsidR="00C57725" w:rsidRPr="003756BF" w:rsidRDefault="00C57725" w:rsidP="003756BF">
      <w:pPr>
        <w:pStyle w:val="A-Text11"/>
        <w:spacing w:before="0" w:line="240" w:lineRule="auto"/>
        <w:ind w:firstLine="425"/>
        <w:rPr>
          <w:lang w:eastAsia="ar-SA"/>
        </w:rPr>
      </w:pPr>
      <w:r w:rsidRPr="003756BF">
        <w:rPr>
          <w:lang w:eastAsia="ar-SA"/>
        </w:rPr>
        <w:t xml:space="preserve">Počet parkovacích miest: </w:t>
      </w:r>
      <w:r w:rsidR="003756BF">
        <w:rPr>
          <w:lang w:eastAsia="ar-SA"/>
        </w:rPr>
        <w:tab/>
      </w:r>
      <w:r w:rsidR="00935184">
        <w:rPr>
          <w:lang w:eastAsia="ar-SA"/>
        </w:rPr>
        <w:t xml:space="preserve">       </w:t>
      </w:r>
      <w:r w:rsidRPr="003756BF">
        <w:rPr>
          <w:lang w:eastAsia="ar-SA"/>
        </w:rPr>
        <w:t xml:space="preserve">137 </w:t>
      </w:r>
    </w:p>
    <w:p w14:paraId="3A8BF5C2" w14:textId="5A76C1CB" w:rsidR="00C57725" w:rsidRPr="003756BF" w:rsidRDefault="00C57725" w:rsidP="003756BF">
      <w:pPr>
        <w:pStyle w:val="A-Text11"/>
        <w:spacing w:before="0" w:line="240" w:lineRule="auto"/>
        <w:ind w:firstLine="425"/>
        <w:rPr>
          <w:lang w:eastAsia="ar-SA"/>
        </w:rPr>
      </w:pPr>
      <w:r w:rsidRPr="003756BF">
        <w:rPr>
          <w:lang w:eastAsia="ar-SA"/>
        </w:rPr>
        <w:t xml:space="preserve">Počet komerčných jednotiek: </w:t>
      </w:r>
      <w:r w:rsidR="003756BF">
        <w:rPr>
          <w:lang w:eastAsia="ar-SA"/>
        </w:rPr>
        <w:tab/>
      </w:r>
      <w:r w:rsidR="00935184">
        <w:rPr>
          <w:lang w:eastAsia="ar-SA"/>
        </w:rPr>
        <w:t xml:space="preserve">           </w:t>
      </w:r>
      <w:r w:rsidRPr="003756BF">
        <w:rPr>
          <w:lang w:eastAsia="ar-SA"/>
        </w:rPr>
        <w:t>2</w:t>
      </w:r>
    </w:p>
    <w:p w14:paraId="265FF543" w14:textId="6F271520" w:rsidR="00C57725" w:rsidRPr="003756BF" w:rsidRDefault="00C57725" w:rsidP="003756BF">
      <w:pPr>
        <w:pStyle w:val="A-Text11"/>
        <w:spacing w:before="0" w:line="240" w:lineRule="auto"/>
        <w:ind w:firstLine="425"/>
        <w:rPr>
          <w:lang w:eastAsia="ar-SA"/>
        </w:rPr>
      </w:pPr>
      <w:r w:rsidRPr="003756BF">
        <w:rPr>
          <w:lang w:eastAsia="ar-SA"/>
        </w:rPr>
        <w:t xml:space="preserve">Počet komunitných priestorov: </w:t>
      </w:r>
      <w:r w:rsidR="003756BF">
        <w:rPr>
          <w:lang w:eastAsia="ar-SA"/>
        </w:rPr>
        <w:tab/>
      </w:r>
      <w:r w:rsidR="00B809FA">
        <w:rPr>
          <w:lang w:eastAsia="ar-SA"/>
        </w:rPr>
        <w:tab/>
      </w:r>
      <w:r w:rsidRPr="003756BF">
        <w:rPr>
          <w:lang w:eastAsia="ar-SA"/>
        </w:rPr>
        <w:t>1</w:t>
      </w:r>
    </w:p>
    <w:p w14:paraId="4A50C064" w14:textId="49624F01" w:rsidR="00C57725" w:rsidRPr="003756BF" w:rsidRDefault="00C57725" w:rsidP="003756BF">
      <w:pPr>
        <w:pStyle w:val="A-Text11"/>
        <w:spacing w:before="0" w:line="240" w:lineRule="auto"/>
        <w:ind w:firstLine="425"/>
        <w:rPr>
          <w:lang w:eastAsia="ar-SA"/>
        </w:rPr>
      </w:pPr>
      <w:r w:rsidRPr="003756BF">
        <w:rPr>
          <w:lang w:eastAsia="ar-SA"/>
        </w:rPr>
        <w:t xml:space="preserve">Počet spoločných strešných terás: </w:t>
      </w:r>
      <w:r w:rsidR="00B809FA">
        <w:rPr>
          <w:lang w:eastAsia="ar-SA"/>
        </w:rPr>
        <w:tab/>
      </w:r>
      <w:r w:rsidRPr="003756BF">
        <w:rPr>
          <w:lang w:eastAsia="ar-SA"/>
        </w:rPr>
        <w:t>1</w:t>
      </w:r>
    </w:p>
    <w:p w14:paraId="0003F817" w14:textId="77777777" w:rsidR="00400B4E" w:rsidRDefault="00400B4E" w:rsidP="00C57725">
      <w:pPr>
        <w:pStyle w:val="A-Text11"/>
        <w:rPr>
          <w:lang w:eastAsia="ar-SA"/>
        </w:rPr>
      </w:pPr>
    </w:p>
    <w:p w14:paraId="4AD05BAD" w14:textId="6E20EBD3" w:rsidR="00C57725" w:rsidRPr="003756BF" w:rsidRDefault="00C57725" w:rsidP="00C57725">
      <w:pPr>
        <w:pStyle w:val="A-Text11"/>
        <w:rPr>
          <w:lang w:eastAsia="ar-SA"/>
        </w:rPr>
      </w:pPr>
      <w:r w:rsidRPr="003756BF">
        <w:rPr>
          <w:lang w:eastAsia="ar-SA"/>
        </w:rPr>
        <w:lastRenderedPageBreak/>
        <w:t>Plošná a priestorová bilancia:</w:t>
      </w:r>
    </w:p>
    <w:p w14:paraId="3659D1F1" w14:textId="77777777" w:rsidR="00C57725" w:rsidRPr="003756BF" w:rsidRDefault="00C57725" w:rsidP="00C57725">
      <w:pPr>
        <w:pStyle w:val="A-Text11"/>
        <w:rPr>
          <w:lang w:eastAsia="ar-SA"/>
        </w:rPr>
      </w:pPr>
      <w:r w:rsidRPr="003756BF">
        <w:rPr>
          <w:lang w:eastAsia="ar-SA"/>
        </w:rPr>
        <w:t>Bytový dom Terchovská:</w:t>
      </w:r>
    </w:p>
    <w:p w14:paraId="2ED7D914" w14:textId="3D35EF1F" w:rsidR="00C57725" w:rsidRPr="003756BF" w:rsidRDefault="00C57725" w:rsidP="003756BF">
      <w:pPr>
        <w:pStyle w:val="A-Text11"/>
        <w:spacing w:before="0" w:line="240" w:lineRule="auto"/>
        <w:ind w:firstLine="425"/>
        <w:rPr>
          <w:lang w:eastAsia="ar-SA"/>
        </w:rPr>
      </w:pPr>
      <w:r w:rsidRPr="003756BF">
        <w:rPr>
          <w:lang w:eastAsia="ar-SA"/>
        </w:rPr>
        <w:t xml:space="preserve">Obstavaný priestor podzemnej časti: </w:t>
      </w:r>
      <w:r w:rsidR="00B809FA">
        <w:rPr>
          <w:lang w:eastAsia="ar-SA"/>
        </w:rPr>
        <w:tab/>
      </w:r>
      <w:r w:rsidR="00B809FA">
        <w:rPr>
          <w:lang w:eastAsia="ar-SA"/>
        </w:rPr>
        <w:tab/>
      </w:r>
      <w:r w:rsidR="00B809FA">
        <w:rPr>
          <w:lang w:eastAsia="ar-SA"/>
        </w:rPr>
        <w:tab/>
      </w:r>
      <w:r w:rsidR="00B809FA">
        <w:rPr>
          <w:lang w:eastAsia="ar-SA"/>
        </w:rPr>
        <w:tab/>
      </w:r>
      <w:r w:rsidRPr="003756BF">
        <w:rPr>
          <w:lang w:eastAsia="ar-SA"/>
        </w:rPr>
        <w:t>11 069 m</w:t>
      </w:r>
      <w:r w:rsidRPr="00935184">
        <w:rPr>
          <w:vertAlign w:val="superscript"/>
          <w:lang w:eastAsia="ar-SA"/>
        </w:rPr>
        <w:t>3</w:t>
      </w:r>
    </w:p>
    <w:p w14:paraId="29AF9588" w14:textId="23BF6BFE" w:rsidR="00C57725" w:rsidRPr="003756BF" w:rsidRDefault="00C57725" w:rsidP="003756BF">
      <w:pPr>
        <w:pStyle w:val="A-Text11"/>
        <w:spacing w:before="0" w:line="240" w:lineRule="auto"/>
        <w:ind w:firstLine="425"/>
        <w:rPr>
          <w:lang w:eastAsia="ar-SA"/>
        </w:rPr>
      </w:pPr>
      <w:r w:rsidRPr="003756BF">
        <w:rPr>
          <w:lang w:eastAsia="ar-SA"/>
        </w:rPr>
        <w:t xml:space="preserve">Obstavaný nadzemný vykurovaný priestor: </w:t>
      </w:r>
      <w:r w:rsidR="00B809FA">
        <w:rPr>
          <w:lang w:eastAsia="ar-SA"/>
        </w:rPr>
        <w:tab/>
      </w:r>
      <w:r w:rsidR="00B809FA">
        <w:rPr>
          <w:lang w:eastAsia="ar-SA"/>
        </w:rPr>
        <w:tab/>
      </w:r>
      <w:r w:rsidR="00B809FA">
        <w:rPr>
          <w:lang w:eastAsia="ar-SA"/>
        </w:rPr>
        <w:tab/>
      </w:r>
      <w:r w:rsidRPr="003756BF">
        <w:rPr>
          <w:lang w:eastAsia="ar-SA"/>
        </w:rPr>
        <w:t>18 410 m</w:t>
      </w:r>
      <w:r w:rsidRPr="00935184">
        <w:rPr>
          <w:vertAlign w:val="superscript"/>
          <w:lang w:eastAsia="ar-SA"/>
        </w:rPr>
        <w:t>3</w:t>
      </w:r>
    </w:p>
    <w:p w14:paraId="50083DE6" w14:textId="77777777" w:rsidR="00C57725" w:rsidRPr="003756BF" w:rsidRDefault="00C57725" w:rsidP="003756BF">
      <w:pPr>
        <w:pStyle w:val="A-Text11"/>
        <w:spacing w:before="0" w:line="240" w:lineRule="auto"/>
        <w:ind w:firstLine="425"/>
        <w:rPr>
          <w:lang w:eastAsia="ar-SA"/>
        </w:rPr>
      </w:pPr>
      <w:r w:rsidRPr="003756BF">
        <w:rPr>
          <w:lang w:eastAsia="ar-SA"/>
        </w:rPr>
        <w:t>Hrubá podzemná podlahová plocha: 3 256 m</w:t>
      </w:r>
      <w:r w:rsidRPr="00935184">
        <w:rPr>
          <w:vertAlign w:val="superscript"/>
          <w:lang w:eastAsia="ar-SA"/>
        </w:rPr>
        <w:t>2</w:t>
      </w:r>
    </w:p>
    <w:p w14:paraId="673B82EF" w14:textId="77777777" w:rsidR="00C57725" w:rsidRPr="003756BF" w:rsidRDefault="00C57725" w:rsidP="003756BF">
      <w:pPr>
        <w:pStyle w:val="A-Text11"/>
        <w:spacing w:before="0" w:line="240" w:lineRule="auto"/>
        <w:ind w:firstLine="425"/>
        <w:rPr>
          <w:lang w:eastAsia="ar-SA"/>
        </w:rPr>
      </w:pPr>
      <w:r w:rsidRPr="003756BF">
        <w:rPr>
          <w:lang w:eastAsia="ar-SA"/>
        </w:rPr>
        <w:t>Hrubá podlahová plocha vykurovaných priestorov nad zemou: 5 630 m</w:t>
      </w:r>
      <w:r w:rsidRPr="00935184">
        <w:rPr>
          <w:vertAlign w:val="superscript"/>
          <w:lang w:eastAsia="ar-SA"/>
        </w:rPr>
        <w:t>2</w:t>
      </w:r>
    </w:p>
    <w:p w14:paraId="711AF79E" w14:textId="2F8285FB" w:rsidR="00C57725" w:rsidRPr="003756BF" w:rsidRDefault="00C57725" w:rsidP="003756BF">
      <w:pPr>
        <w:pStyle w:val="A-Text11"/>
        <w:spacing w:before="0" w:line="240" w:lineRule="auto"/>
        <w:ind w:firstLine="425"/>
        <w:rPr>
          <w:lang w:eastAsia="ar-SA"/>
        </w:rPr>
      </w:pPr>
      <w:r w:rsidRPr="003756BF">
        <w:rPr>
          <w:lang w:eastAsia="ar-SA"/>
        </w:rPr>
        <w:t xml:space="preserve">Hrubá podlahová plocha pivničných skladov nad zemou: </w:t>
      </w:r>
      <w:r w:rsidR="00B809FA">
        <w:rPr>
          <w:lang w:eastAsia="ar-SA"/>
        </w:rPr>
        <w:tab/>
      </w:r>
      <w:r w:rsidRPr="003756BF">
        <w:rPr>
          <w:lang w:eastAsia="ar-SA"/>
        </w:rPr>
        <w:t>108 m</w:t>
      </w:r>
      <w:r w:rsidRPr="00935184">
        <w:rPr>
          <w:vertAlign w:val="superscript"/>
          <w:lang w:eastAsia="ar-SA"/>
        </w:rPr>
        <w:t>2</w:t>
      </w:r>
    </w:p>
    <w:p w14:paraId="329A5EB6" w14:textId="2D5B03B9" w:rsidR="00C57725" w:rsidRPr="003756BF" w:rsidRDefault="00C57725" w:rsidP="003756BF">
      <w:pPr>
        <w:pStyle w:val="A-Text11"/>
        <w:spacing w:before="0" w:line="240" w:lineRule="auto"/>
        <w:ind w:firstLine="425"/>
        <w:rPr>
          <w:lang w:eastAsia="ar-SA"/>
        </w:rPr>
      </w:pPr>
      <w:r w:rsidRPr="003756BF">
        <w:rPr>
          <w:lang w:eastAsia="ar-SA"/>
        </w:rPr>
        <w:t xml:space="preserve">Hrubá podlahová plocha pavlačí: </w:t>
      </w:r>
      <w:r w:rsidR="00EC6CBD">
        <w:rPr>
          <w:lang w:eastAsia="ar-SA"/>
        </w:rPr>
        <w:tab/>
      </w:r>
      <w:r w:rsidR="00EC6CBD">
        <w:rPr>
          <w:lang w:eastAsia="ar-SA"/>
        </w:rPr>
        <w:tab/>
      </w:r>
      <w:r w:rsidR="00EC6CBD">
        <w:rPr>
          <w:lang w:eastAsia="ar-SA"/>
        </w:rPr>
        <w:tab/>
      </w:r>
      <w:r w:rsidR="00EC6CBD">
        <w:rPr>
          <w:lang w:eastAsia="ar-SA"/>
        </w:rPr>
        <w:tab/>
      </w:r>
      <w:r w:rsidRPr="003756BF">
        <w:rPr>
          <w:lang w:eastAsia="ar-SA"/>
        </w:rPr>
        <w:t>789 m</w:t>
      </w:r>
      <w:r w:rsidRPr="00935184">
        <w:rPr>
          <w:vertAlign w:val="superscript"/>
          <w:lang w:eastAsia="ar-SA"/>
        </w:rPr>
        <w:t>2</w:t>
      </w:r>
    </w:p>
    <w:p w14:paraId="67303EC3" w14:textId="08EB844D" w:rsidR="00C57725" w:rsidRPr="003756BF" w:rsidRDefault="00C57725" w:rsidP="003756BF">
      <w:pPr>
        <w:pStyle w:val="A-Text11"/>
        <w:spacing w:before="0" w:line="240" w:lineRule="auto"/>
        <w:ind w:firstLine="425"/>
        <w:rPr>
          <w:lang w:eastAsia="ar-SA"/>
        </w:rPr>
      </w:pPr>
      <w:r w:rsidRPr="003756BF">
        <w:rPr>
          <w:lang w:eastAsia="ar-SA"/>
        </w:rPr>
        <w:t>Hrubá nadzemná podlahová plocha bez balk</w:t>
      </w:r>
      <w:r w:rsidR="007E4204" w:rsidRPr="003756BF">
        <w:rPr>
          <w:lang w:eastAsia="ar-SA"/>
        </w:rPr>
        <w:t>ó</w:t>
      </w:r>
      <w:r w:rsidRPr="003756BF">
        <w:rPr>
          <w:lang w:eastAsia="ar-SA"/>
        </w:rPr>
        <w:t xml:space="preserve">nov: </w:t>
      </w:r>
      <w:r w:rsidR="00EC6CBD">
        <w:rPr>
          <w:lang w:eastAsia="ar-SA"/>
        </w:rPr>
        <w:tab/>
      </w:r>
      <w:r w:rsidR="00EC6CBD">
        <w:rPr>
          <w:lang w:eastAsia="ar-SA"/>
        </w:rPr>
        <w:tab/>
      </w:r>
      <w:r w:rsidRPr="003756BF">
        <w:rPr>
          <w:lang w:eastAsia="ar-SA"/>
        </w:rPr>
        <w:t>6 816 m</w:t>
      </w:r>
      <w:r w:rsidRPr="00935184">
        <w:rPr>
          <w:vertAlign w:val="superscript"/>
          <w:lang w:eastAsia="ar-SA"/>
        </w:rPr>
        <w:t>2</w:t>
      </w:r>
    </w:p>
    <w:p w14:paraId="40E4A617" w14:textId="66359259" w:rsidR="00C57725" w:rsidRPr="003756BF" w:rsidRDefault="00C57725" w:rsidP="003756BF">
      <w:pPr>
        <w:pStyle w:val="A-Text11"/>
        <w:spacing w:before="0" w:line="240" w:lineRule="auto"/>
        <w:ind w:firstLine="425"/>
        <w:rPr>
          <w:lang w:eastAsia="ar-SA"/>
        </w:rPr>
      </w:pPr>
      <w:r w:rsidRPr="003756BF">
        <w:rPr>
          <w:lang w:eastAsia="ar-SA"/>
        </w:rPr>
        <w:t xml:space="preserve">Hrubá podlahová plocha balkónov: </w:t>
      </w:r>
      <w:r w:rsidR="00EC6CBD">
        <w:rPr>
          <w:lang w:eastAsia="ar-SA"/>
        </w:rPr>
        <w:tab/>
      </w:r>
      <w:r w:rsidR="00EC6CBD">
        <w:rPr>
          <w:lang w:eastAsia="ar-SA"/>
        </w:rPr>
        <w:tab/>
      </w:r>
      <w:r w:rsidR="00EC6CBD">
        <w:rPr>
          <w:lang w:eastAsia="ar-SA"/>
        </w:rPr>
        <w:tab/>
      </w:r>
      <w:r w:rsidR="00EC6CBD">
        <w:rPr>
          <w:lang w:eastAsia="ar-SA"/>
        </w:rPr>
        <w:tab/>
      </w:r>
      <w:r w:rsidRPr="003756BF">
        <w:rPr>
          <w:lang w:eastAsia="ar-SA"/>
        </w:rPr>
        <w:t>533 m</w:t>
      </w:r>
      <w:r w:rsidRPr="00935184">
        <w:rPr>
          <w:vertAlign w:val="superscript"/>
          <w:lang w:eastAsia="ar-SA"/>
        </w:rPr>
        <w:t>2</w:t>
      </w:r>
    </w:p>
    <w:p w14:paraId="1EC4A5BC" w14:textId="303C5E10" w:rsidR="00C57725" w:rsidRPr="003756BF" w:rsidRDefault="00C57725" w:rsidP="003756BF">
      <w:pPr>
        <w:pStyle w:val="A-Text11"/>
        <w:spacing w:before="0" w:line="240" w:lineRule="auto"/>
        <w:ind w:firstLine="425"/>
        <w:rPr>
          <w:lang w:eastAsia="ar-SA"/>
        </w:rPr>
      </w:pPr>
      <w:r w:rsidRPr="003756BF">
        <w:rPr>
          <w:lang w:eastAsia="ar-SA"/>
        </w:rPr>
        <w:t>Hrubá nadzemná podlahová plocha vrátane balk</w:t>
      </w:r>
      <w:r w:rsidR="007E4204" w:rsidRPr="003756BF">
        <w:rPr>
          <w:lang w:eastAsia="ar-SA"/>
        </w:rPr>
        <w:t>ó</w:t>
      </w:r>
      <w:r w:rsidRPr="003756BF">
        <w:rPr>
          <w:lang w:eastAsia="ar-SA"/>
        </w:rPr>
        <w:t xml:space="preserve">nov: </w:t>
      </w:r>
      <w:r w:rsidR="00EC6CBD">
        <w:rPr>
          <w:lang w:eastAsia="ar-SA"/>
        </w:rPr>
        <w:tab/>
      </w:r>
      <w:r w:rsidRPr="003756BF">
        <w:rPr>
          <w:lang w:eastAsia="ar-SA"/>
        </w:rPr>
        <w:t>7080 m</w:t>
      </w:r>
      <w:r w:rsidRPr="00935184">
        <w:rPr>
          <w:vertAlign w:val="superscript"/>
          <w:lang w:eastAsia="ar-SA"/>
        </w:rPr>
        <w:t>2</w:t>
      </w:r>
    </w:p>
    <w:p w14:paraId="7916EDEB" w14:textId="6D154FED" w:rsidR="00C57725" w:rsidRPr="003756BF" w:rsidRDefault="00C57725" w:rsidP="003756BF">
      <w:pPr>
        <w:pStyle w:val="A-Text11"/>
        <w:spacing w:before="0" w:line="240" w:lineRule="auto"/>
        <w:ind w:firstLine="425"/>
        <w:rPr>
          <w:lang w:eastAsia="ar-SA"/>
        </w:rPr>
      </w:pPr>
      <w:r w:rsidRPr="003756BF">
        <w:rPr>
          <w:lang w:eastAsia="ar-SA"/>
        </w:rPr>
        <w:t xml:space="preserve">Počet parkovacích miest: </w:t>
      </w:r>
      <w:r w:rsidR="00EC6CBD">
        <w:rPr>
          <w:lang w:eastAsia="ar-SA"/>
        </w:rPr>
        <w:tab/>
      </w:r>
      <w:r w:rsidR="00EC6CBD">
        <w:rPr>
          <w:lang w:eastAsia="ar-SA"/>
        </w:rPr>
        <w:tab/>
      </w:r>
      <w:r w:rsidR="00EC6CBD">
        <w:rPr>
          <w:lang w:eastAsia="ar-SA"/>
        </w:rPr>
        <w:tab/>
      </w:r>
      <w:r w:rsidR="00EC6CBD">
        <w:rPr>
          <w:lang w:eastAsia="ar-SA"/>
        </w:rPr>
        <w:tab/>
      </w:r>
      <w:r w:rsidR="00EC6CBD">
        <w:rPr>
          <w:lang w:eastAsia="ar-SA"/>
        </w:rPr>
        <w:tab/>
      </w:r>
      <w:r w:rsidRPr="003756BF">
        <w:rPr>
          <w:lang w:eastAsia="ar-SA"/>
        </w:rPr>
        <w:t>99 (88 garáž,11 povrch).</w:t>
      </w:r>
    </w:p>
    <w:p w14:paraId="73998DE0" w14:textId="54F22CFF" w:rsidR="00C57725" w:rsidRPr="003756BF" w:rsidRDefault="00C57725" w:rsidP="00C57725">
      <w:pPr>
        <w:pStyle w:val="A-Text11"/>
        <w:rPr>
          <w:lang w:eastAsia="ar-SA"/>
        </w:rPr>
      </w:pPr>
      <w:r w:rsidRPr="003756BF">
        <w:rPr>
          <w:lang w:eastAsia="ar-SA"/>
        </w:rPr>
        <w:t xml:space="preserve">Čistá podlahová plocha bytov: </w:t>
      </w:r>
      <w:r w:rsidR="000171F9">
        <w:rPr>
          <w:lang w:eastAsia="ar-SA"/>
        </w:rPr>
        <w:tab/>
      </w:r>
      <w:r w:rsidR="000171F9">
        <w:rPr>
          <w:lang w:eastAsia="ar-SA"/>
        </w:rPr>
        <w:tab/>
      </w:r>
      <w:r w:rsidR="000171F9">
        <w:rPr>
          <w:lang w:eastAsia="ar-SA"/>
        </w:rPr>
        <w:tab/>
      </w:r>
      <w:r w:rsidRPr="003756BF">
        <w:rPr>
          <w:lang w:eastAsia="ar-SA"/>
        </w:rPr>
        <w:t>4 083 m</w:t>
      </w:r>
      <w:r w:rsidRPr="00935184">
        <w:rPr>
          <w:vertAlign w:val="superscript"/>
          <w:lang w:eastAsia="ar-SA"/>
        </w:rPr>
        <w:t xml:space="preserve">2 </w:t>
      </w:r>
      <w:r w:rsidRPr="003756BF">
        <w:rPr>
          <w:lang w:eastAsia="ar-SA"/>
        </w:rPr>
        <w:t>(bez balkónov a terás)</w:t>
      </w:r>
    </w:p>
    <w:p w14:paraId="64E4BE4A" w14:textId="69B50B93" w:rsidR="00C57725" w:rsidRPr="003756BF" w:rsidRDefault="00C57725" w:rsidP="000171F9">
      <w:pPr>
        <w:pStyle w:val="A-Text11"/>
        <w:spacing w:before="0" w:line="240" w:lineRule="auto"/>
        <w:ind w:firstLine="425"/>
        <w:rPr>
          <w:lang w:eastAsia="ar-SA"/>
        </w:rPr>
      </w:pPr>
      <w:r w:rsidRPr="003756BF">
        <w:rPr>
          <w:lang w:eastAsia="ar-SA"/>
        </w:rPr>
        <w:t xml:space="preserve">Čistá podlahová plocha podľa dotácie ŠFRB: </w:t>
      </w:r>
      <w:r w:rsidR="000171F9">
        <w:rPr>
          <w:lang w:eastAsia="ar-SA"/>
        </w:rPr>
        <w:tab/>
      </w:r>
      <w:r w:rsidRPr="003756BF">
        <w:rPr>
          <w:lang w:eastAsia="ar-SA"/>
        </w:rPr>
        <w:t>5 099 m</w:t>
      </w:r>
      <w:r w:rsidRPr="00935184">
        <w:rPr>
          <w:vertAlign w:val="superscript"/>
          <w:lang w:eastAsia="ar-SA"/>
        </w:rPr>
        <w:t>2</w:t>
      </w:r>
      <w:r w:rsidRPr="003756BF">
        <w:rPr>
          <w:lang w:eastAsia="ar-SA"/>
        </w:rPr>
        <w:t xml:space="preserve"> (vrátane balkónov a terás)</w:t>
      </w:r>
    </w:p>
    <w:p w14:paraId="3664F6B9" w14:textId="77777777" w:rsidR="00C57725" w:rsidRPr="003756BF" w:rsidRDefault="00C57725" w:rsidP="000171F9">
      <w:pPr>
        <w:pStyle w:val="A-Text11"/>
        <w:spacing w:before="0" w:line="240" w:lineRule="auto"/>
        <w:ind w:firstLine="425"/>
        <w:rPr>
          <w:lang w:eastAsia="ar-SA"/>
        </w:rPr>
      </w:pPr>
      <w:r w:rsidRPr="003756BF">
        <w:rPr>
          <w:lang w:eastAsia="ar-SA"/>
        </w:rPr>
        <w:t>Priemerná veľkosť bytov podľa dotácie ŠFRB: 59,99 m</w:t>
      </w:r>
      <w:r w:rsidRPr="00935184">
        <w:rPr>
          <w:vertAlign w:val="superscript"/>
          <w:lang w:eastAsia="ar-SA"/>
        </w:rPr>
        <w:t>2</w:t>
      </w:r>
    </w:p>
    <w:p w14:paraId="5A59E8E1" w14:textId="77777777" w:rsidR="00C57725" w:rsidRPr="003756BF" w:rsidRDefault="00C57725" w:rsidP="000171F9">
      <w:pPr>
        <w:pStyle w:val="A-Text11"/>
        <w:spacing w:before="0" w:line="240" w:lineRule="auto"/>
        <w:ind w:firstLine="425"/>
        <w:rPr>
          <w:lang w:eastAsia="ar-SA"/>
        </w:rPr>
      </w:pPr>
      <w:r w:rsidRPr="003756BF">
        <w:rPr>
          <w:lang w:eastAsia="ar-SA"/>
        </w:rPr>
        <w:t>Čistá podlahová plocha komerčných a komunitných priestor: 357 m</w:t>
      </w:r>
      <w:r w:rsidRPr="00935184">
        <w:rPr>
          <w:vertAlign w:val="superscript"/>
          <w:lang w:eastAsia="ar-SA"/>
        </w:rPr>
        <w:t>2</w:t>
      </w:r>
    </w:p>
    <w:p w14:paraId="4647D921" w14:textId="77777777" w:rsidR="00C57725" w:rsidRPr="003756BF" w:rsidRDefault="00C57725" w:rsidP="00140CCC">
      <w:pPr>
        <w:pStyle w:val="A-Text11"/>
        <w:spacing w:before="0" w:line="240" w:lineRule="auto"/>
        <w:ind w:left="425" w:firstLine="0"/>
        <w:rPr>
          <w:lang w:eastAsia="ar-SA"/>
        </w:rPr>
      </w:pPr>
      <w:r w:rsidRPr="003756BF">
        <w:rPr>
          <w:lang w:eastAsia="ar-SA"/>
        </w:rPr>
        <w:t>Čistá podlahová plocha nebytových priestorov: 3 083 m</w:t>
      </w:r>
      <w:r w:rsidRPr="00935184">
        <w:rPr>
          <w:vertAlign w:val="superscript"/>
          <w:lang w:eastAsia="ar-SA"/>
        </w:rPr>
        <w:t>2</w:t>
      </w:r>
      <w:r w:rsidRPr="003756BF">
        <w:rPr>
          <w:lang w:eastAsia="ar-SA"/>
        </w:rPr>
        <w:t xml:space="preserve"> (vrátane komercii, komunitných priestorov, pivničných skladov a garáží)</w:t>
      </w:r>
    </w:p>
    <w:p w14:paraId="33A62ABC" w14:textId="77777777" w:rsidR="00C57725" w:rsidRPr="003756BF" w:rsidRDefault="00C57725" w:rsidP="00140CCC">
      <w:pPr>
        <w:pStyle w:val="A-Text11"/>
        <w:spacing w:before="0" w:line="240" w:lineRule="auto"/>
        <w:ind w:firstLine="425"/>
        <w:rPr>
          <w:lang w:eastAsia="ar-SA"/>
        </w:rPr>
      </w:pPr>
      <w:r w:rsidRPr="003756BF">
        <w:rPr>
          <w:lang w:eastAsia="ar-SA"/>
        </w:rPr>
        <w:t>Podiel vlastníctva bytov: 4 083 / (4 083 + 3 083) = 0,57</w:t>
      </w:r>
    </w:p>
    <w:p w14:paraId="08C23A47" w14:textId="77777777" w:rsidR="00C57725" w:rsidRPr="003756BF" w:rsidRDefault="00C57725" w:rsidP="00140CCC">
      <w:pPr>
        <w:pStyle w:val="A-Text11"/>
        <w:spacing w:before="0" w:line="240" w:lineRule="auto"/>
        <w:ind w:firstLine="425"/>
        <w:rPr>
          <w:lang w:eastAsia="ar-SA"/>
        </w:rPr>
      </w:pPr>
      <w:r w:rsidRPr="003756BF">
        <w:rPr>
          <w:lang w:eastAsia="ar-SA"/>
        </w:rPr>
        <w:t>Podiel vlastníctva nebytových priestorov: 3 083 / (4 083 + 3 083) = 0,43</w:t>
      </w:r>
    </w:p>
    <w:p w14:paraId="3F18F796" w14:textId="77777777" w:rsidR="00C57725" w:rsidRPr="003756BF" w:rsidRDefault="00C57725" w:rsidP="00140CCC">
      <w:pPr>
        <w:pStyle w:val="A-Text11"/>
        <w:spacing w:before="0" w:line="240" w:lineRule="auto"/>
        <w:ind w:firstLine="425"/>
        <w:rPr>
          <w:lang w:eastAsia="ar-SA"/>
        </w:rPr>
      </w:pPr>
      <w:r w:rsidRPr="003756BF">
        <w:rPr>
          <w:lang w:eastAsia="ar-SA"/>
        </w:rPr>
        <w:t>Bilancie plôch pre územie projektu bytového domu:</w:t>
      </w:r>
    </w:p>
    <w:p w14:paraId="79544CE2" w14:textId="1D10EF0B" w:rsidR="00C57725" w:rsidRPr="003756BF" w:rsidRDefault="00C57725" w:rsidP="00140CCC">
      <w:pPr>
        <w:pStyle w:val="A-Text11"/>
        <w:spacing w:before="0" w:line="240" w:lineRule="auto"/>
        <w:ind w:firstLine="425"/>
        <w:rPr>
          <w:lang w:eastAsia="ar-SA"/>
        </w:rPr>
      </w:pPr>
      <w:r w:rsidRPr="003756BF">
        <w:rPr>
          <w:lang w:eastAsia="ar-SA"/>
        </w:rPr>
        <w:t xml:space="preserve">Zastavaná plocha: </w:t>
      </w:r>
      <w:r w:rsidR="00140CCC">
        <w:rPr>
          <w:lang w:eastAsia="ar-SA"/>
        </w:rPr>
        <w:tab/>
      </w:r>
      <w:r w:rsidR="00140CCC">
        <w:rPr>
          <w:lang w:eastAsia="ar-SA"/>
        </w:rPr>
        <w:tab/>
      </w:r>
      <w:r w:rsidR="00140CCC">
        <w:rPr>
          <w:lang w:eastAsia="ar-SA"/>
        </w:rPr>
        <w:tab/>
      </w:r>
      <w:r w:rsidRPr="003756BF">
        <w:rPr>
          <w:lang w:eastAsia="ar-SA"/>
        </w:rPr>
        <w:t>2166,4 m</w:t>
      </w:r>
      <w:r w:rsidRPr="00935184">
        <w:rPr>
          <w:vertAlign w:val="superscript"/>
          <w:lang w:eastAsia="ar-SA"/>
        </w:rPr>
        <w:t>2</w:t>
      </w:r>
    </w:p>
    <w:p w14:paraId="32166EC4" w14:textId="0DAA3027" w:rsidR="00C57725" w:rsidRPr="003756BF" w:rsidRDefault="00C57725" w:rsidP="00140CCC">
      <w:pPr>
        <w:pStyle w:val="A-Text11"/>
        <w:spacing w:before="0" w:line="240" w:lineRule="auto"/>
        <w:ind w:firstLine="425"/>
        <w:rPr>
          <w:lang w:eastAsia="ar-SA"/>
        </w:rPr>
      </w:pPr>
      <w:r w:rsidRPr="003756BF">
        <w:rPr>
          <w:lang w:eastAsia="ar-SA"/>
        </w:rPr>
        <w:t xml:space="preserve">Komunikácia: </w:t>
      </w:r>
      <w:r w:rsidR="00140CCC">
        <w:rPr>
          <w:lang w:eastAsia="ar-SA"/>
        </w:rPr>
        <w:tab/>
      </w:r>
      <w:r w:rsidR="00140CCC">
        <w:rPr>
          <w:lang w:eastAsia="ar-SA"/>
        </w:rPr>
        <w:tab/>
      </w:r>
      <w:r w:rsidR="00140CCC">
        <w:rPr>
          <w:lang w:eastAsia="ar-SA"/>
        </w:rPr>
        <w:tab/>
      </w:r>
      <w:r w:rsidR="00140CCC">
        <w:rPr>
          <w:lang w:eastAsia="ar-SA"/>
        </w:rPr>
        <w:tab/>
      </w:r>
      <w:r w:rsidRPr="003756BF">
        <w:rPr>
          <w:lang w:eastAsia="ar-SA"/>
        </w:rPr>
        <w:t>140,9 m</w:t>
      </w:r>
      <w:r w:rsidRPr="00935184">
        <w:rPr>
          <w:vertAlign w:val="superscript"/>
          <w:lang w:eastAsia="ar-SA"/>
        </w:rPr>
        <w:t>2</w:t>
      </w:r>
    </w:p>
    <w:p w14:paraId="21A42800" w14:textId="5E09C9B7" w:rsidR="00C57725" w:rsidRPr="003756BF" w:rsidRDefault="00C57725" w:rsidP="00140CCC">
      <w:pPr>
        <w:pStyle w:val="A-Text11"/>
        <w:spacing w:before="0" w:line="240" w:lineRule="auto"/>
        <w:ind w:firstLine="425"/>
        <w:rPr>
          <w:lang w:eastAsia="ar-SA"/>
        </w:rPr>
      </w:pPr>
      <w:r w:rsidRPr="003756BF">
        <w:rPr>
          <w:lang w:eastAsia="ar-SA"/>
        </w:rPr>
        <w:t xml:space="preserve">Parkovacie miesto: </w:t>
      </w:r>
      <w:r w:rsidR="00140CCC">
        <w:rPr>
          <w:lang w:eastAsia="ar-SA"/>
        </w:rPr>
        <w:tab/>
      </w:r>
      <w:r w:rsidR="00140CCC">
        <w:rPr>
          <w:lang w:eastAsia="ar-SA"/>
        </w:rPr>
        <w:tab/>
      </w:r>
      <w:r w:rsidR="00140CCC">
        <w:rPr>
          <w:lang w:eastAsia="ar-SA"/>
        </w:rPr>
        <w:tab/>
      </w:r>
      <w:r w:rsidRPr="003756BF">
        <w:rPr>
          <w:lang w:eastAsia="ar-SA"/>
        </w:rPr>
        <w:t>161,1 m</w:t>
      </w:r>
      <w:r w:rsidRPr="00935184">
        <w:rPr>
          <w:vertAlign w:val="superscript"/>
          <w:lang w:eastAsia="ar-SA"/>
        </w:rPr>
        <w:t>2</w:t>
      </w:r>
    </w:p>
    <w:p w14:paraId="319F56D3" w14:textId="7E2EA109" w:rsidR="00C57725" w:rsidRPr="003756BF" w:rsidRDefault="00C57725" w:rsidP="00140CCC">
      <w:pPr>
        <w:pStyle w:val="A-Text11"/>
        <w:spacing w:before="0" w:line="240" w:lineRule="auto"/>
        <w:ind w:firstLine="425"/>
        <w:rPr>
          <w:lang w:eastAsia="ar-SA"/>
        </w:rPr>
      </w:pPr>
      <w:r w:rsidRPr="003756BF">
        <w:rPr>
          <w:lang w:eastAsia="ar-SA"/>
        </w:rPr>
        <w:t xml:space="preserve">Pešie a spevnené plochy: </w:t>
      </w:r>
      <w:r w:rsidR="00140CCC">
        <w:rPr>
          <w:lang w:eastAsia="ar-SA"/>
        </w:rPr>
        <w:tab/>
      </w:r>
      <w:r w:rsidR="00140CCC">
        <w:rPr>
          <w:lang w:eastAsia="ar-SA"/>
        </w:rPr>
        <w:tab/>
      </w:r>
      <w:r w:rsidRPr="003756BF">
        <w:rPr>
          <w:lang w:eastAsia="ar-SA"/>
        </w:rPr>
        <w:t>1326,4 m</w:t>
      </w:r>
      <w:r w:rsidRPr="00935184">
        <w:rPr>
          <w:vertAlign w:val="superscript"/>
          <w:lang w:eastAsia="ar-SA"/>
        </w:rPr>
        <w:t>2</w:t>
      </w:r>
    </w:p>
    <w:p w14:paraId="48D2B9CA" w14:textId="5DE4E1B6" w:rsidR="00C57725" w:rsidRPr="003756BF" w:rsidRDefault="00C57725" w:rsidP="00140CCC">
      <w:pPr>
        <w:pStyle w:val="A-Text11"/>
        <w:spacing w:before="0" w:line="240" w:lineRule="auto"/>
        <w:ind w:firstLine="425"/>
        <w:rPr>
          <w:lang w:eastAsia="ar-SA"/>
        </w:rPr>
      </w:pPr>
      <w:r w:rsidRPr="003756BF">
        <w:rPr>
          <w:lang w:eastAsia="ar-SA"/>
        </w:rPr>
        <w:t xml:space="preserve">Zeleň na konštrukcii (nad 0,5m): </w:t>
      </w:r>
      <w:r w:rsidR="00140CCC">
        <w:rPr>
          <w:lang w:eastAsia="ar-SA"/>
        </w:rPr>
        <w:tab/>
      </w:r>
      <w:r w:rsidRPr="003756BF">
        <w:rPr>
          <w:lang w:eastAsia="ar-SA"/>
        </w:rPr>
        <w:t>790,1 m</w:t>
      </w:r>
      <w:r w:rsidRPr="00935184">
        <w:rPr>
          <w:vertAlign w:val="superscript"/>
          <w:lang w:eastAsia="ar-SA"/>
        </w:rPr>
        <w:t>2</w:t>
      </w:r>
    </w:p>
    <w:p w14:paraId="572E4BC1" w14:textId="239C981D" w:rsidR="00C57725" w:rsidRPr="003756BF" w:rsidRDefault="00C57725" w:rsidP="00140CCC">
      <w:pPr>
        <w:pStyle w:val="A-Text11"/>
        <w:spacing w:before="0" w:line="240" w:lineRule="auto"/>
        <w:ind w:firstLine="425"/>
        <w:rPr>
          <w:lang w:eastAsia="ar-SA"/>
        </w:rPr>
      </w:pPr>
      <w:r w:rsidRPr="003756BF">
        <w:rPr>
          <w:lang w:eastAsia="ar-SA"/>
        </w:rPr>
        <w:t xml:space="preserve">Zeleň rastlá: </w:t>
      </w:r>
      <w:r w:rsidR="00140CCC">
        <w:rPr>
          <w:lang w:eastAsia="ar-SA"/>
        </w:rPr>
        <w:tab/>
      </w:r>
      <w:r w:rsidR="00140CCC">
        <w:rPr>
          <w:lang w:eastAsia="ar-SA"/>
        </w:rPr>
        <w:tab/>
      </w:r>
      <w:r w:rsidR="00140CCC">
        <w:rPr>
          <w:lang w:eastAsia="ar-SA"/>
        </w:rPr>
        <w:tab/>
      </w:r>
      <w:r w:rsidR="00140CCC">
        <w:rPr>
          <w:lang w:eastAsia="ar-SA"/>
        </w:rPr>
        <w:tab/>
      </w:r>
      <w:r w:rsidRPr="003756BF">
        <w:rPr>
          <w:lang w:eastAsia="ar-SA"/>
        </w:rPr>
        <w:t>893,7 m</w:t>
      </w:r>
      <w:r w:rsidRPr="00935184">
        <w:rPr>
          <w:vertAlign w:val="superscript"/>
          <w:lang w:eastAsia="ar-SA"/>
        </w:rPr>
        <w:t>2</w:t>
      </w:r>
    </w:p>
    <w:p w14:paraId="261D0EFF" w14:textId="4CB2DDC6" w:rsidR="00C57725" w:rsidRPr="003756BF" w:rsidRDefault="00C57725" w:rsidP="00C57725">
      <w:pPr>
        <w:pStyle w:val="A-Text11"/>
        <w:rPr>
          <w:lang w:eastAsia="ar-SA"/>
        </w:rPr>
      </w:pPr>
      <w:r w:rsidRPr="003756BF">
        <w:rPr>
          <w:lang w:eastAsia="ar-SA"/>
        </w:rPr>
        <w:t xml:space="preserve">Spolu: </w:t>
      </w:r>
      <w:r w:rsidR="00140CCC">
        <w:rPr>
          <w:lang w:eastAsia="ar-SA"/>
        </w:rPr>
        <w:tab/>
      </w:r>
      <w:r w:rsidR="00140CCC">
        <w:rPr>
          <w:lang w:eastAsia="ar-SA"/>
        </w:rPr>
        <w:tab/>
      </w:r>
      <w:r w:rsidR="00140CCC">
        <w:rPr>
          <w:lang w:eastAsia="ar-SA"/>
        </w:rPr>
        <w:tab/>
      </w:r>
      <w:r w:rsidR="00140CCC">
        <w:rPr>
          <w:lang w:eastAsia="ar-SA"/>
        </w:rPr>
        <w:tab/>
      </w:r>
      <w:r w:rsidR="00140CCC">
        <w:rPr>
          <w:lang w:eastAsia="ar-SA"/>
        </w:rPr>
        <w:tab/>
      </w:r>
      <w:r w:rsidRPr="003756BF">
        <w:rPr>
          <w:lang w:eastAsia="ar-SA"/>
        </w:rPr>
        <w:t>5478,6 m</w:t>
      </w:r>
      <w:r w:rsidRPr="00935184">
        <w:rPr>
          <w:vertAlign w:val="superscript"/>
          <w:lang w:eastAsia="ar-SA"/>
        </w:rPr>
        <w:t>2</w:t>
      </w:r>
    </w:p>
    <w:p w14:paraId="3C062AFB" w14:textId="77777777" w:rsidR="00C57725" w:rsidRPr="003756BF" w:rsidRDefault="00C57725" w:rsidP="00C57725">
      <w:pPr>
        <w:pStyle w:val="A-Text11"/>
        <w:rPr>
          <w:lang w:eastAsia="ar-SA"/>
        </w:rPr>
      </w:pPr>
      <w:r w:rsidRPr="003756BF">
        <w:rPr>
          <w:lang w:eastAsia="ar-SA"/>
        </w:rPr>
        <w:t>Dotknuté územie bytové domu Terchovská:</w:t>
      </w:r>
    </w:p>
    <w:p w14:paraId="53ABA3AB" w14:textId="7249695B" w:rsidR="00C57725" w:rsidRPr="003756BF" w:rsidRDefault="00C57725" w:rsidP="00140CCC">
      <w:pPr>
        <w:pStyle w:val="A-Text11"/>
        <w:spacing w:before="0" w:line="240" w:lineRule="auto"/>
        <w:ind w:firstLine="425"/>
        <w:rPr>
          <w:lang w:eastAsia="ar-SA"/>
        </w:rPr>
      </w:pPr>
      <w:r w:rsidRPr="003756BF">
        <w:rPr>
          <w:lang w:eastAsia="ar-SA"/>
        </w:rPr>
        <w:t xml:space="preserve">Počet parkovacích miest: </w:t>
      </w:r>
      <w:r w:rsidR="00140CCC">
        <w:rPr>
          <w:lang w:eastAsia="ar-SA"/>
        </w:rPr>
        <w:tab/>
      </w:r>
      <w:r w:rsidR="00140CCC">
        <w:rPr>
          <w:lang w:eastAsia="ar-SA"/>
        </w:rPr>
        <w:tab/>
      </w:r>
      <w:r w:rsidRPr="003756BF">
        <w:rPr>
          <w:lang w:eastAsia="ar-SA"/>
        </w:rPr>
        <w:t>38 (39 povrch nových, 1 povrch rušené)</w:t>
      </w:r>
    </w:p>
    <w:p w14:paraId="34585DBF" w14:textId="3B264E78" w:rsidR="00C57725" w:rsidRPr="003756BF" w:rsidRDefault="00C57725" w:rsidP="00140CCC">
      <w:pPr>
        <w:pStyle w:val="A-Text11"/>
        <w:spacing w:before="0" w:line="240" w:lineRule="auto"/>
        <w:ind w:firstLine="425"/>
        <w:rPr>
          <w:lang w:eastAsia="ar-SA"/>
        </w:rPr>
      </w:pPr>
      <w:r w:rsidRPr="003756BF">
        <w:rPr>
          <w:lang w:eastAsia="ar-SA"/>
        </w:rPr>
        <w:t xml:space="preserve">Komunikácia: </w:t>
      </w:r>
      <w:r w:rsidR="00140CCC">
        <w:rPr>
          <w:lang w:eastAsia="ar-SA"/>
        </w:rPr>
        <w:tab/>
      </w:r>
      <w:r w:rsidR="00140CCC">
        <w:rPr>
          <w:lang w:eastAsia="ar-SA"/>
        </w:rPr>
        <w:tab/>
      </w:r>
      <w:r w:rsidR="00140CCC">
        <w:rPr>
          <w:lang w:eastAsia="ar-SA"/>
        </w:rPr>
        <w:tab/>
      </w:r>
      <w:r w:rsidR="00140CCC">
        <w:rPr>
          <w:lang w:eastAsia="ar-SA"/>
        </w:rPr>
        <w:tab/>
      </w:r>
      <w:r w:rsidRPr="003756BF">
        <w:rPr>
          <w:lang w:eastAsia="ar-SA"/>
        </w:rPr>
        <w:t>1962,23 m</w:t>
      </w:r>
      <w:r w:rsidRPr="00935184">
        <w:rPr>
          <w:vertAlign w:val="superscript"/>
          <w:lang w:eastAsia="ar-SA"/>
        </w:rPr>
        <w:t>2</w:t>
      </w:r>
    </w:p>
    <w:p w14:paraId="3D113EEE" w14:textId="49FB3729" w:rsidR="00C57725" w:rsidRPr="003756BF" w:rsidRDefault="00C57725" w:rsidP="00140CCC">
      <w:pPr>
        <w:pStyle w:val="A-Text11"/>
        <w:spacing w:before="0" w:line="240" w:lineRule="auto"/>
        <w:ind w:firstLine="425"/>
        <w:rPr>
          <w:lang w:eastAsia="ar-SA"/>
        </w:rPr>
      </w:pPr>
      <w:r w:rsidRPr="003756BF">
        <w:rPr>
          <w:lang w:eastAsia="ar-SA"/>
        </w:rPr>
        <w:t xml:space="preserve">Parkovacie miesto: </w:t>
      </w:r>
      <w:r w:rsidR="00140CCC">
        <w:rPr>
          <w:lang w:eastAsia="ar-SA"/>
        </w:rPr>
        <w:tab/>
      </w:r>
      <w:r w:rsidR="00140CCC">
        <w:rPr>
          <w:lang w:eastAsia="ar-SA"/>
        </w:rPr>
        <w:tab/>
      </w:r>
      <w:r w:rsidR="00140CCC">
        <w:rPr>
          <w:lang w:eastAsia="ar-SA"/>
        </w:rPr>
        <w:tab/>
      </w:r>
      <w:r w:rsidRPr="003756BF">
        <w:rPr>
          <w:lang w:eastAsia="ar-SA"/>
        </w:rPr>
        <w:t>509,83 m</w:t>
      </w:r>
      <w:r w:rsidRPr="00935184">
        <w:rPr>
          <w:vertAlign w:val="superscript"/>
          <w:lang w:eastAsia="ar-SA"/>
        </w:rPr>
        <w:t>2</w:t>
      </w:r>
    </w:p>
    <w:p w14:paraId="59A8026E" w14:textId="5990F37C" w:rsidR="00C57725" w:rsidRPr="003756BF" w:rsidRDefault="00C57725" w:rsidP="00140CCC">
      <w:pPr>
        <w:pStyle w:val="A-Text11"/>
        <w:spacing w:before="0" w:line="240" w:lineRule="auto"/>
        <w:ind w:firstLine="425"/>
        <w:rPr>
          <w:lang w:eastAsia="ar-SA"/>
        </w:rPr>
      </w:pPr>
      <w:r w:rsidRPr="003756BF">
        <w:rPr>
          <w:lang w:eastAsia="ar-SA"/>
        </w:rPr>
        <w:t xml:space="preserve">Pešie a spevnené plochy: </w:t>
      </w:r>
      <w:r w:rsidR="00140CCC">
        <w:rPr>
          <w:lang w:eastAsia="ar-SA"/>
        </w:rPr>
        <w:tab/>
      </w:r>
      <w:r w:rsidR="00140CCC">
        <w:rPr>
          <w:lang w:eastAsia="ar-SA"/>
        </w:rPr>
        <w:tab/>
      </w:r>
      <w:r w:rsidRPr="003756BF">
        <w:rPr>
          <w:lang w:eastAsia="ar-SA"/>
        </w:rPr>
        <w:t>1039,73 m</w:t>
      </w:r>
      <w:r w:rsidRPr="00935184">
        <w:rPr>
          <w:vertAlign w:val="superscript"/>
          <w:lang w:eastAsia="ar-SA"/>
        </w:rPr>
        <w:t>2</w:t>
      </w:r>
    </w:p>
    <w:p w14:paraId="732A9541" w14:textId="086B2C6E" w:rsidR="00C57725" w:rsidRPr="003756BF" w:rsidRDefault="00C57725" w:rsidP="00140CCC">
      <w:pPr>
        <w:pStyle w:val="A-Text11"/>
        <w:spacing w:before="0" w:line="240" w:lineRule="auto"/>
        <w:ind w:firstLine="425"/>
        <w:rPr>
          <w:lang w:eastAsia="ar-SA"/>
        </w:rPr>
      </w:pPr>
      <w:r w:rsidRPr="003756BF">
        <w:rPr>
          <w:lang w:eastAsia="ar-SA"/>
        </w:rPr>
        <w:t xml:space="preserve">Zeleň rastlá: </w:t>
      </w:r>
      <w:r w:rsidR="00140CCC">
        <w:rPr>
          <w:lang w:eastAsia="ar-SA"/>
        </w:rPr>
        <w:tab/>
      </w:r>
      <w:r w:rsidR="00140CCC">
        <w:rPr>
          <w:lang w:eastAsia="ar-SA"/>
        </w:rPr>
        <w:tab/>
      </w:r>
      <w:r w:rsidR="00140CCC">
        <w:rPr>
          <w:lang w:eastAsia="ar-SA"/>
        </w:rPr>
        <w:tab/>
      </w:r>
      <w:r w:rsidR="00140CCC">
        <w:rPr>
          <w:lang w:eastAsia="ar-SA"/>
        </w:rPr>
        <w:tab/>
      </w:r>
      <w:r w:rsidRPr="003756BF">
        <w:rPr>
          <w:lang w:eastAsia="ar-SA"/>
        </w:rPr>
        <w:t>1222,85 m</w:t>
      </w:r>
      <w:r w:rsidRPr="00935184">
        <w:rPr>
          <w:vertAlign w:val="superscript"/>
          <w:lang w:eastAsia="ar-SA"/>
        </w:rPr>
        <w:t>2</w:t>
      </w:r>
    </w:p>
    <w:p w14:paraId="65821FC6" w14:textId="77777777" w:rsidR="00FB707E" w:rsidRPr="0021398A" w:rsidRDefault="00FB707E" w:rsidP="00FB707E">
      <w:pPr>
        <w:pStyle w:val="A-Text11"/>
        <w:ind w:firstLine="0"/>
        <w:rPr>
          <w:b/>
          <w:bCs/>
        </w:rPr>
      </w:pPr>
      <w:r w:rsidRPr="0021398A">
        <w:rPr>
          <w:b/>
          <w:bCs/>
        </w:rPr>
        <w:t>Urbanistické riešenie</w:t>
      </w:r>
    </w:p>
    <w:p w14:paraId="4C09DB0D" w14:textId="3FA87835" w:rsidR="00FB707E" w:rsidRPr="00140CCC" w:rsidRDefault="00FB707E" w:rsidP="00FB707E">
      <w:pPr>
        <w:pStyle w:val="A-Text11"/>
        <w:rPr>
          <w:i/>
          <w:iCs/>
          <w:u w:val="single"/>
        </w:rPr>
      </w:pPr>
      <w:r w:rsidRPr="00140CCC">
        <w:rPr>
          <w:i/>
          <w:iCs/>
          <w:u w:val="single"/>
        </w:rPr>
        <w:t>Začlenenie stavby do územia</w:t>
      </w:r>
    </w:p>
    <w:p w14:paraId="4E385304" w14:textId="5AB81EFA" w:rsidR="007404E7" w:rsidRPr="00140CCC" w:rsidRDefault="007404E7" w:rsidP="007404E7">
      <w:pPr>
        <w:pStyle w:val="A-Text11"/>
      </w:pPr>
      <w:r w:rsidRPr="00140CCC">
        <w:t>Koncepcia návrhu v čo najväčšej miere vychádza z kontextu okolia a daných špecifikácií. Rozloženie a veľkosť navrhovaných budov vytvára prirodzený prechod medzi nízkopodlažnými domami, priemyselnými budovami a panelovým sídliskom. Celkovo je navrhnutých 8 hlavných objektov (2 spojené pozdĺžne objekty a 6 bodových objektov), ktoré sú v podzemnej úrovni prepojené hromadnou garážou a technickým zázemím. (Vzhľadom na technologické prepojenie všetkých objemov prostredníctvom podzemnej stavebnej a technologickej infraštruktúry pôjde stavebne a legislatívne o jeden bytový dom, rozdelený na čiastkové objekty).</w:t>
      </w:r>
    </w:p>
    <w:p w14:paraId="01D48DE0" w14:textId="77777777" w:rsidR="00FB707E" w:rsidRPr="00140CCC" w:rsidRDefault="00FB707E" w:rsidP="00FB707E">
      <w:pPr>
        <w:pStyle w:val="A-Text11"/>
      </w:pPr>
      <w:r w:rsidRPr="00140CCC">
        <w:t xml:space="preserve">Horizontálna hmota pavlačového objektu reaguje na problém blízkosti hlučnej cesty, ktorá zabraňuje šíreniu hluku ďalej do okolia. Drobná mierka bodových objektov a ich usporiadanie vytvára intímnu atmosféru medzi jednotlivými hmotami. Domy tiež vytvárajú rôznorodé </w:t>
      </w:r>
      <w:r w:rsidRPr="00140CCC">
        <w:lastRenderedPageBreak/>
        <w:t xml:space="preserve">vonkajšie poloverejné priestory, ktoré podporujú komunitný život obyvateľov. Tvar a veľkosť priestorov sú definované ich obsahom. Tento princíp sa podobne odráža aj v spoločných priestoroch pavlačí. </w:t>
      </w:r>
    </w:p>
    <w:p w14:paraId="525380EC" w14:textId="77777777" w:rsidR="00FB707E" w:rsidRPr="00140CCC" w:rsidRDefault="00FB707E" w:rsidP="00FB707E">
      <w:pPr>
        <w:pStyle w:val="A-Text11"/>
      </w:pPr>
      <w:r w:rsidRPr="0099799D">
        <w:t>Funkcie</w:t>
      </w:r>
      <w:r w:rsidRPr="00140CCC">
        <w:t xml:space="preserve"> sú navrhnuté tak, aby každý subpriestor mal svoje špecifické využitie. Je dôležité, aby funkčný obsah pokrýval všetky vekové skupiny. Preto navrhujeme umiestniť do týchto priestorov komunitné stoly, šach, detské ihrisko, pieskovisko, workout atď. Významným aspektom návrhu je aj využitie strešných terás na komunitné záhrady, včelíny, skleníky alebo miesta na posedenie s výhľadom, ako aj súkromné terasy pre jednotlivé byty. </w:t>
      </w:r>
    </w:p>
    <w:p w14:paraId="6885C091" w14:textId="77777777" w:rsidR="00FB707E" w:rsidRPr="00140CCC" w:rsidRDefault="00FB707E" w:rsidP="00FB707E">
      <w:pPr>
        <w:pStyle w:val="A-Text11"/>
      </w:pPr>
      <w:r w:rsidRPr="00140CCC">
        <w:t>V koncových častiach prízemia lineárneho domu sa nachádzajú priestory občianskej vybavenosti, ako je kaviareň, bistro atď. s možnou expanziou záhradiek do exteriéru. Cieľom je oživiť priľahlé verejné priestranstvá, ktoré tvoria pomyselnú bránu do obytného domu. Súčasne nadväzujú na autobusovú zastávku, cyklistický chodník a Galvaniho ulici. Kontajnery na zmesový a triedený odpad sú umiestnené  na Terchovskej ulici v troch kontajnerových stanovištiach.</w:t>
      </w:r>
    </w:p>
    <w:p w14:paraId="54943E3C" w14:textId="77777777" w:rsidR="00FB707E" w:rsidRPr="00140CCC" w:rsidRDefault="00FB707E" w:rsidP="00FB707E">
      <w:pPr>
        <w:pStyle w:val="A-Text11"/>
        <w:rPr>
          <w:i/>
          <w:iCs/>
          <w:u w:val="single"/>
        </w:rPr>
      </w:pPr>
      <w:r w:rsidRPr="00140CCC">
        <w:rPr>
          <w:i/>
          <w:iCs/>
          <w:u w:val="single"/>
        </w:rPr>
        <w:t>Návrh ciest, cyklotrás, parkovísk a chodníkov</w:t>
      </w:r>
    </w:p>
    <w:p w14:paraId="182FD297" w14:textId="77777777" w:rsidR="00E654B5" w:rsidRPr="00140CCC" w:rsidRDefault="00E654B5" w:rsidP="00E654B5">
      <w:pPr>
        <w:pStyle w:val="A-Text11"/>
      </w:pPr>
      <w:r w:rsidRPr="00140CCC">
        <w:t>Organizácia dopravy vychádza z existujúcich možností napojenia obytného domu. Systém navrhnutých ciest umožňuje pripojenie garáží, odvoz odpadu a hasenie požiarov.</w:t>
      </w:r>
    </w:p>
    <w:p w14:paraId="7DAEBBB3" w14:textId="5DC684DD" w:rsidR="00E654B5" w:rsidRPr="00140CCC" w:rsidRDefault="00E654B5" w:rsidP="00E654B5">
      <w:pPr>
        <w:pStyle w:val="A-Text11"/>
      </w:pPr>
      <w:r w:rsidRPr="00140CCC">
        <w:t>Po obvode bytového domu sa navrhuje úprava uličného priestoru v rámci projektu bytového domu i dotknutého územie. Pozdĺž ulice Galvani</w:t>
      </w:r>
      <w:r w:rsidR="0042769C">
        <w:t>ho</w:t>
      </w:r>
      <w:r w:rsidRPr="00140CCC">
        <w:t xml:space="preserve"> bude vybudovaná 2,5 m široká cyklotrasa, ktorá sa napojí na budúcu sieť trás. Autobusová zastávka nadväzuje na vstupný priestor do územia. Terchovská ulica sa stane obytnou ulicou s upokojeným dopravným režimom s výhybňou pre autá a s prednosťou chodcov. Banšelova ulica bude upravená na štandardný mestský dopravný profil s chodníkmi a parkovacími pruhmi po stranách. Priľahlé parkovisko slúžiace priľahlému sídlisku za Banšelovou ulicou bude reorganizované. </w:t>
      </w:r>
    </w:p>
    <w:p w14:paraId="3363C1DB" w14:textId="0318E498" w:rsidR="00E654B5" w:rsidRPr="00140CCC" w:rsidRDefault="00E654B5" w:rsidP="00E654B5">
      <w:pPr>
        <w:pStyle w:val="A-Text11"/>
      </w:pPr>
      <w:r w:rsidRPr="00140CCC">
        <w:t>Podzemné garáže bytového domu budú pripojené zjazdom z Banšelovej ulice, dostatočne vzdialeným od blízkej svetelnej križovatky Galvaniho - Banšelova. Vjazd do podzemnej garáže sa nenachádza na B</w:t>
      </w:r>
      <w:r w:rsidR="00AD226A">
        <w:t>a</w:t>
      </w:r>
      <w:r w:rsidRPr="00140CCC">
        <w:t>nšelovej ulici, čím sa znižuje zaťaženie okolitých ulíc. Doprava v kľude pre rezidentov je navrhnutá v podzemných garážach, pre návštevníkov na povrchu. Odstavné stojiska pro bicykle na povrchu sa navrhujú pred vchodmi do jednotlivých bytových domov, pod pozdĺžnymi objektmi A1, A2 sú stojiská krytá. Ďalší infraštruktúra pre odstavení bicyklov sa navrhuje v 1pp bytového domu.</w:t>
      </w:r>
    </w:p>
    <w:p w14:paraId="6D8E6184" w14:textId="77777777" w:rsidR="00E654B5" w:rsidRPr="00140CCC" w:rsidRDefault="00E654B5" w:rsidP="00E654B5">
      <w:pPr>
        <w:pStyle w:val="A-Text11"/>
      </w:pPr>
      <w:r w:rsidRPr="00140CCC">
        <w:t>Najväčší dôraz sa kladie na priechodnosť pre chodcov. Celým obytným domom preto prechádza sieť poloverejných ciest.</w:t>
      </w:r>
    </w:p>
    <w:p w14:paraId="6F68AC6F" w14:textId="0A40096E" w:rsidR="00FB707E" w:rsidRPr="00140CCC" w:rsidRDefault="00FB707E" w:rsidP="00E654B5">
      <w:pPr>
        <w:spacing w:before="120"/>
        <w:jc w:val="both"/>
        <w:rPr>
          <w:rFonts w:ascii="Arial" w:hAnsi="Arial" w:cs="Arial"/>
          <w:b/>
          <w:bCs/>
          <w:sz w:val="22"/>
          <w:szCs w:val="22"/>
          <w:lang w:eastAsia="en-US"/>
        </w:rPr>
      </w:pPr>
      <w:r w:rsidRPr="00140CCC">
        <w:rPr>
          <w:rFonts w:ascii="Arial" w:hAnsi="Arial" w:cs="Arial"/>
          <w:b/>
          <w:bCs/>
          <w:sz w:val="22"/>
          <w:szCs w:val="22"/>
          <w:lang w:eastAsia="en-US"/>
        </w:rPr>
        <w:t>Architektonické riešenie</w:t>
      </w:r>
    </w:p>
    <w:p w14:paraId="1DAC0DD2" w14:textId="77777777" w:rsidR="00FB707E" w:rsidRPr="00140CCC" w:rsidRDefault="00FB707E" w:rsidP="00FB707E">
      <w:pPr>
        <w:pStyle w:val="A-Text11"/>
        <w:rPr>
          <w:i/>
          <w:iCs/>
          <w:u w:val="single"/>
        </w:rPr>
      </w:pPr>
      <w:bookmarkStart w:id="62" w:name="_Toc85415755"/>
      <w:r w:rsidRPr="00140CCC">
        <w:rPr>
          <w:i/>
          <w:iCs/>
          <w:u w:val="single"/>
        </w:rPr>
        <w:t>Hmotovo-priestorové, funkčné, dispozično-prevádzkové, materiálové  a architektonicko-kompozičné riešenie</w:t>
      </w:r>
      <w:bookmarkEnd w:id="62"/>
    </w:p>
    <w:p w14:paraId="4CA5D701" w14:textId="77777777" w:rsidR="00E654B5" w:rsidRPr="00140CCC" w:rsidRDefault="00E654B5" w:rsidP="00E654B5">
      <w:pPr>
        <w:pStyle w:val="A-Text11"/>
      </w:pPr>
      <w:bookmarkStart w:id="63" w:name="_Toc85415756"/>
      <w:r w:rsidRPr="00140CCC">
        <w:t>Hlavným výrazom bytového domu sú lapidárne kvádre obytnej budovy, tvarovo obohatené o vystupujúce konštrukcie pavlačí a balkónov. Mierka balkónov robí pozdĺžnu budovu mierne kontrastnou k bodovým budovám.</w:t>
      </w:r>
    </w:p>
    <w:p w14:paraId="11361284" w14:textId="77777777" w:rsidR="00E654B5" w:rsidRPr="00140CCC" w:rsidRDefault="00E654B5" w:rsidP="00E654B5">
      <w:pPr>
        <w:pStyle w:val="A-Text11"/>
      </w:pPr>
      <w:r w:rsidRPr="00140CCC">
        <w:t>Materialita je umiernená. Sivý vonkajší plášť, balkóny a pavlače z pohľadového betónu, zábradlie z lakovaného pozinkovaného oceľového profilu s bežnou výplňou z pozinkovaného pletiva plotovým výpletom. Výplet sa tiahne po celej severnej fasáde pavlačového domu, pivnice na pavlačiach sú z profilovaného plechu.</w:t>
      </w:r>
    </w:p>
    <w:p w14:paraId="6270FA90" w14:textId="77777777" w:rsidR="00E654B5" w:rsidRPr="00140CCC" w:rsidRDefault="00E654B5" w:rsidP="00E654B5">
      <w:pPr>
        <w:pStyle w:val="A-Text11"/>
      </w:pPr>
      <w:r w:rsidRPr="00140CCC">
        <w:lastRenderedPageBreak/>
        <w:t xml:space="preserve">Ku striedmym stavebným konštrukciám dodáva výrazné krajinárske riešenie potrebný kontrast a oživenie. Zeleň v areáli dopĺňajú sadové úpravy budov - intenzívne a extenzívne strechy, komunitné záhrady a zeleninové boxy a vertikálne prvky zelene na pavlačiach. </w:t>
      </w:r>
    </w:p>
    <w:p w14:paraId="1F047F74" w14:textId="77777777" w:rsidR="00E654B5" w:rsidRPr="00140CCC" w:rsidRDefault="00E654B5" w:rsidP="00E654B5">
      <w:pPr>
        <w:pStyle w:val="A-Text11"/>
      </w:pPr>
      <w:r w:rsidRPr="00140CCC">
        <w:t>Navrhuje sa celkom 85 bytov, ktoré sú rozdelené v pomere 31:34:20 (1+kk:2+kk:3+kk). Dispozičná variabilita sa prejavuje aj v rámci jedného bytu, kde je možné meniť usporiadanie obytných miestností tak, aby sa vždy dosiahlo čo najlepšie pohodlie. Tento princíp sa uplatňuje aj v bodových domoch, na ktoré nadväzuje architektonická kompozícia fasád.</w:t>
      </w:r>
    </w:p>
    <w:p w14:paraId="2A17FFC3" w14:textId="0A9A3FD0" w:rsidR="00FB707E" w:rsidRPr="00140CCC" w:rsidRDefault="00FB707E" w:rsidP="00E654B5">
      <w:pPr>
        <w:pStyle w:val="A-Text11"/>
        <w:rPr>
          <w:i/>
          <w:iCs/>
          <w:u w:val="single"/>
        </w:rPr>
      </w:pPr>
      <w:r w:rsidRPr="00140CCC">
        <w:rPr>
          <w:i/>
          <w:iCs/>
          <w:u w:val="single"/>
        </w:rPr>
        <w:t>Prevádzkové riešenia:</w:t>
      </w:r>
      <w:bookmarkEnd w:id="63"/>
      <w:r w:rsidRPr="00140CCC">
        <w:rPr>
          <w:i/>
          <w:iCs/>
          <w:u w:val="single"/>
        </w:rPr>
        <w:t xml:space="preserve"> </w:t>
      </w:r>
    </w:p>
    <w:p w14:paraId="3C818A82" w14:textId="77777777" w:rsidR="00E654B5" w:rsidRPr="00140CCC" w:rsidRDefault="00E654B5" w:rsidP="00E654B5">
      <w:pPr>
        <w:pStyle w:val="A-Text11"/>
      </w:pPr>
      <w:r w:rsidRPr="00140CCC">
        <w:t>Spoločný technický suterén s garážami v 1pp:</w:t>
      </w:r>
    </w:p>
    <w:p w14:paraId="50AB74F8" w14:textId="66EEABAA" w:rsidR="00E654B5" w:rsidRPr="00140CCC" w:rsidRDefault="00E654B5" w:rsidP="00E654B5">
      <w:pPr>
        <w:pStyle w:val="A-Text11"/>
      </w:pPr>
      <w:r w:rsidRPr="00140CCC">
        <w:t>Garážové st</w:t>
      </w:r>
      <w:r w:rsidR="00CE4396">
        <w:t>ojiská</w:t>
      </w:r>
      <w:r w:rsidRPr="00140CCC">
        <w:t>, technické miestnosti, nebytové priestory - sklady, nebytové priestory - parkovanie bicyklov.</w:t>
      </w:r>
    </w:p>
    <w:p w14:paraId="5E580148" w14:textId="77777777" w:rsidR="00E654B5" w:rsidRPr="00140CCC" w:rsidRDefault="00E654B5" w:rsidP="00E654B5">
      <w:pPr>
        <w:pStyle w:val="A-Text11"/>
      </w:pPr>
      <w:r w:rsidRPr="00140CCC">
        <w:t>Pozdĺžny objekt pavlačový objekt A1,A2:</w:t>
      </w:r>
    </w:p>
    <w:p w14:paraId="71361141" w14:textId="26E48058" w:rsidR="00E654B5" w:rsidRPr="00140CCC" w:rsidRDefault="00E654B5" w:rsidP="00E654B5">
      <w:pPr>
        <w:pStyle w:val="A-Text11"/>
      </w:pPr>
      <w:r w:rsidRPr="00140CCC">
        <w:t>1np - byty, priestory pre údržbu, koči</w:t>
      </w:r>
      <w:r w:rsidR="0030750F" w:rsidRPr="00140CCC">
        <w:t>ká</w:t>
      </w:r>
      <w:r w:rsidRPr="00140CCC">
        <w:t>reň, komerčný nebytový priestor (2x), spoločenský klubový nebytový priestor</w:t>
      </w:r>
    </w:p>
    <w:p w14:paraId="4240CC3F" w14:textId="77777777" w:rsidR="00E654B5" w:rsidRPr="00140CCC" w:rsidRDefault="00E654B5" w:rsidP="00E654B5">
      <w:pPr>
        <w:pStyle w:val="A-Text11"/>
      </w:pPr>
      <w:r w:rsidRPr="00140CCC">
        <w:t>2np až 4np - byty</w:t>
      </w:r>
    </w:p>
    <w:p w14:paraId="4AE85A70" w14:textId="77777777" w:rsidR="00E654B5" w:rsidRPr="00140CCC" w:rsidRDefault="00E654B5" w:rsidP="00E654B5">
      <w:pPr>
        <w:pStyle w:val="A-Text11"/>
      </w:pPr>
      <w:r w:rsidRPr="00140CCC">
        <w:t>Strechy - komunitné strešné záhrady, skleníky, terasy bytov</w:t>
      </w:r>
    </w:p>
    <w:p w14:paraId="5BCEB0D8" w14:textId="77777777" w:rsidR="00E654B5" w:rsidRPr="00140CCC" w:rsidRDefault="00E654B5" w:rsidP="00E654B5">
      <w:pPr>
        <w:pStyle w:val="A-Text11"/>
      </w:pPr>
      <w:r w:rsidRPr="00140CCC">
        <w:t>Systém domových komunikácií je založený na dvoch schodiskách umiestnených približne v krajných štvrtinách budovy, ktoré tvoria čiastočne chránenú únikovú cestu. Schodiská sú prepojené s priebežnými pavlačami, pričom v ich blízkosti sú umiestnené výťahy, ktoré vedú spolu so schodiskom na úroveň strechy. Zázemie bytov je orientované smerom k pavlači a obývacie izby smerom do dvora, s výnimkou jedného typu 2-izbového bytu, ktorý má spálňu orientovanú smerom k pavlači. 13 bytov v bezbariérovom štandarde sa nachádza pôdorysne nad sebou. Ich počet spĺňa minimálnu požiadavku 15 % podľa vyhlášky. Konštrukčná výška v 1np je 3,2 m (byty) a 3,7 m (nebytové priestory), v ostatných podlažiach 3 m. Svetlá výška bytov v 1np je 2,85 m, v ostatných podlažiach 2,65 m.</w:t>
      </w:r>
    </w:p>
    <w:p w14:paraId="23632BFB" w14:textId="77777777" w:rsidR="00E654B5" w:rsidRPr="00140CCC" w:rsidRDefault="00E654B5" w:rsidP="00E654B5">
      <w:pPr>
        <w:pStyle w:val="A-Text11"/>
      </w:pPr>
      <w:r w:rsidRPr="00140CCC">
        <w:t>Bodové objekty pavlačové objekty B1 až B6:</w:t>
      </w:r>
    </w:p>
    <w:p w14:paraId="2E9B0A09" w14:textId="77777777" w:rsidR="00E654B5" w:rsidRPr="00140CCC" w:rsidRDefault="00E654B5" w:rsidP="00E654B5">
      <w:pPr>
        <w:pStyle w:val="A-Text11"/>
      </w:pPr>
      <w:r w:rsidRPr="00140CCC">
        <w:t>1np až 3np - byty</w:t>
      </w:r>
    </w:p>
    <w:p w14:paraId="0CDCCA8C" w14:textId="77777777" w:rsidR="00E654B5" w:rsidRPr="00140CCC" w:rsidRDefault="00E654B5" w:rsidP="00E654B5">
      <w:pPr>
        <w:pStyle w:val="A-Text11"/>
      </w:pPr>
      <w:r w:rsidRPr="00140CCC">
        <w:t>Strechy - terasové byty, extenzívne zelené strechy.</w:t>
      </w:r>
    </w:p>
    <w:p w14:paraId="47A93946" w14:textId="42D74D36" w:rsidR="00E654B5" w:rsidRPr="00140CCC" w:rsidRDefault="00E654B5" w:rsidP="00E654B5">
      <w:pPr>
        <w:pStyle w:val="A-Text11"/>
      </w:pPr>
      <w:r w:rsidRPr="00140CCC">
        <w:t>Komunikačný systém je založený na vonkajších pavlačiach - čiastočne chránených únikových cestách. Zázemie bytov sa orientuje smerom k pavlači. Bodové domy nemajú byty v bezbariérovom štandarde. V troch bodových objektoch sa využíva mezonetov, čím sa zmenšuje plocha vonkajších pavlačí. Konštrukčná výška je 3 m na všetkých podlažiach. Svetlá výška bytov je 2,65 m.</w:t>
      </w:r>
    </w:p>
    <w:p w14:paraId="4207188F" w14:textId="05C4F674" w:rsidR="00E654B5" w:rsidRPr="00140CCC" w:rsidRDefault="00E654B5" w:rsidP="00E654B5">
      <w:pPr>
        <w:pStyle w:val="A-Text11"/>
        <w:rPr>
          <w:i/>
          <w:iCs/>
          <w:u w:val="single"/>
        </w:rPr>
      </w:pPr>
      <w:r w:rsidRPr="00140CCC">
        <w:rPr>
          <w:i/>
          <w:iCs/>
          <w:u w:val="single"/>
        </w:rPr>
        <w:t>Údržba a vybavenie objektov:</w:t>
      </w:r>
    </w:p>
    <w:p w14:paraId="12F06CFD" w14:textId="2545EF88" w:rsidR="00E654B5" w:rsidRPr="00140CCC" w:rsidRDefault="00E654B5" w:rsidP="00E654B5">
      <w:pPr>
        <w:pStyle w:val="A-Text11"/>
      </w:pPr>
      <w:r w:rsidRPr="00140CCC">
        <w:t>Údržba pozemkov je zabezpečená z technického zázemia v pavlačovom dome, zber odpadu je navrhnutý do boxov umiestnených v uličnej časti. Boxy sú vybavené bránou na prístupovú kartu.</w:t>
      </w:r>
    </w:p>
    <w:p w14:paraId="60EB21BA" w14:textId="77777777" w:rsidR="00FB707E" w:rsidRPr="00140CCC" w:rsidRDefault="00FB707E" w:rsidP="00FB707E">
      <w:pPr>
        <w:pStyle w:val="A-Text11"/>
        <w:ind w:firstLine="0"/>
        <w:rPr>
          <w:b/>
          <w:bCs/>
        </w:rPr>
      </w:pPr>
      <w:r w:rsidRPr="00140CCC">
        <w:rPr>
          <w:b/>
          <w:bCs/>
        </w:rPr>
        <w:t>Základná technická koncepcia a pripojenie na infraštruktúru</w:t>
      </w:r>
    </w:p>
    <w:p w14:paraId="3779B4E9" w14:textId="77777777" w:rsidR="00FB707E" w:rsidRPr="00140CCC" w:rsidRDefault="00FB707E" w:rsidP="00FB707E">
      <w:pPr>
        <w:pStyle w:val="A-Text11"/>
        <w:rPr>
          <w:i/>
          <w:iCs/>
          <w:u w:val="single"/>
        </w:rPr>
      </w:pPr>
      <w:r w:rsidRPr="00140CCC">
        <w:rPr>
          <w:i/>
          <w:iCs/>
          <w:u w:val="single"/>
        </w:rPr>
        <w:t>Nároky kladené na technické riešenie</w:t>
      </w:r>
    </w:p>
    <w:p w14:paraId="531E2E67" w14:textId="77777777" w:rsidR="00FB707E" w:rsidRPr="00140CCC" w:rsidRDefault="00FB707E" w:rsidP="00FB707E">
      <w:pPr>
        <w:pStyle w:val="A-Text11"/>
      </w:pPr>
      <w:r w:rsidRPr="00140CCC">
        <w:t>Technické požiadavky musia byť v súlade so záväznými právnymi predpismi.</w:t>
      </w:r>
    </w:p>
    <w:p w14:paraId="04A48F99" w14:textId="77777777" w:rsidR="00FB707E" w:rsidRPr="00140CCC" w:rsidRDefault="00FB707E" w:rsidP="00FB707E">
      <w:pPr>
        <w:pStyle w:val="A-Text11"/>
        <w:rPr>
          <w:i/>
          <w:iCs/>
          <w:u w:val="single"/>
        </w:rPr>
      </w:pPr>
      <w:r w:rsidRPr="00140CCC">
        <w:rPr>
          <w:i/>
          <w:iCs/>
          <w:u w:val="single"/>
        </w:rPr>
        <w:lastRenderedPageBreak/>
        <w:t>Pripojenie k infraštruktúre</w:t>
      </w:r>
    </w:p>
    <w:p w14:paraId="3825A60B" w14:textId="39242353" w:rsidR="00FB707E" w:rsidRPr="00140CCC" w:rsidRDefault="00FB707E" w:rsidP="00FB707E">
      <w:pPr>
        <w:pStyle w:val="A-Text11"/>
      </w:pPr>
      <w:r w:rsidRPr="00140CCC">
        <w:t>Pripojenie na cestnú komunikáciu: zjazdom na Banšelovu ulic</w:t>
      </w:r>
      <w:r w:rsidR="007932A8" w:rsidRPr="00140CCC">
        <w:t>u</w:t>
      </w:r>
      <w:r w:rsidRPr="00140CCC">
        <w:t>.</w:t>
      </w:r>
    </w:p>
    <w:p w14:paraId="175FB616" w14:textId="77777777" w:rsidR="00FB707E" w:rsidRPr="00140CCC" w:rsidRDefault="00FB707E" w:rsidP="00FB707E">
      <w:pPr>
        <w:pStyle w:val="A-Text11"/>
      </w:pPr>
      <w:r w:rsidRPr="00140CCC">
        <w:t>Pripojenie na splaškovú kanalizáciu (BVS, a.s.): prípojkou na Terchovskej ulici do predloženého riadu z Banšelovej ulice</w:t>
      </w:r>
    </w:p>
    <w:p w14:paraId="4DD92569" w14:textId="4824B673" w:rsidR="00FB707E" w:rsidRPr="00140CCC" w:rsidRDefault="00FB707E" w:rsidP="00FB707E">
      <w:pPr>
        <w:pStyle w:val="A-Text11"/>
      </w:pPr>
      <w:r w:rsidRPr="00140CCC">
        <w:t>Riešenie dažďovej kanalizácie: bez prípojky umiestením v</w:t>
      </w:r>
      <w:r w:rsidR="007932A8" w:rsidRPr="00140CCC">
        <w:t>s</w:t>
      </w:r>
      <w:r w:rsidRPr="00140CCC">
        <w:t>akových blokov podľa ulíc B</w:t>
      </w:r>
      <w:r w:rsidR="0030750F" w:rsidRPr="00140CCC">
        <w:t>a</w:t>
      </w:r>
      <w:r w:rsidRPr="00140CCC">
        <w:t>nšelova a Terchovská</w:t>
      </w:r>
    </w:p>
    <w:p w14:paraId="1E7D088F" w14:textId="77777777" w:rsidR="00FB707E" w:rsidRPr="00140CCC" w:rsidRDefault="00FB707E" w:rsidP="00FB707E">
      <w:pPr>
        <w:pStyle w:val="A-Text11"/>
      </w:pPr>
      <w:r w:rsidRPr="00140CCC">
        <w:t>Pripojenie na vodovod: prípojkou na Terchovskej ulici.</w:t>
      </w:r>
    </w:p>
    <w:p w14:paraId="3DBE2081" w14:textId="437835DD" w:rsidR="00FB707E" w:rsidRPr="00140CCC" w:rsidRDefault="00FB707E" w:rsidP="00FB707E">
      <w:pPr>
        <w:pStyle w:val="A-Text11"/>
      </w:pPr>
      <w:r w:rsidRPr="00140CCC">
        <w:t>Vlastný zdroj vody pre záli</w:t>
      </w:r>
      <w:r w:rsidR="0030750F" w:rsidRPr="00140CCC">
        <w:t>e</w:t>
      </w:r>
      <w:r w:rsidRPr="00140CCC">
        <w:t>vku: stávajúcou studňou priamo zo stavebného pozemku.</w:t>
      </w:r>
    </w:p>
    <w:p w14:paraId="41F1C470" w14:textId="77777777" w:rsidR="00FB707E" w:rsidRPr="00140CCC" w:rsidRDefault="00FB707E" w:rsidP="00FB707E">
      <w:pPr>
        <w:pStyle w:val="A-Text11"/>
      </w:pPr>
      <w:r w:rsidRPr="00140CCC">
        <w:t>Pripojenie na plynovod (SPP distribúcia, a.s.): prípojkou na Terchovskej ulici.</w:t>
      </w:r>
    </w:p>
    <w:p w14:paraId="7309D2C7" w14:textId="77777777" w:rsidR="00FB707E" w:rsidRPr="00140CCC" w:rsidRDefault="00FB707E" w:rsidP="00FB707E">
      <w:pPr>
        <w:pStyle w:val="A-Text11"/>
      </w:pPr>
      <w:r w:rsidRPr="00140CCC">
        <w:t>Pripojenie na nízke napätie (Západoslovenská distribučná, a.s.): prípojkou priamo z trafostanice na sídlisku na Banšelovej ulici</w:t>
      </w:r>
    </w:p>
    <w:p w14:paraId="5AE8112E" w14:textId="534BA4FC" w:rsidR="00FB707E" w:rsidRPr="00140CCC" w:rsidRDefault="00FB707E" w:rsidP="00FB707E">
      <w:pPr>
        <w:pStyle w:val="A-Text11"/>
      </w:pPr>
      <w:r w:rsidRPr="00140CCC">
        <w:t>Pripojenie slaboprúdu: prípojkou na Banšelovej ulici (V-NET) a prípojkou na Gal</w:t>
      </w:r>
      <w:r w:rsidR="00B01683">
        <w:t>v</w:t>
      </w:r>
      <w:r w:rsidRPr="00140CCC">
        <w:t>aniho (TELEKOM).</w:t>
      </w:r>
    </w:p>
    <w:p w14:paraId="45553A19" w14:textId="271C8491" w:rsidR="00FB707E" w:rsidRPr="00140CCC" w:rsidRDefault="00FB707E" w:rsidP="00FB707E">
      <w:pPr>
        <w:pStyle w:val="A-Text11"/>
        <w:ind w:firstLine="0"/>
        <w:rPr>
          <w:b/>
          <w:bCs/>
        </w:rPr>
      </w:pPr>
      <w:r w:rsidRPr="00140CCC">
        <w:rPr>
          <w:b/>
          <w:bCs/>
        </w:rPr>
        <w:t>Základná technická koncepcia</w:t>
      </w:r>
    </w:p>
    <w:p w14:paraId="71A2B376" w14:textId="0E9AFD2B" w:rsidR="00FB707E" w:rsidRPr="00140CCC" w:rsidRDefault="005732D2" w:rsidP="00FB707E">
      <w:pPr>
        <w:pStyle w:val="A-Text11"/>
        <w:rPr>
          <w:i/>
          <w:iCs/>
          <w:u w:val="single"/>
        </w:rPr>
      </w:pPr>
      <w:r>
        <w:rPr>
          <w:i/>
          <w:iCs/>
          <w:u w:val="single"/>
        </w:rPr>
        <w:t>O</w:t>
      </w:r>
      <w:r w:rsidR="00FB707E" w:rsidRPr="00140CCC">
        <w:rPr>
          <w:i/>
          <w:iCs/>
          <w:u w:val="single"/>
        </w:rPr>
        <w:t>pis navrhovaného nosného systému</w:t>
      </w:r>
    </w:p>
    <w:p w14:paraId="0590E302" w14:textId="77777777" w:rsidR="007932A8" w:rsidRPr="00140CCC" w:rsidRDefault="007932A8" w:rsidP="007932A8">
      <w:pPr>
        <w:pStyle w:val="A-Text11"/>
      </w:pPr>
      <w:r w:rsidRPr="00140CCC">
        <w:t xml:space="preserve">Pavlačový objekt a bodové objekty sú navrhnuté v jednom konštrukčnom module. Modul vychádza z ideálnej veľkosti obydlia, ale aj z rozmerov podzemného parkoviska. </w:t>
      </w:r>
    </w:p>
    <w:p w14:paraId="22617C99" w14:textId="77777777" w:rsidR="007932A8" w:rsidRPr="00140CCC" w:rsidRDefault="007932A8" w:rsidP="007932A8">
      <w:pPr>
        <w:pStyle w:val="A-Text11"/>
      </w:pPr>
      <w:r w:rsidRPr="00140CCC">
        <w:t>Nosný konštrukčný systém pavlačového objektu je stenový a v suteréne prechádza na stĺpový. Steny sú prevažne murované, v mieste zvýšeného zaťaženia sú navrhnuté monolitické železobetónové steny. Vodorovné nosné prvky sú vyrobené zo železobetónu. Tuhosť konštrukcie zabezpečujú nosné steny v kombinácii s doskami. Priečne nosné steny sa opakujú v module 7,8 m. V pozdĺžnom smere sú stropy nesené obvodovými nosnými stenami. Nosný stenový systém prechádza na železobetónový skelet v oblasti verejného vybavenia a úplne prechádza na garáže. Na prechodoch do skeletu v 1np a 1pp bude potrebné umiestniť prievlaky. Predchádzajúce balkónové konštrukcie sú spojené izolačnými prvkami s hlavnou konštrukciou. Okrem toho sú pavlače nesené stĺpmi v strede ich pôdorysu alebo závesmi v exponovaných rohoch. Priečky v bytoch a medzi bytmi sa navrhujú ako priečky zo sadrokartónu. Priečky budú spĺňať požiadavky na bezpečnosť a akustiku.</w:t>
      </w:r>
    </w:p>
    <w:p w14:paraId="10F5CE41" w14:textId="77777777" w:rsidR="007932A8" w:rsidRPr="00140CCC" w:rsidRDefault="007932A8" w:rsidP="007932A8">
      <w:pPr>
        <w:pStyle w:val="A-Text11"/>
      </w:pPr>
      <w:r w:rsidRPr="00140CCC">
        <w:t>Bodové domy sú usporiadané podobne, ale bez kombinácie so železobetónom v 1np. Pri prechode na skelet v 1np sa vytvoria prechodové rozpätia.</w:t>
      </w:r>
    </w:p>
    <w:p w14:paraId="40F650D4" w14:textId="77777777" w:rsidR="007932A8" w:rsidRPr="00140CCC" w:rsidRDefault="007932A8" w:rsidP="007932A8">
      <w:pPr>
        <w:pStyle w:val="A-Text11"/>
      </w:pPr>
      <w:r w:rsidRPr="00140CCC">
        <w:t xml:space="preserve">Nosný systém garáží pozostáva z obvodových železobetónových stien a vnútorného skeletu. Nosnej osi pod pôdorysom pavlačového domu zodpovedajú tri parkovacie miesta (7,8 m), pod pôdorysmi bodových domov prevažne dve parkovacie miesta (t. j. 5,2 až 7,8 m). </w:t>
      </w:r>
    </w:p>
    <w:p w14:paraId="5B3C5168" w14:textId="77777777" w:rsidR="007932A8" w:rsidRPr="00140CCC" w:rsidRDefault="007932A8" w:rsidP="007932A8">
      <w:pPr>
        <w:pStyle w:val="A-Text11"/>
      </w:pPr>
      <w:r w:rsidRPr="00140CCC">
        <w:t>Základy budú zodpovedať geologickým podmienkam (prevažne štrky, jemnozrnné zeminy a íly na severnom konci). Návrh umožňuje použitie bežných základových dosiek vrátane základovej dosky vo väčšine oblasti. O konkrétnom spôsobe zakladania rozhodne statik v ďalších fázach projektu.</w:t>
      </w:r>
    </w:p>
    <w:p w14:paraId="4779F520" w14:textId="77777777" w:rsidR="00400B4E" w:rsidRDefault="00400B4E" w:rsidP="007932A8">
      <w:pPr>
        <w:pStyle w:val="A-Text11"/>
        <w:rPr>
          <w:i/>
          <w:iCs/>
          <w:u w:val="single"/>
        </w:rPr>
      </w:pPr>
    </w:p>
    <w:p w14:paraId="0018A965" w14:textId="77777777" w:rsidR="00400B4E" w:rsidRDefault="00400B4E" w:rsidP="007932A8">
      <w:pPr>
        <w:pStyle w:val="A-Text11"/>
        <w:rPr>
          <w:i/>
          <w:iCs/>
          <w:u w:val="single"/>
        </w:rPr>
      </w:pPr>
    </w:p>
    <w:p w14:paraId="767D0220" w14:textId="77777777" w:rsidR="00400B4E" w:rsidRDefault="00400B4E" w:rsidP="007932A8">
      <w:pPr>
        <w:pStyle w:val="A-Text11"/>
        <w:rPr>
          <w:i/>
          <w:iCs/>
          <w:u w:val="single"/>
        </w:rPr>
      </w:pPr>
    </w:p>
    <w:p w14:paraId="0E020801" w14:textId="6E41FAAB" w:rsidR="00FB707E" w:rsidRPr="00140CCC" w:rsidRDefault="005732D2" w:rsidP="007932A8">
      <w:pPr>
        <w:pStyle w:val="A-Text11"/>
        <w:rPr>
          <w:i/>
          <w:iCs/>
          <w:u w:val="single"/>
        </w:rPr>
      </w:pPr>
      <w:r>
        <w:rPr>
          <w:i/>
          <w:iCs/>
          <w:u w:val="single"/>
        </w:rPr>
        <w:lastRenderedPageBreak/>
        <w:t>O</w:t>
      </w:r>
      <w:r w:rsidR="00FB707E" w:rsidRPr="00140CCC">
        <w:rPr>
          <w:i/>
          <w:iCs/>
          <w:u w:val="single"/>
        </w:rPr>
        <w:t>pis energetických zariadení, energetická náročnosť</w:t>
      </w:r>
    </w:p>
    <w:p w14:paraId="503B3C01" w14:textId="5FD111F2" w:rsidR="00C156B7" w:rsidRPr="00140CCC" w:rsidRDefault="00C156B7" w:rsidP="00FB707E">
      <w:pPr>
        <w:pStyle w:val="A-Text11"/>
      </w:pPr>
      <w:r w:rsidRPr="00140CCC">
        <w:t>Komplex využíva ekologický zdroj energie - kombináciu elektrického tepelného čerpadla a plynových kotlov. Elektrické čerpadlo je určené na prípravu teplej vody pre domácnosť, vonkajšia jednotka je zapojená do siete na streche budovy A.</w:t>
      </w:r>
    </w:p>
    <w:p w14:paraId="05970C56" w14:textId="7E8ECAEF" w:rsidR="00FB707E" w:rsidRPr="00140CCC" w:rsidRDefault="005732D2" w:rsidP="00FB707E">
      <w:pPr>
        <w:pStyle w:val="A-Text11"/>
        <w:rPr>
          <w:i/>
          <w:iCs/>
          <w:u w:val="single"/>
        </w:rPr>
      </w:pPr>
      <w:r>
        <w:rPr>
          <w:i/>
          <w:iCs/>
          <w:u w:val="single"/>
        </w:rPr>
        <w:t>O</w:t>
      </w:r>
      <w:r w:rsidR="00FB707E" w:rsidRPr="00140CCC">
        <w:rPr>
          <w:i/>
          <w:iCs/>
          <w:u w:val="single"/>
        </w:rPr>
        <w:t>pis technického vybavenia budovy</w:t>
      </w:r>
    </w:p>
    <w:p w14:paraId="0EC101A2" w14:textId="77777777" w:rsidR="00FB707E" w:rsidRPr="00140CCC" w:rsidRDefault="00FB707E" w:rsidP="00FB707E">
      <w:pPr>
        <w:pStyle w:val="A-Text11"/>
      </w:pPr>
      <w:r w:rsidRPr="00140CCC">
        <w:t>Splašková kanalizácia:</w:t>
      </w:r>
    </w:p>
    <w:p w14:paraId="1D6854C8" w14:textId="77777777" w:rsidR="00FB707E" w:rsidRPr="00140CCC" w:rsidRDefault="00FB707E" w:rsidP="00FB707E">
      <w:pPr>
        <w:pStyle w:val="A-Text11"/>
      </w:pPr>
      <w:r w:rsidRPr="00140CCC">
        <w:t>Areálová kanalizácia dvoma vetvami (vetva sekcií A1, B1-B4  a vetva sekcií A2, B5-6) odvádza odpadové vody do prípojky na Terchovskej ulici. Jednotlivé šachty sú napojené priamo pod základmi alebo pod stropom garážových priestorov.</w:t>
      </w:r>
    </w:p>
    <w:p w14:paraId="46894796" w14:textId="77777777" w:rsidR="00FB707E" w:rsidRPr="00140CCC" w:rsidRDefault="00FB707E" w:rsidP="00FB707E">
      <w:pPr>
        <w:pStyle w:val="A-Text11"/>
      </w:pPr>
      <w:r w:rsidRPr="00140CCC">
        <w:t>Dažďová kanalizácia:</w:t>
      </w:r>
    </w:p>
    <w:p w14:paraId="7E69FC66" w14:textId="05ED9054" w:rsidR="00C156B7" w:rsidRPr="00140CCC" w:rsidRDefault="00C156B7" w:rsidP="00C156B7">
      <w:pPr>
        <w:pStyle w:val="A-Text11"/>
      </w:pPr>
      <w:r w:rsidRPr="00140CCC">
        <w:t>Areálová dažďová kanalizácia privádza dažďové vody do dvoch vsakovac</w:t>
      </w:r>
      <w:r w:rsidR="000E7D03">
        <w:t>í</w:t>
      </w:r>
      <w:r w:rsidRPr="00140CCC">
        <w:t>ch blokov pozdĺž ulíc Banšelová a Terchovská prostredníctvom dvoch vetiev (vetva sekcií A1, B1-B3  a vetva sekcií A2, B4-6).</w:t>
      </w:r>
    </w:p>
    <w:p w14:paraId="4304E388" w14:textId="75B74230" w:rsidR="00C156B7" w:rsidRPr="00140CCC" w:rsidRDefault="00C156B7" w:rsidP="00C156B7">
      <w:pPr>
        <w:pStyle w:val="A-Text11"/>
      </w:pPr>
      <w:r w:rsidRPr="00140CCC">
        <w:t>Pitná voda:</w:t>
      </w:r>
    </w:p>
    <w:p w14:paraId="2D99AE0D" w14:textId="77777777" w:rsidR="00C156B7" w:rsidRPr="00140CCC" w:rsidRDefault="00C156B7" w:rsidP="00C156B7">
      <w:pPr>
        <w:pStyle w:val="A-Text11"/>
      </w:pPr>
      <w:r w:rsidRPr="00140CCC">
        <w:t>Pitná voda sa privádza do jednotlivých šácht pod strechou garáže alebo kanálikom cez terén.</w:t>
      </w:r>
    </w:p>
    <w:p w14:paraId="7BB6F3CC" w14:textId="77777777" w:rsidR="00C156B7" w:rsidRPr="00140CCC" w:rsidRDefault="00C156B7" w:rsidP="00C156B7">
      <w:pPr>
        <w:pStyle w:val="A-Text11"/>
      </w:pPr>
      <w:r w:rsidRPr="00140CCC">
        <w:t>Požiarna voda:</w:t>
      </w:r>
    </w:p>
    <w:p w14:paraId="34B3D976" w14:textId="77777777" w:rsidR="00C156B7" w:rsidRPr="00140CCC" w:rsidRDefault="00C156B7" w:rsidP="00C156B7">
      <w:pPr>
        <w:pStyle w:val="A-Text11"/>
      </w:pPr>
      <w:r w:rsidRPr="00140CCC">
        <w:t>Požiarna voda sa privádza do jednotlivých hydrantov pod strechou garáže alebo kanálikom cez terén. Požiarna nádrž sa nachádza pod rampou v suteréne.</w:t>
      </w:r>
    </w:p>
    <w:p w14:paraId="72AA638C" w14:textId="77777777" w:rsidR="00C156B7" w:rsidRPr="00140CCC" w:rsidRDefault="00C156B7" w:rsidP="00C156B7">
      <w:pPr>
        <w:pStyle w:val="A-Text11"/>
      </w:pPr>
      <w:r w:rsidRPr="00140CCC">
        <w:t>Teplá úžitková voda:</w:t>
      </w:r>
    </w:p>
    <w:p w14:paraId="0DB9F057" w14:textId="77777777" w:rsidR="00C156B7" w:rsidRPr="00140CCC" w:rsidRDefault="00C156B7" w:rsidP="00C156B7">
      <w:pPr>
        <w:pStyle w:val="A-Text11"/>
      </w:pPr>
      <w:r w:rsidRPr="00140CCC">
        <w:t xml:space="preserve">Príprava teplé úžitkovej vody je centrálna v kotolni pod sekcií B6. Teplá úžitková voda sa privádza do jednotlivých šácht pod strechou garáže alebo kanálikom cez terén. Zdroj tepla je spoločný s ústredným kúrením.  </w:t>
      </w:r>
    </w:p>
    <w:p w14:paraId="31460476" w14:textId="77777777" w:rsidR="00C156B7" w:rsidRPr="00140CCC" w:rsidRDefault="00C156B7" w:rsidP="00C156B7">
      <w:pPr>
        <w:pStyle w:val="A-Text11"/>
      </w:pPr>
      <w:r w:rsidRPr="00140CCC">
        <w:t>Ústredné kúrenie:</w:t>
      </w:r>
    </w:p>
    <w:p w14:paraId="6625E7F3" w14:textId="77777777" w:rsidR="00C156B7" w:rsidRPr="00140CCC" w:rsidRDefault="00C156B7" w:rsidP="00C156B7">
      <w:pPr>
        <w:pStyle w:val="A-Text11"/>
      </w:pPr>
      <w:r w:rsidRPr="00140CCC">
        <w:t>Hlavné vetvy systému ústredného kúrenia sú vedené do jednotlivých šácht pod stropom garáže alebo kanálom cez rastlý  terén.</w:t>
      </w:r>
    </w:p>
    <w:p w14:paraId="5740413F" w14:textId="77777777" w:rsidR="00C156B7" w:rsidRPr="00140CCC" w:rsidRDefault="00C156B7" w:rsidP="00C156B7">
      <w:pPr>
        <w:pStyle w:val="A-Text11"/>
      </w:pPr>
      <w:r w:rsidRPr="00140CCC">
        <w:t>Vetranie:</w:t>
      </w:r>
    </w:p>
    <w:p w14:paraId="57140446" w14:textId="77777777" w:rsidR="00C156B7" w:rsidRPr="00140CCC" w:rsidRDefault="00C156B7" w:rsidP="00C156B7">
      <w:pPr>
        <w:pStyle w:val="A-Text11"/>
      </w:pPr>
      <w:r w:rsidRPr="00140CCC">
        <w:t>Vo štádiu DUR uvažujeme rekuperáciu s distribuovanými jednotkami pre bytov (miestne nasávanie na fasáde, výfuk do kúpeľňovej šachty). Vetranie komerčných jednotiek zabezpečujú miestne jednotky. Vetranie v garážach zabezpečuje systém posuvných ventilátorov a vzduchotechnická jednotka na odsávanie vzduchu. Vzduch sa nasáva cez bránu podzemnej garáže a odvádza sa cez strojovňu do výfukového potrubia smerom k verejnému priestoru pri obchodnej jednotke na severnom konci bytového domu.</w:t>
      </w:r>
    </w:p>
    <w:p w14:paraId="35F4CAF8" w14:textId="77777777" w:rsidR="00C156B7" w:rsidRPr="00140CCC" w:rsidRDefault="00C156B7" w:rsidP="00C156B7">
      <w:pPr>
        <w:pStyle w:val="A-Text11"/>
      </w:pPr>
      <w:r w:rsidRPr="00140CCC">
        <w:t>Chladenie:</w:t>
      </w:r>
    </w:p>
    <w:p w14:paraId="0B58B066" w14:textId="0B1B6842" w:rsidR="00C156B7" w:rsidRPr="00140CCC" w:rsidRDefault="00C156B7" w:rsidP="00C156B7">
      <w:pPr>
        <w:pStyle w:val="A-Text11"/>
      </w:pPr>
      <w:r w:rsidRPr="00140CCC">
        <w:t>Chladenie bytov aj komerčných priestorov je uvažované pomocou strešných splitov.</w:t>
      </w:r>
    </w:p>
    <w:p w14:paraId="141324CA" w14:textId="77777777" w:rsidR="00FB707E" w:rsidRPr="00140CCC" w:rsidRDefault="00FB707E" w:rsidP="00FB707E">
      <w:pPr>
        <w:pStyle w:val="A-Text11"/>
        <w:rPr>
          <w:i/>
          <w:iCs/>
          <w:u w:val="single"/>
        </w:rPr>
      </w:pPr>
      <w:r w:rsidRPr="00140CCC">
        <w:rPr>
          <w:i/>
          <w:iCs/>
          <w:u w:val="single"/>
        </w:rPr>
        <w:t>Koncepcia šácht a technických koridorov</w:t>
      </w:r>
    </w:p>
    <w:p w14:paraId="75854567" w14:textId="77777777" w:rsidR="00C156B7" w:rsidRPr="00140CCC" w:rsidRDefault="00C156B7" w:rsidP="00C156B7">
      <w:pPr>
        <w:pStyle w:val="A-Text11"/>
      </w:pPr>
      <w:r w:rsidRPr="00140CCC">
        <w:t xml:space="preserve">Technická infraštruktúra je do bytov privedená vertikálnymi šachtami, ktoré sú umiestnené nad sebou. Hlavné šachty v mieste hygienických zariadení bytov združujú rozvody vykurovacej vody, pitnej vody, TÚV, splaškovej a dažďovej kanalizácie, odsávania vzduchotechniky a </w:t>
      </w:r>
      <w:r w:rsidRPr="00140CCC">
        <w:lastRenderedPageBreak/>
        <w:t>rozvody chladiva vrátane príslušných meracích zariadení jednotlivých rozvodov. Doplnkové šachty slúžia kuchyniam a združujú splaškovú a dažďovú kanalizáciu a odsávanie digestorov.</w:t>
      </w:r>
    </w:p>
    <w:p w14:paraId="5B70DB23" w14:textId="1A962A46" w:rsidR="00C156B7" w:rsidRPr="00140CCC" w:rsidRDefault="00C156B7" w:rsidP="00C156B7">
      <w:pPr>
        <w:pStyle w:val="A-Text11"/>
      </w:pPr>
      <w:r w:rsidRPr="00140CCC">
        <w:t>Rozvody sú napojené na šachty pod stropom garáže alebo cez technické kanáliky v rastlom teréne.</w:t>
      </w:r>
    </w:p>
    <w:p w14:paraId="3EC2F7B5" w14:textId="0D701A22" w:rsidR="004E74F9" w:rsidRPr="00F9522F" w:rsidRDefault="004E74F9" w:rsidP="004E74F9">
      <w:pPr>
        <w:pStyle w:val="A-Text11"/>
        <w:ind w:firstLine="0"/>
        <w:rPr>
          <w:b/>
          <w:bCs/>
        </w:rPr>
      </w:pPr>
      <w:r w:rsidRPr="00F9522F">
        <w:rPr>
          <w:b/>
          <w:bCs/>
        </w:rPr>
        <w:t>Opis technického a technologického riešenia</w:t>
      </w:r>
      <w:r w:rsidR="00D15A7A" w:rsidRPr="00F9522F">
        <w:rPr>
          <w:b/>
          <w:bCs/>
        </w:rPr>
        <w:t xml:space="preserve"> elektroinštalácií</w:t>
      </w:r>
      <w:r w:rsidRPr="00F9522F">
        <w:rPr>
          <w:b/>
          <w:bCs/>
        </w:rPr>
        <w:t xml:space="preserve"> stavebných objektov Bytového domu Terchovská</w:t>
      </w:r>
    </w:p>
    <w:p w14:paraId="535BE530" w14:textId="77777777" w:rsidR="00BA367F" w:rsidRPr="00F9522F" w:rsidRDefault="00BA367F" w:rsidP="00BA367F">
      <w:pPr>
        <w:pStyle w:val="A-Text11"/>
        <w:rPr>
          <w:b/>
          <w:bCs/>
        </w:rPr>
      </w:pPr>
      <w:bookmarkStart w:id="64" w:name="_Toc91150522"/>
      <w:r w:rsidRPr="00F9522F">
        <w:rPr>
          <w:b/>
          <w:bCs/>
        </w:rPr>
        <w:t>SO 001 Bytový dom</w:t>
      </w:r>
      <w:bookmarkEnd w:id="64"/>
    </w:p>
    <w:p w14:paraId="07FE24D9" w14:textId="77777777" w:rsidR="00775F17" w:rsidRPr="00F9522F" w:rsidRDefault="00775F17" w:rsidP="00775F17">
      <w:pPr>
        <w:pStyle w:val="A-Text11"/>
        <w:rPr>
          <w:i/>
        </w:rPr>
      </w:pPr>
      <w:r w:rsidRPr="00F9522F">
        <w:rPr>
          <w:i/>
        </w:rPr>
        <w:t>Rozvodná sústava</w:t>
      </w:r>
      <w:r w:rsidRPr="00F9522F">
        <w:rPr>
          <w:i/>
        </w:rPr>
        <w:tab/>
      </w:r>
    </w:p>
    <w:p w14:paraId="3BD85C45" w14:textId="77777777" w:rsidR="00775F17" w:rsidRPr="00F9522F" w:rsidRDefault="00775F17" w:rsidP="0012269F">
      <w:pPr>
        <w:pStyle w:val="A-Text11"/>
        <w:numPr>
          <w:ilvl w:val="0"/>
          <w:numId w:val="41"/>
        </w:numPr>
        <w:spacing w:before="0" w:line="240" w:lineRule="auto"/>
        <w:ind w:left="714" w:hanging="357"/>
      </w:pPr>
      <w:r w:rsidRPr="00F9522F">
        <w:t xml:space="preserve">3+PEN, str., 50Hz 230/400V/TN-C </w:t>
      </w:r>
    </w:p>
    <w:p w14:paraId="765888D2" w14:textId="77777777" w:rsidR="00775F17" w:rsidRPr="00F9522F" w:rsidRDefault="00775F17" w:rsidP="0012269F">
      <w:pPr>
        <w:pStyle w:val="A-Text11"/>
        <w:numPr>
          <w:ilvl w:val="0"/>
          <w:numId w:val="41"/>
        </w:numPr>
        <w:spacing w:before="0" w:line="240" w:lineRule="auto"/>
        <w:ind w:left="714" w:hanging="357"/>
      </w:pPr>
      <w:r w:rsidRPr="00F9522F">
        <w:t xml:space="preserve">3+N+PE, str., 50Hz 230/400V/TN-C-S </w:t>
      </w:r>
    </w:p>
    <w:p w14:paraId="3D85E49D" w14:textId="77777777" w:rsidR="00775F17" w:rsidRPr="00F9522F" w:rsidRDefault="00775F17" w:rsidP="0012269F">
      <w:pPr>
        <w:pStyle w:val="A-Text11"/>
        <w:numPr>
          <w:ilvl w:val="0"/>
          <w:numId w:val="41"/>
        </w:numPr>
        <w:spacing w:before="0" w:line="240" w:lineRule="auto"/>
        <w:ind w:left="714" w:hanging="357"/>
      </w:pPr>
      <w:r w:rsidRPr="00F9522F">
        <w:t>AC 50Hz 2,5V</w:t>
      </w:r>
      <w:r w:rsidRPr="00F9522F">
        <w:tab/>
      </w:r>
    </w:p>
    <w:p w14:paraId="1FD75589" w14:textId="77777777" w:rsidR="00775F17" w:rsidRPr="00F9522F" w:rsidRDefault="00775F17" w:rsidP="00775F17">
      <w:pPr>
        <w:pStyle w:val="A-Text11"/>
      </w:pPr>
      <w:r w:rsidRPr="00F9522F">
        <w:t>Druhy ochranných opatrení pred zásahom elektrickým prúdom</w:t>
      </w:r>
    </w:p>
    <w:p w14:paraId="22F91CFF" w14:textId="77777777" w:rsidR="00775F17" w:rsidRPr="00F9522F" w:rsidRDefault="00775F17" w:rsidP="0095439F">
      <w:pPr>
        <w:pStyle w:val="A-Text11"/>
        <w:numPr>
          <w:ilvl w:val="0"/>
          <w:numId w:val="42"/>
        </w:numPr>
      </w:pPr>
      <w:r w:rsidRPr="00F9522F">
        <w:t>Riešené v zmysle STN 33 2000-4-41</w:t>
      </w:r>
    </w:p>
    <w:p w14:paraId="5207603F" w14:textId="77777777" w:rsidR="00775F17" w:rsidRPr="00F9522F" w:rsidRDefault="00775F17" w:rsidP="00775F17">
      <w:pPr>
        <w:pStyle w:val="A-Text11"/>
      </w:pPr>
      <w:r w:rsidRPr="00F9522F">
        <w:t>Skupina elektrických zariadení podľa. Vyhl. Ministerstva práce, sociálnych vecí a rodiny SR č.508/2009 Zb.z. § 2, odst.1., resp. prílohy 1, časť III</w:t>
      </w:r>
    </w:p>
    <w:p w14:paraId="000422DD" w14:textId="77777777" w:rsidR="00775F17" w:rsidRPr="00F9522F" w:rsidRDefault="00775F17" w:rsidP="0012269F">
      <w:pPr>
        <w:pStyle w:val="A-Text11"/>
        <w:numPr>
          <w:ilvl w:val="0"/>
          <w:numId w:val="42"/>
        </w:numPr>
        <w:spacing w:before="0" w:line="240" w:lineRule="auto"/>
        <w:ind w:left="714" w:hanging="357"/>
      </w:pPr>
      <w:r w:rsidRPr="00F9522F">
        <w:t>Skupina „B“ - všetky VTZE okrem:</w:t>
      </w:r>
    </w:p>
    <w:p w14:paraId="39BA20D2" w14:textId="77777777" w:rsidR="00775F17" w:rsidRPr="00F9522F" w:rsidRDefault="00775F17" w:rsidP="0012269F">
      <w:pPr>
        <w:pStyle w:val="A-Text11"/>
        <w:numPr>
          <w:ilvl w:val="0"/>
          <w:numId w:val="42"/>
        </w:numPr>
        <w:spacing w:before="0" w:line="240" w:lineRule="auto"/>
        <w:ind w:left="714" w:hanging="357"/>
      </w:pPr>
      <w:r w:rsidRPr="00F9522F">
        <w:t>Skupina „C“ - slaboprúdové zariadenia</w:t>
      </w:r>
    </w:p>
    <w:p w14:paraId="2CA489CE" w14:textId="77777777" w:rsidR="00775F17" w:rsidRPr="00F9522F" w:rsidRDefault="00775F17" w:rsidP="00775F17">
      <w:pPr>
        <w:pStyle w:val="A-Text11"/>
      </w:pPr>
      <w:r w:rsidRPr="00F9522F">
        <w:t>Stupeň zabezpečenia dodávky el. energie v zmysle STN 34 1610 § 16 107</w:t>
      </w:r>
    </w:p>
    <w:p w14:paraId="3F4778E1" w14:textId="77777777" w:rsidR="00775F17" w:rsidRPr="00F9522F" w:rsidRDefault="00775F17" w:rsidP="0012269F">
      <w:pPr>
        <w:pStyle w:val="A-Text11"/>
        <w:numPr>
          <w:ilvl w:val="0"/>
          <w:numId w:val="43"/>
        </w:numPr>
        <w:spacing w:before="0" w:line="240" w:lineRule="auto"/>
        <w:ind w:left="714" w:hanging="357"/>
      </w:pPr>
      <w:r w:rsidRPr="00F9522F">
        <w:t>Prvý - núdzové osvetlenie - napájanie zabezpečené z centrály CBS v zmysle STN 92 0203.</w:t>
      </w:r>
    </w:p>
    <w:p w14:paraId="33F52FCC" w14:textId="77777777" w:rsidR="00775F17" w:rsidRPr="00F9522F" w:rsidRDefault="00775F17" w:rsidP="0012269F">
      <w:pPr>
        <w:pStyle w:val="A-Text11"/>
        <w:numPr>
          <w:ilvl w:val="0"/>
          <w:numId w:val="43"/>
        </w:numPr>
        <w:spacing w:before="0" w:line="240" w:lineRule="auto"/>
        <w:ind w:left="714" w:hanging="357"/>
      </w:pPr>
      <w:r w:rsidRPr="00F9522F">
        <w:t>Prvý - elektrická požiarna signalizácia EPS - ústredňa EPS - napájanie zabezpečené vstavanými akumulátormi</w:t>
      </w:r>
    </w:p>
    <w:p w14:paraId="603779B4" w14:textId="77777777" w:rsidR="00775F17" w:rsidRPr="00F9522F" w:rsidRDefault="00775F17" w:rsidP="0012269F">
      <w:pPr>
        <w:pStyle w:val="A-Text11"/>
        <w:numPr>
          <w:ilvl w:val="0"/>
          <w:numId w:val="43"/>
        </w:numPr>
        <w:spacing w:before="0" w:line="240" w:lineRule="auto"/>
        <w:ind w:left="714" w:hanging="357"/>
      </w:pPr>
      <w:r w:rsidRPr="00F9522F">
        <w:t>Prvý - vetranie garáže - zabezpečené pomocou UPS inštalovanej v NN rozvodni</w:t>
      </w:r>
    </w:p>
    <w:p w14:paraId="4B44CB00" w14:textId="77777777" w:rsidR="00775F17" w:rsidRPr="00F9522F" w:rsidRDefault="00775F17" w:rsidP="0012269F">
      <w:pPr>
        <w:pStyle w:val="A-Text11"/>
        <w:numPr>
          <w:ilvl w:val="0"/>
          <w:numId w:val="43"/>
        </w:numPr>
        <w:spacing w:before="0" w:line="240" w:lineRule="auto"/>
        <w:ind w:left="714" w:hanging="357"/>
      </w:pPr>
      <w:r w:rsidRPr="00F9522F">
        <w:t>Tretí - ostatné VTZE</w:t>
      </w:r>
    </w:p>
    <w:p w14:paraId="31DBA027" w14:textId="77777777" w:rsidR="00775F17" w:rsidRPr="00F9522F" w:rsidRDefault="00775F17" w:rsidP="00775F17">
      <w:pPr>
        <w:pStyle w:val="A-Text11"/>
      </w:pPr>
      <w:r w:rsidRPr="00F9522F">
        <w:t>Náhradné zdroje</w:t>
      </w:r>
    </w:p>
    <w:p w14:paraId="519BD441" w14:textId="77777777" w:rsidR="00775F17" w:rsidRPr="00F9522F" w:rsidRDefault="00775F17" w:rsidP="0095439F">
      <w:pPr>
        <w:pStyle w:val="A-Text11"/>
        <w:numPr>
          <w:ilvl w:val="0"/>
          <w:numId w:val="44"/>
        </w:numPr>
      </w:pPr>
      <w:r w:rsidRPr="00F9522F">
        <w:t>UPS - pre zabezpečenie zálohovaného napájanie VZT podzemnej garáže</w:t>
      </w:r>
    </w:p>
    <w:p w14:paraId="18F6532B" w14:textId="77777777" w:rsidR="00775F17" w:rsidRPr="00F9522F" w:rsidRDefault="00775F17" w:rsidP="00775F17">
      <w:pPr>
        <w:pStyle w:val="A-Text11"/>
      </w:pPr>
      <w:r w:rsidRPr="00F9522F">
        <w:t>Vypínanie objektu</w:t>
      </w:r>
    </w:p>
    <w:p w14:paraId="3CE14BB9" w14:textId="77777777" w:rsidR="00775F17" w:rsidRPr="00F9522F" w:rsidRDefault="00775F17" w:rsidP="00775F17">
      <w:pPr>
        <w:pStyle w:val="A-Text11"/>
      </w:pPr>
      <w:r w:rsidRPr="00F9522F">
        <w:t>Vypínanie objektu od dodávky el. energie je riešené zmysle STN 92 0203 a na základe požiadavky projektanta PO spôsobmi:</w:t>
      </w:r>
    </w:p>
    <w:p w14:paraId="2A22CD67" w14:textId="77777777" w:rsidR="00775F17" w:rsidRPr="00F9522F" w:rsidRDefault="00775F17" w:rsidP="0012269F">
      <w:pPr>
        <w:pStyle w:val="A-Text11"/>
        <w:numPr>
          <w:ilvl w:val="0"/>
          <w:numId w:val="44"/>
        </w:numPr>
        <w:spacing w:before="0" w:line="240" w:lineRule="auto"/>
        <w:ind w:left="714" w:hanging="357"/>
      </w:pPr>
      <w:r w:rsidRPr="00F9522F">
        <w:t>CENTRÁL STOP – tlačidlom CS umiestnením v CHUC pri hlavných vstupoch do objektu, v rozvodni NN. Signálom CS sa vypínajú všetky elektrické zariadenia okrem zariadení v prevádzke počas požiaru.</w:t>
      </w:r>
    </w:p>
    <w:p w14:paraId="142EB00D" w14:textId="77777777" w:rsidR="00775F17" w:rsidRPr="00F9522F" w:rsidRDefault="00775F17" w:rsidP="0012269F">
      <w:pPr>
        <w:pStyle w:val="A-Text11"/>
        <w:numPr>
          <w:ilvl w:val="0"/>
          <w:numId w:val="44"/>
        </w:numPr>
        <w:spacing w:before="0" w:line="240" w:lineRule="auto"/>
        <w:ind w:left="714" w:hanging="357"/>
      </w:pPr>
      <w:r w:rsidRPr="00F9522F">
        <w:t>TOTAL STOP – tlačidlom TS umiestnením v CHUC pri hlavných vstupoch do objektu, v rozvodni NN. Signálom TS sa vypínajú všetky elektrické zariadenia.</w:t>
      </w:r>
    </w:p>
    <w:p w14:paraId="5E24AF13" w14:textId="77777777" w:rsidR="00775F17" w:rsidRPr="00F9522F" w:rsidRDefault="00775F17" w:rsidP="0012269F">
      <w:pPr>
        <w:pStyle w:val="A-Text11"/>
        <w:numPr>
          <w:ilvl w:val="0"/>
          <w:numId w:val="44"/>
        </w:numPr>
        <w:spacing w:before="0" w:line="240" w:lineRule="auto"/>
        <w:ind w:left="714" w:hanging="357"/>
      </w:pPr>
      <w:r w:rsidRPr="00F9522F">
        <w:t>SIGNÁL EPS – vypnutie vybraných rozvodov elektro, napr. prevádzkové vetranie, atď...</w:t>
      </w:r>
    </w:p>
    <w:p w14:paraId="405D4943" w14:textId="77777777" w:rsidR="00775F17" w:rsidRPr="00F9522F" w:rsidRDefault="00775F17" w:rsidP="0012269F">
      <w:pPr>
        <w:pStyle w:val="A-Text11"/>
        <w:numPr>
          <w:ilvl w:val="0"/>
          <w:numId w:val="44"/>
        </w:numPr>
        <w:spacing w:before="0" w:line="240" w:lineRule="auto"/>
        <w:ind w:left="714" w:hanging="357"/>
      </w:pPr>
      <w:r w:rsidRPr="00F9522F">
        <w:t>Tlačidlo HT - havarijné vypínanie zariadení technológie</w:t>
      </w:r>
    </w:p>
    <w:p w14:paraId="393D05EA" w14:textId="660513D8" w:rsidR="00775F17" w:rsidRPr="00F9522F" w:rsidRDefault="00775F17" w:rsidP="00775F17">
      <w:pPr>
        <w:pStyle w:val="A-Text11"/>
      </w:pPr>
      <w:bookmarkStart w:id="65" w:name="_Toc91150523"/>
      <w:r w:rsidRPr="00F9522F">
        <w:t>Silnoprúdové rozvody</w:t>
      </w:r>
      <w:bookmarkEnd w:id="65"/>
    </w:p>
    <w:p w14:paraId="7518C1D7" w14:textId="77777777" w:rsidR="00775F17" w:rsidRPr="00F9522F" w:rsidRDefault="00775F17" w:rsidP="00775F17">
      <w:pPr>
        <w:pStyle w:val="A-Text11"/>
      </w:pPr>
      <w:r w:rsidRPr="00F9522F">
        <w:t>Hlavný rozvod NN bude riešený z elektromerového rozvádzača RE v technickej miestnosti na 1.NP.  Z rozvádzača RE budú cez fakturačné merania napájané bytové jednotky, komerčné priestory, spoločná spotreba a príprava pre nabíjačky elektromobilov. Elektromerové rozvádzače budú prístupné pracovníkom ZSE.</w:t>
      </w:r>
    </w:p>
    <w:p w14:paraId="51D13B28" w14:textId="77777777" w:rsidR="00775F17" w:rsidRPr="00F9522F" w:rsidRDefault="00775F17" w:rsidP="00775F17">
      <w:pPr>
        <w:pStyle w:val="A-Text11"/>
      </w:pPr>
      <w:r w:rsidRPr="00F9522F">
        <w:lastRenderedPageBreak/>
        <w:t>Všetky rozvody budú inštalované na káblových žľaboch, v chráničkách v betóne podlahy, pod omietkou stien a stropov. Typy káblov, chráničiek a žľabov vyplývajú z projektu PO, resp. z STN 92 0203.</w:t>
      </w:r>
    </w:p>
    <w:p w14:paraId="7A243ECC" w14:textId="77777777" w:rsidR="00775F17" w:rsidRPr="00F9522F" w:rsidRDefault="00775F17" w:rsidP="00775F17">
      <w:pPr>
        <w:pStyle w:val="A-Text11"/>
      </w:pPr>
      <w:r w:rsidRPr="00F9522F">
        <w:t>Meranie spotreby el. energie</w:t>
      </w:r>
    </w:p>
    <w:p w14:paraId="5B8A1B28" w14:textId="77777777" w:rsidR="00775F17" w:rsidRPr="00F9522F" w:rsidRDefault="00775F17" w:rsidP="00775F17">
      <w:pPr>
        <w:pStyle w:val="A-Text11"/>
      </w:pPr>
      <w:r w:rsidRPr="00F9522F">
        <w:t>Fakturačné meranie - prostredníctvom elektromerov inštalovaných v elektromerovom rozvádzači RE. Fakturačné meranie bude riešené samostatne pre:</w:t>
      </w:r>
    </w:p>
    <w:p w14:paraId="5C40C1E5" w14:textId="77777777" w:rsidR="00775F17" w:rsidRPr="00F9522F" w:rsidRDefault="00775F17" w:rsidP="0095439F">
      <w:pPr>
        <w:pStyle w:val="A-Text11"/>
        <w:numPr>
          <w:ilvl w:val="0"/>
          <w:numId w:val="25"/>
        </w:numPr>
      </w:pPr>
      <w:r w:rsidRPr="00F9522F">
        <w:t>Spoločná spotreba</w:t>
      </w:r>
    </w:p>
    <w:p w14:paraId="3B5B4B67" w14:textId="77777777" w:rsidR="00775F17" w:rsidRPr="00F9522F" w:rsidRDefault="00775F17" w:rsidP="0012269F">
      <w:pPr>
        <w:pStyle w:val="A-Text11"/>
        <w:numPr>
          <w:ilvl w:val="0"/>
          <w:numId w:val="25"/>
        </w:numPr>
        <w:spacing w:before="0" w:line="240" w:lineRule="auto"/>
        <w:ind w:left="714" w:hanging="357"/>
      </w:pPr>
      <w:r w:rsidRPr="00F9522F">
        <w:t xml:space="preserve">Bytové jednotky </w:t>
      </w:r>
    </w:p>
    <w:p w14:paraId="386886C2" w14:textId="77777777" w:rsidR="00775F17" w:rsidRPr="00F9522F" w:rsidRDefault="00775F17" w:rsidP="0012269F">
      <w:pPr>
        <w:pStyle w:val="A-Text11"/>
        <w:numPr>
          <w:ilvl w:val="0"/>
          <w:numId w:val="25"/>
        </w:numPr>
        <w:spacing w:before="0" w:line="240" w:lineRule="auto"/>
        <w:ind w:left="714" w:hanging="357"/>
        <w:rPr>
          <w:b/>
        </w:rPr>
      </w:pPr>
      <w:r w:rsidRPr="00F9522F">
        <w:t>Obchodné jednotky</w:t>
      </w:r>
    </w:p>
    <w:p w14:paraId="1D06A03D" w14:textId="77777777" w:rsidR="00775F17" w:rsidRPr="00F9522F" w:rsidRDefault="00775F17" w:rsidP="0012269F">
      <w:pPr>
        <w:pStyle w:val="A-Text11"/>
        <w:numPr>
          <w:ilvl w:val="0"/>
          <w:numId w:val="25"/>
        </w:numPr>
        <w:spacing w:before="0" w:line="240" w:lineRule="auto"/>
        <w:ind w:left="714" w:hanging="357"/>
        <w:rPr>
          <w:b/>
        </w:rPr>
      </w:pPr>
      <w:r w:rsidRPr="00F9522F">
        <w:t>Nabíjačky elektromobilov</w:t>
      </w:r>
    </w:p>
    <w:p w14:paraId="223DFCE2" w14:textId="77777777" w:rsidR="00775F17" w:rsidRPr="00F9522F" w:rsidRDefault="00775F17" w:rsidP="00775F17">
      <w:pPr>
        <w:pStyle w:val="A-Text11"/>
      </w:pPr>
      <w:r w:rsidRPr="00F9522F">
        <w:t xml:space="preserve">Podružné meranie - na základe požiadavky investora stavby budú merané a rozúčtovávané spoločné časti objektu medzi budúcich majiteľov. Spresní sa v nasledujúcom stupni PD. </w:t>
      </w:r>
    </w:p>
    <w:p w14:paraId="112D4734" w14:textId="77777777" w:rsidR="00775F17" w:rsidRPr="00F9522F" w:rsidRDefault="00775F17" w:rsidP="00775F17">
      <w:pPr>
        <w:pStyle w:val="A-Text11"/>
      </w:pPr>
      <w:r w:rsidRPr="00F9522F">
        <w:t>Energetická bilancia</w:t>
      </w:r>
    </w:p>
    <w:p w14:paraId="111157FB" w14:textId="77777777" w:rsidR="00775F17" w:rsidRPr="00F9522F" w:rsidRDefault="00775F17" w:rsidP="0012269F">
      <w:pPr>
        <w:pStyle w:val="A-Text11"/>
        <w:numPr>
          <w:ilvl w:val="0"/>
          <w:numId w:val="26"/>
        </w:numPr>
        <w:spacing w:before="0" w:line="240" w:lineRule="auto"/>
        <w:ind w:left="714" w:hanging="357"/>
      </w:pPr>
      <w:r w:rsidRPr="00F9522F">
        <w:t>Pi = 2211 kW</w:t>
      </w:r>
    </w:p>
    <w:p w14:paraId="6168F39A" w14:textId="77777777" w:rsidR="00775F17" w:rsidRPr="00F9522F" w:rsidRDefault="00775F17" w:rsidP="0012269F">
      <w:pPr>
        <w:pStyle w:val="A-Text11"/>
        <w:numPr>
          <w:ilvl w:val="0"/>
          <w:numId w:val="26"/>
        </w:numPr>
        <w:spacing w:before="0" w:line="240" w:lineRule="auto"/>
        <w:ind w:left="714" w:hanging="357"/>
      </w:pPr>
      <w:r w:rsidRPr="00F9522F">
        <w:t>Ps = 410 kW</w:t>
      </w:r>
    </w:p>
    <w:p w14:paraId="1256365C" w14:textId="77777777" w:rsidR="00775F17" w:rsidRPr="00F9522F" w:rsidRDefault="00775F17" w:rsidP="00775F17">
      <w:pPr>
        <w:pStyle w:val="A-Text11"/>
      </w:pPr>
      <w:r w:rsidRPr="00F9522F">
        <w:t>Energetická bilancia bude spresnená v realizačnom stupni. Predpokladaná ročná spotreba objektu  pri 1250 hodinovej využiteľnosti je cca 512,5 MWh/rok.</w:t>
      </w:r>
    </w:p>
    <w:p w14:paraId="3B3A1365" w14:textId="77777777" w:rsidR="00775F17" w:rsidRPr="00F9522F" w:rsidRDefault="00775F17" w:rsidP="00775F17">
      <w:pPr>
        <w:pStyle w:val="A-Text11"/>
      </w:pPr>
      <w:r w:rsidRPr="00F9522F">
        <w:t xml:space="preserve">Umelé osvetlenie </w:t>
      </w:r>
    </w:p>
    <w:p w14:paraId="3E06DFC9" w14:textId="77777777" w:rsidR="00775F17" w:rsidRPr="00F9522F" w:rsidRDefault="00775F17" w:rsidP="00775F17">
      <w:pPr>
        <w:pStyle w:val="A-Text11"/>
      </w:pPr>
      <w:r w:rsidRPr="00F9522F">
        <w:t xml:space="preserve">Osvetlenie v bytových jednotkách riešeného objektu bude navrhnuté podľa charakteru a účelu jednotlivých priestorov v zmysle STN 36 0452. Vývody osvetlenia budú ukončené objímkou E27 so žiarivkou / LED žiarovkou. Spínanie osvetlenia bude riešené vypínačmi. </w:t>
      </w:r>
    </w:p>
    <w:p w14:paraId="28C3F08C" w14:textId="77777777" w:rsidR="00775F17" w:rsidRPr="00F9522F" w:rsidRDefault="00775F17" w:rsidP="00775F17">
      <w:pPr>
        <w:pStyle w:val="A-Text11"/>
      </w:pPr>
      <w:r w:rsidRPr="00F9522F">
        <w:t>Osvetlenie obchodných priestoroch a v spoločných priestorov riešeného objektu bude navrhnuté podľa charakteru a účelu jednotlivých priestorov v zmysle STN EN 12464-1. Osvetlenie bude riešené svietidlami s LED svetelnými zdrojmi. Spínanie osvetlenia bude riešené vypínačmi alebo pohybovými snímačmi.</w:t>
      </w:r>
    </w:p>
    <w:p w14:paraId="3242431F" w14:textId="77777777" w:rsidR="00775F17" w:rsidRPr="00F9522F" w:rsidRDefault="00775F17" w:rsidP="00775F17">
      <w:pPr>
        <w:pStyle w:val="A-Text11"/>
      </w:pPr>
      <w:r w:rsidRPr="00F9522F">
        <w:t xml:space="preserve">Únikové núdzové osvetlenie </w:t>
      </w:r>
    </w:p>
    <w:p w14:paraId="3315B86E" w14:textId="77777777" w:rsidR="00775F17" w:rsidRPr="00F9522F" w:rsidRDefault="00775F17" w:rsidP="00775F17">
      <w:pPr>
        <w:pStyle w:val="A-Text11"/>
      </w:pPr>
      <w:r w:rsidRPr="00F9522F">
        <w:t xml:space="preserve">Núdzové osvetlenie únikových ciest bude riešené podľa STN EN 1838 LED svietidlami s piktogramami napájané z centrálneho batériového zdroja. Svietidla budú inštalované v priestore spoločných priestorov, chodieb a schodísk vyznačujúce smer únikovej cesty. Polohy svietidiel a doba svietenia núdzového osvetlenia únikových ciest budú podľa projektu PO. </w:t>
      </w:r>
    </w:p>
    <w:p w14:paraId="63512854" w14:textId="77777777" w:rsidR="00775F17" w:rsidRPr="00F9522F" w:rsidRDefault="00775F17" w:rsidP="00775F17">
      <w:pPr>
        <w:pStyle w:val="A-Text11"/>
      </w:pPr>
      <w:r w:rsidRPr="00F9522F">
        <w:t>Protipanikové osvetlenie bude riešené pre zamedzenie straty orientácie v priestore. Bude inštalované v priestoroch nad 60m</w:t>
      </w:r>
      <w:r w:rsidRPr="00F9522F">
        <w:rPr>
          <w:vertAlign w:val="superscript"/>
        </w:rPr>
        <w:t>2</w:t>
      </w:r>
      <w:r w:rsidRPr="00F9522F">
        <w:t>.</w:t>
      </w:r>
    </w:p>
    <w:p w14:paraId="7A40A9CF" w14:textId="0BA25B08" w:rsidR="00775F17" w:rsidRPr="00F9522F" w:rsidRDefault="00775F17" w:rsidP="00775F17">
      <w:pPr>
        <w:pStyle w:val="A-Text11"/>
      </w:pPr>
      <w:r w:rsidRPr="00F9522F">
        <w:t xml:space="preserve"> Elektromagnetická kompatibilita EMC</w:t>
      </w:r>
    </w:p>
    <w:p w14:paraId="1DBF69CE" w14:textId="77777777" w:rsidR="00775F17" w:rsidRPr="00F9522F" w:rsidRDefault="00775F17" w:rsidP="00775F17">
      <w:pPr>
        <w:pStyle w:val="A-Text11"/>
      </w:pPr>
      <w:r w:rsidRPr="00F9522F">
        <w:t>Pre zabezpečenie maximálnej spoľahlivosti funkcie jednotlivých elektrických a elektronických zariadení navrhujeme elektromagnetickú kompatibilitu (EMC) riešiť v zmysle STN 33 2000–1. V objekte bude riešená koordinovaná ochrana voči prepätiam prostredníctvom prepäťových ochrán.</w:t>
      </w:r>
    </w:p>
    <w:p w14:paraId="777D6966" w14:textId="77777777" w:rsidR="00A16E28" w:rsidRDefault="00A16E28" w:rsidP="00775F17">
      <w:pPr>
        <w:pStyle w:val="A-Text11"/>
      </w:pPr>
      <w:bookmarkStart w:id="66" w:name="_Toc91150524"/>
    </w:p>
    <w:p w14:paraId="652FD74E" w14:textId="77777777" w:rsidR="00A16E28" w:rsidRDefault="00A16E28" w:rsidP="00775F17">
      <w:pPr>
        <w:pStyle w:val="A-Text11"/>
      </w:pPr>
    </w:p>
    <w:p w14:paraId="7655B37D" w14:textId="21416797" w:rsidR="00775F17" w:rsidRPr="00F9522F" w:rsidRDefault="00775F17" w:rsidP="00775F17">
      <w:pPr>
        <w:pStyle w:val="A-Text11"/>
        <w:rPr>
          <w:i/>
        </w:rPr>
      </w:pPr>
      <w:r w:rsidRPr="00F9522F">
        <w:lastRenderedPageBreak/>
        <w:t>Bleskozvod, uzemnenie a pospojovanie</w:t>
      </w:r>
      <w:bookmarkEnd w:id="66"/>
    </w:p>
    <w:p w14:paraId="50D3AFE1" w14:textId="77777777" w:rsidR="00775F17" w:rsidRPr="00F9522F" w:rsidRDefault="00775F17" w:rsidP="00775F17">
      <w:pPr>
        <w:pStyle w:val="A-Text11"/>
      </w:pPr>
      <w:r w:rsidRPr="00F9522F">
        <w:rPr>
          <w:i/>
        </w:rPr>
        <w:t>O</w:t>
      </w:r>
      <w:r w:rsidRPr="00F9522F">
        <w:t>chranu objektu pred vonkajšími atmosférickými vplyvmi navrhujeme zabezpečiť bleskozvodným zariadením podľa STN EN 62305-1 až 4 s prihliadnutím na architektonické a praktické obmedzenia stavby, kap. 5.3.3 STN EN 62305-3. Trieda LPS sa určí v nasledujúcom stupni PD na základe analýzy rizík.</w:t>
      </w:r>
    </w:p>
    <w:p w14:paraId="640F331D" w14:textId="77777777" w:rsidR="00775F17" w:rsidRPr="00F9522F" w:rsidRDefault="00775F17" w:rsidP="00775F17">
      <w:pPr>
        <w:pStyle w:val="A-Text11"/>
      </w:pPr>
      <w:r w:rsidRPr="00F9522F">
        <w:t xml:space="preserve">Zachytávacia sústava, sústava zvodov, uzemnenie a pospojovanie objektu bude riešené v zmysle STN EN 62305-3 a STN 332000-4-41. </w:t>
      </w:r>
    </w:p>
    <w:p w14:paraId="5381C7DD" w14:textId="77777777" w:rsidR="00775F17" w:rsidRPr="00F9522F" w:rsidRDefault="00775F17" w:rsidP="00775F17">
      <w:pPr>
        <w:pStyle w:val="A-Text11"/>
      </w:pPr>
      <w:bookmarkStart w:id="67" w:name="_Toc91150525"/>
      <w:r w:rsidRPr="00F9522F">
        <w:t>Meranie a regulácia</w:t>
      </w:r>
      <w:bookmarkEnd w:id="67"/>
    </w:p>
    <w:p w14:paraId="34DD59D4" w14:textId="77777777" w:rsidR="00775F17" w:rsidRPr="00F9522F" w:rsidRDefault="00775F17" w:rsidP="00775F17">
      <w:pPr>
        <w:pStyle w:val="A-Text11"/>
      </w:pPr>
      <w:r w:rsidRPr="00F9522F">
        <w:t>V rámci vnútorných silnoprúdových rozvodov bude riešené odvetranie garáží na základe snímania CO v priestoru garáží. Nadriadený systém MaR nie je predmetom silnoprúdovej inštalácie.</w:t>
      </w:r>
    </w:p>
    <w:p w14:paraId="6C5435DE" w14:textId="77777777" w:rsidR="00775F17" w:rsidRPr="00F9522F" w:rsidRDefault="00775F17" w:rsidP="00775F17">
      <w:pPr>
        <w:pStyle w:val="A-Text11"/>
      </w:pPr>
      <w:bookmarkStart w:id="68" w:name="_Toc91150526"/>
      <w:r w:rsidRPr="00F9522F">
        <w:t>Slaboprúdové rozvody</w:t>
      </w:r>
      <w:bookmarkEnd w:id="68"/>
    </w:p>
    <w:p w14:paraId="75A378A9" w14:textId="77777777" w:rsidR="00775F17" w:rsidRPr="00F9522F" w:rsidRDefault="00775F17" w:rsidP="00775F17">
      <w:pPr>
        <w:pStyle w:val="A-Text11"/>
      </w:pPr>
      <w:r w:rsidRPr="00F9522F">
        <w:t xml:space="preserve">Hlavné vnútorné dátové rozvody </w:t>
      </w:r>
    </w:p>
    <w:p w14:paraId="1B58E4B5" w14:textId="77777777" w:rsidR="00775F17" w:rsidRPr="00F9522F" w:rsidRDefault="00775F17" w:rsidP="00775F17">
      <w:pPr>
        <w:pStyle w:val="A-Text11"/>
      </w:pPr>
      <w:r w:rsidRPr="00F9522F">
        <w:t xml:space="preserve">V rámci objektu stavba zabezpečí predprípravu pre zafúknutie optického vlákna providera. Budú vybudované káblové trasy v podobe káblových žľabov, stúpačkových rebríkov na ktorých bude uložená mikrotrubička až po bytový dátový rozvádzač. Na základe požiadavky investora bude spôsob predprípravy riešený pre potreby providera VNET a TELEKOM. </w:t>
      </w:r>
    </w:p>
    <w:p w14:paraId="3C4AAA3A" w14:textId="77777777" w:rsidR="00775F17" w:rsidRPr="00F9522F" w:rsidRDefault="00775F17" w:rsidP="00775F17">
      <w:pPr>
        <w:pStyle w:val="A-Text11"/>
      </w:pPr>
      <w:r w:rsidRPr="00F9522F">
        <w:t>Bytové slaboprúdové rozvody</w:t>
      </w:r>
    </w:p>
    <w:p w14:paraId="17714EEF" w14:textId="77777777" w:rsidR="00775F17" w:rsidRPr="00954742" w:rsidRDefault="00775F17" w:rsidP="00775F17">
      <w:pPr>
        <w:pStyle w:val="A-Text11"/>
      </w:pPr>
      <w:r w:rsidRPr="00F9522F">
        <w:t xml:space="preserve">Dátové rozvody budú riešené hviezdicovo z bytového dátového rozvádzača dátovými </w:t>
      </w:r>
      <w:r w:rsidRPr="00954742">
        <w:t>káblami, ktoré budú ukončené v dátových zásuvkách RJ45, rozvody televízneho signálu budú realizované hviezdicovo koaxiálnymi káblami a ukončené v  zásuvkách TV+RD.</w:t>
      </w:r>
    </w:p>
    <w:p w14:paraId="70EDF4D2" w14:textId="77777777" w:rsidR="00775F17" w:rsidRPr="00954742" w:rsidRDefault="00775F17" w:rsidP="00775F17">
      <w:pPr>
        <w:pStyle w:val="A-Text11"/>
      </w:pPr>
      <w:r w:rsidRPr="00954742">
        <w:t xml:space="preserve">V bytových dátových rozvádzačoch budú inštalované aktívne prvky podľa požiadavky užívateľa. Napájanie aktívnych prvkov je v predmete silnoprúdových rozvodov. </w:t>
      </w:r>
    </w:p>
    <w:p w14:paraId="7891399F" w14:textId="77777777" w:rsidR="00775F17" w:rsidRPr="00954742" w:rsidRDefault="00775F17" w:rsidP="00775F17">
      <w:pPr>
        <w:pStyle w:val="A-Text11"/>
      </w:pPr>
      <w:r w:rsidRPr="00954742">
        <w:t xml:space="preserve">Domáci telefón DT </w:t>
      </w:r>
    </w:p>
    <w:p w14:paraId="765C8EF5" w14:textId="77777777" w:rsidR="00775F17" w:rsidRPr="00954742" w:rsidRDefault="00775F17" w:rsidP="00775F17">
      <w:pPr>
        <w:pStyle w:val="A-Text11"/>
      </w:pPr>
      <w:r w:rsidRPr="00954742">
        <w:t>Pre dorozumievanie medzi vnútornou domácou jednotkou a vonkajšou centrálnou nástennou jednotkou s klávesnicou navrhujeme inštalovať v objekte systém domáceho telefónu.</w:t>
      </w:r>
    </w:p>
    <w:p w14:paraId="0EE76902" w14:textId="77777777" w:rsidR="00775F17" w:rsidRPr="00954742" w:rsidRDefault="00775F17" w:rsidP="00775F17">
      <w:pPr>
        <w:pStyle w:val="A-Text11"/>
      </w:pPr>
      <w:r w:rsidRPr="00954742">
        <w:t>Systém kontroly vstupov SKV</w:t>
      </w:r>
    </w:p>
    <w:p w14:paraId="5EB43A68" w14:textId="77777777" w:rsidR="00775F17" w:rsidRPr="00954742" w:rsidRDefault="00775F17" w:rsidP="00775F17">
      <w:pPr>
        <w:pStyle w:val="A-Text11"/>
      </w:pPr>
      <w:r w:rsidRPr="00954742">
        <w:t xml:space="preserve">Pre ovládanie a kontrolu vstupov do budovy bude inštalovaný systém SKV, ktorý bude ovládať všetky elektromagnetické zámky, brány, prostredníctvom ich ovládacích jednotiek. Otvorenie vchodových dverí ako aj vstup do garáže bude možný pomocou bezkontaktnej elektromagnetickej karty, alebo na objednávku aj diaľkovým ovládačom s unikátnym prístupovým kódom. </w:t>
      </w:r>
    </w:p>
    <w:p w14:paraId="5E6035C2" w14:textId="2DB763DC" w:rsidR="00775F17" w:rsidRPr="00954742" w:rsidRDefault="00775F17" w:rsidP="00775F17">
      <w:pPr>
        <w:pStyle w:val="A-Text11"/>
      </w:pPr>
      <w:r w:rsidRPr="00954742">
        <w:t xml:space="preserve">Elektrická požiarna signalizácia EPS </w:t>
      </w:r>
    </w:p>
    <w:p w14:paraId="2BFB3F00" w14:textId="77777777" w:rsidR="00775F17" w:rsidRPr="00954742" w:rsidRDefault="00775F17" w:rsidP="00775F17">
      <w:pPr>
        <w:pStyle w:val="A-Text11"/>
      </w:pPr>
      <w:r w:rsidRPr="00954742">
        <w:t>EPS bude navrhnutá na základe podkladov z projektu požiarnej ochrany a stavebnej časti, z ktorých vyplynú nutné opatrenia v oblasti inštalácie požiarno-bezpečnostných zariadení. EPS bude inštalovaná v priestore parkoviska 1.PP. Návrh bude uvažovať so zapracovaním moderného adresného systému tak, aby EPS bola funkčná, účelná a vyhovovala nárokom na vybavenie daného objektu. Všetky vznikajúce požiare za normálneho stavu budú signalizované samočinnými hlásičmi požiaru hneď v počiatočnom štádiu.</w:t>
      </w:r>
    </w:p>
    <w:p w14:paraId="73A1D5D8" w14:textId="51F08970" w:rsidR="00775F17" w:rsidRPr="00954742" w:rsidRDefault="00775F17" w:rsidP="00775F17">
      <w:pPr>
        <w:pStyle w:val="A-Text11"/>
        <w:rPr>
          <w:lang w:val="cs-CZ"/>
        </w:rPr>
      </w:pPr>
      <w:r w:rsidRPr="00954742">
        <w:rPr>
          <w:lang w:val="cs-CZ"/>
        </w:rPr>
        <w:lastRenderedPageBreak/>
        <w:t>Úlohou elektrickej požiarnej signalizácie je v prípade požiaru čo najskôr identifikovať jeho zdroj a vyslať optické a akustické signály a indikácie tak, aby bolo možné vykonať príslušné opatrenia. EPS odovzdáva informácie o požiari osobám určeným na vykonanie požiarneho zásahu, prípadne uvádza do činnosti zariadenia, ktoré napomáhajú evakuácii objektu a bránia rozšíreniu požiaru, resp. priamo vykonávajú protipožiarny zásah. Všeobecný poplach od systému EPS bude signalizovaný diaľkovo na pult centralizovanej ochrany.</w:t>
      </w:r>
    </w:p>
    <w:p w14:paraId="11CE2B5F" w14:textId="18230522" w:rsidR="0049011A" w:rsidRPr="00954742" w:rsidRDefault="0049011A" w:rsidP="0049011A">
      <w:pPr>
        <w:pStyle w:val="A-Text11"/>
        <w:rPr>
          <w:b/>
          <w:bCs/>
        </w:rPr>
      </w:pPr>
      <w:bookmarkStart w:id="69" w:name="_Toc91150527"/>
      <w:r w:rsidRPr="00954742">
        <w:rPr>
          <w:b/>
          <w:bCs/>
        </w:rPr>
        <w:t>SO 304 Prípojka nízk</w:t>
      </w:r>
      <w:r w:rsidR="00E968CD">
        <w:rPr>
          <w:b/>
          <w:bCs/>
        </w:rPr>
        <w:t>e</w:t>
      </w:r>
      <w:r w:rsidRPr="00954742">
        <w:rPr>
          <w:b/>
          <w:bCs/>
        </w:rPr>
        <w:t>ho napätia</w:t>
      </w:r>
      <w:bookmarkEnd w:id="69"/>
    </w:p>
    <w:p w14:paraId="2D6290CA" w14:textId="77777777" w:rsidR="0049011A" w:rsidRPr="00954742" w:rsidRDefault="0049011A" w:rsidP="0049011A">
      <w:pPr>
        <w:pStyle w:val="A-Text11"/>
      </w:pPr>
      <w:r w:rsidRPr="00954742">
        <w:t>Rozvodná sústava</w:t>
      </w:r>
      <w:r w:rsidRPr="00954742">
        <w:tab/>
      </w:r>
    </w:p>
    <w:p w14:paraId="39594E7B" w14:textId="77777777" w:rsidR="0049011A" w:rsidRPr="00954742" w:rsidRDefault="0049011A" w:rsidP="0012269F">
      <w:pPr>
        <w:pStyle w:val="A-Text11"/>
        <w:numPr>
          <w:ilvl w:val="0"/>
          <w:numId w:val="27"/>
        </w:numPr>
        <w:spacing w:before="0" w:line="240" w:lineRule="auto"/>
      </w:pPr>
      <w:r w:rsidRPr="00954742">
        <w:t xml:space="preserve">3+PEN, str., 50Hz 230/400V/TN-C </w:t>
      </w:r>
      <w:r w:rsidRPr="00954742">
        <w:tab/>
      </w:r>
    </w:p>
    <w:p w14:paraId="3E7E3369" w14:textId="3732075D" w:rsidR="0049011A" w:rsidRPr="00954742" w:rsidRDefault="0049011A" w:rsidP="0012269F">
      <w:pPr>
        <w:pStyle w:val="A-Text11"/>
        <w:spacing w:before="0" w:line="240" w:lineRule="auto"/>
      </w:pPr>
      <w:r w:rsidRPr="00954742">
        <w:tab/>
        <w:t>Druhy ochranných opatrení pred zásahom elektrickým prúdom</w:t>
      </w:r>
    </w:p>
    <w:p w14:paraId="0A87071C" w14:textId="77777777" w:rsidR="0049011A" w:rsidRPr="00954742" w:rsidRDefault="0049011A" w:rsidP="0012269F">
      <w:pPr>
        <w:pStyle w:val="A-Text11"/>
        <w:numPr>
          <w:ilvl w:val="0"/>
          <w:numId w:val="27"/>
        </w:numPr>
        <w:spacing w:before="0" w:line="240" w:lineRule="auto"/>
      </w:pPr>
      <w:r w:rsidRPr="00954742">
        <w:t>Riešené v zmysle STN 33 2000-4-41</w:t>
      </w:r>
    </w:p>
    <w:p w14:paraId="1E0392A9" w14:textId="77777777" w:rsidR="0049011A" w:rsidRPr="00954742" w:rsidRDefault="0049011A" w:rsidP="0049011A">
      <w:pPr>
        <w:pStyle w:val="A-Text11"/>
      </w:pPr>
      <w:r w:rsidRPr="00954742">
        <w:t>Skupina elektrických zariadení podľa. Vyhl. Ministerstva práce, sociálnych vecí a rodiny SR č.508/2009 Zb.z. § 2, odst.1., resp. prílohy 1, časť III</w:t>
      </w:r>
    </w:p>
    <w:p w14:paraId="0A1E3165" w14:textId="77777777" w:rsidR="0049011A" w:rsidRPr="00954742" w:rsidRDefault="0049011A" w:rsidP="0095439F">
      <w:pPr>
        <w:pStyle w:val="A-Text11"/>
        <w:numPr>
          <w:ilvl w:val="0"/>
          <w:numId w:val="27"/>
        </w:numPr>
      </w:pPr>
      <w:r w:rsidRPr="00954742">
        <w:t>Skupina „B“</w:t>
      </w:r>
    </w:p>
    <w:p w14:paraId="5EA4F383" w14:textId="77777777" w:rsidR="0049011A" w:rsidRPr="00954742" w:rsidRDefault="0049011A" w:rsidP="0049011A">
      <w:pPr>
        <w:pStyle w:val="A-Text11"/>
      </w:pPr>
      <w:r w:rsidRPr="00954742">
        <w:t>Stupeň zabezpečenia dodávky el. energie v zmysle STN 34 1610 § 16 107</w:t>
      </w:r>
    </w:p>
    <w:p w14:paraId="791EBFF4" w14:textId="77777777" w:rsidR="0049011A" w:rsidRPr="00954742" w:rsidRDefault="0049011A" w:rsidP="0095439F">
      <w:pPr>
        <w:pStyle w:val="A-Text11"/>
        <w:numPr>
          <w:ilvl w:val="0"/>
          <w:numId w:val="27"/>
        </w:numPr>
      </w:pPr>
      <w:r w:rsidRPr="00954742">
        <w:t xml:space="preserve">Tretí </w:t>
      </w:r>
    </w:p>
    <w:p w14:paraId="2384C4ED" w14:textId="77777777" w:rsidR="0049011A" w:rsidRPr="00954742" w:rsidRDefault="0049011A" w:rsidP="0049011A">
      <w:pPr>
        <w:pStyle w:val="A-Text11"/>
      </w:pPr>
      <w:bookmarkStart w:id="70" w:name="_Toc91150528"/>
      <w:r w:rsidRPr="00954742">
        <w:t>Technické riešenie</w:t>
      </w:r>
      <w:bookmarkEnd w:id="70"/>
    </w:p>
    <w:p w14:paraId="378380EE" w14:textId="77777777" w:rsidR="0049011A" w:rsidRPr="00954742" w:rsidRDefault="0049011A" w:rsidP="0049011A">
      <w:pPr>
        <w:pStyle w:val="A-Text11"/>
      </w:pPr>
      <w:r w:rsidRPr="00954742">
        <w:t>Predmetom tejto časti PD je prípojka NN z existujúcej trafostanice TS0304-000. Z rozvádzača NN trafostanice budú vedené káble typu NAYY, ktoré budú ukončené v hlavnom elektromerovom rozvádzači objektu, ktorý bude inštalovaný v rozvodni NN na 1.NP. Káble budú vedené v zemi pod terénom, prípadne v chráničkách pod komunikáciou a v priestore podzemnej garáže na káblovom žľabe pod stropom.</w:t>
      </w:r>
    </w:p>
    <w:p w14:paraId="58806D21" w14:textId="77777777" w:rsidR="0049011A" w:rsidRPr="00954742" w:rsidRDefault="0049011A" w:rsidP="0049011A">
      <w:pPr>
        <w:pStyle w:val="A-Text11"/>
        <w:rPr>
          <w:b/>
          <w:bCs/>
        </w:rPr>
      </w:pPr>
      <w:bookmarkStart w:id="71" w:name="_Toc91150529"/>
      <w:r w:rsidRPr="00954742">
        <w:rPr>
          <w:b/>
          <w:bCs/>
        </w:rPr>
        <w:t>SO 305 Prípojka slaboprúdu</w:t>
      </w:r>
      <w:bookmarkEnd w:id="71"/>
    </w:p>
    <w:p w14:paraId="51E77742" w14:textId="77777777" w:rsidR="0049011A" w:rsidRPr="00954742" w:rsidRDefault="0049011A" w:rsidP="0049011A">
      <w:pPr>
        <w:pStyle w:val="A-Text11"/>
      </w:pPr>
      <w:bookmarkStart w:id="72" w:name="_Toc91150530"/>
      <w:r w:rsidRPr="00954742">
        <w:t>VNET</w:t>
      </w:r>
      <w:bookmarkEnd w:id="72"/>
    </w:p>
    <w:p w14:paraId="37D70AE0" w14:textId="77777777" w:rsidR="0049011A" w:rsidRPr="00954742" w:rsidRDefault="0049011A" w:rsidP="0049011A">
      <w:pPr>
        <w:pStyle w:val="A-Text11"/>
      </w:pPr>
      <w:r w:rsidRPr="00954742">
        <w:t>Optická prípojka operátora VNET bude realizovaná napojením na existujúcu trasu operátora na ulici Banšelova pomocou T-Matrix spojky. Od danej spojky bude vedená mikrotrubička v HDPE rúre ukončená v SLP rozvodni alebo Racku v priestore garáže objektu na 1.PP.</w:t>
      </w:r>
    </w:p>
    <w:p w14:paraId="6C88E59E" w14:textId="77777777" w:rsidR="0049011A" w:rsidRPr="00954742" w:rsidRDefault="0049011A" w:rsidP="0049011A">
      <w:pPr>
        <w:pStyle w:val="A-Text11"/>
      </w:pPr>
      <w:bookmarkStart w:id="73" w:name="_Toc91150531"/>
      <w:r w:rsidRPr="00954742">
        <w:t>TELEKOM</w:t>
      </w:r>
      <w:bookmarkEnd w:id="73"/>
    </w:p>
    <w:p w14:paraId="5ADDE08C" w14:textId="77777777" w:rsidR="0049011A" w:rsidRPr="00954742" w:rsidRDefault="0049011A" w:rsidP="0049011A">
      <w:pPr>
        <w:pStyle w:val="A-Text11"/>
      </w:pPr>
      <w:r w:rsidRPr="00954742">
        <w:t>Optická prípojka operátora TELEKOM bude realizovaná napojením na existujúcu trasu operátora na ulici Galvaniho pomocou MDS3 spojky. Od danej spojky bude vedená multirúra DB_7x12/8mm v HDPE chráničke v zemi ukončená v SLP rozvodni alebo Racku v priestore garáže objektu na 1.PP.</w:t>
      </w:r>
    </w:p>
    <w:p w14:paraId="456FA6D1" w14:textId="2DBD9522" w:rsidR="0049011A" w:rsidRPr="00954742" w:rsidRDefault="0049011A" w:rsidP="0049011A">
      <w:pPr>
        <w:pStyle w:val="A-Text11"/>
        <w:rPr>
          <w:b/>
          <w:bCs/>
        </w:rPr>
      </w:pPr>
      <w:bookmarkStart w:id="74" w:name="_Toc91150532"/>
      <w:r w:rsidRPr="00954742">
        <w:rPr>
          <w:b/>
          <w:bCs/>
        </w:rPr>
        <w:t>SO 405 Areálové rozvody nízk</w:t>
      </w:r>
      <w:r w:rsidR="0013629E">
        <w:rPr>
          <w:b/>
          <w:bCs/>
        </w:rPr>
        <w:t>e</w:t>
      </w:r>
      <w:r w:rsidRPr="00954742">
        <w:rPr>
          <w:b/>
          <w:bCs/>
        </w:rPr>
        <w:t>ho napätia</w:t>
      </w:r>
      <w:bookmarkEnd w:id="74"/>
    </w:p>
    <w:p w14:paraId="675F73C5" w14:textId="77777777" w:rsidR="0049011A" w:rsidRPr="00954742" w:rsidRDefault="0049011A" w:rsidP="0049011A">
      <w:pPr>
        <w:pStyle w:val="A-Text11"/>
      </w:pPr>
      <w:r w:rsidRPr="00954742">
        <w:t>Ak v rámci asanácie existujúcich objektov v riešenom území dôjde k nálezu nezameraných existujúcich sietí nesúvisiacich, budú tieto siete preložené do nových polôh mimo daný asanovaný objekt, prípadne budú zrušené.</w:t>
      </w:r>
    </w:p>
    <w:p w14:paraId="33EBC483" w14:textId="77777777" w:rsidR="0049011A" w:rsidRPr="00954742" w:rsidRDefault="0049011A" w:rsidP="0049011A">
      <w:pPr>
        <w:pStyle w:val="A-Text11"/>
        <w:rPr>
          <w:b/>
          <w:bCs/>
        </w:rPr>
      </w:pPr>
      <w:bookmarkStart w:id="75" w:name="_Toc91150533"/>
      <w:r w:rsidRPr="00954742">
        <w:rPr>
          <w:b/>
          <w:bCs/>
        </w:rPr>
        <w:t>SO 406 Osvetlenie vnútrobloku</w:t>
      </w:r>
      <w:bookmarkEnd w:id="75"/>
    </w:p>
    <w:p w14:paraId="76DEAC34" w14:textId="77777777" w:rsidR="0049011A" w:rsidRPr="00954742" w:rsidRDefault="0049011A" w:rsidP="0049011A">
      <w:pPr>
        <w:pStyle w:val="A-Text11"/>
      </w:pPr>
      <w:r w:rsidRPr="00954742">
        <w:t>Rozvodná sústava</w:t>
      </w:r>
    </w:p>
    <w:p w14:paraId="57814631" w14:textId="77777777" w:rsidR="0049011A" w:rsidRPr="00954742" w:rsidRDefault="0049011A" w:rsidP="0012269F">
      <w:pPr>
        <w:pStyle w:val="A-Text11"/>
        <w:numPr>
          <w:ilvl w:val="0"/>
          <w:numId w:val="28"/>
        </w:numPr>
        <w:spacing w:before="0" w:line="240" w:lineRule="auto"/>
        <w:ind w:left="714" w:hanging="357"/>
      </w:pPr>
      <w:r w:rsidRPr="00954742">
        <w:t>3+PEN, str., 50Hz 230/400V/TN-C</w:t>
      </w:r>
    </w:p>
    <w:p w14:paraId="156EB705" w14:textId="77777777" w:rsidR="0049011A" w:rsidRPr="00954742" w:rsidRDefault="0049011A" w:rsidP="0012269F">
      <w:pPr>
        <w:pStyle w:val="A-Text11"/>
        <w:numPr>
          <w:ilvl w:val="0"/>
          <w:numId w:val="28"/>
        </w:numPr>
        <w:spacing w:before="0" w:line="240" w:lineRule="auto"/>
        <w:ind w:left="714" w:hanging="357"/>
      </w:pPr>
      <w:r w:rsidRPr="00954742">
        <w:lastRenderedPageBreak/>
        <w:t>3+N+PE, str., 50Hz 230/400V/TN-C-S</w:t>
      </w:r>
    </w:p>
    <w:p w14:paraId="0AB90688" w14:textId="77777777" w:rsidR="0049011A" w:rsidRPr="00954742" w:rsidRDefault="0049011A" w:rsidP="0049011A">
      <w:pPr>
        <w:pStyle w:val="A-Text11"/>
      </w:pPr>
      <w:r w:rsidRPr="00954742">
        <w:t>Druhy ochranných opatrení pred zásahom elektrickým prúdom</w:t>
      </w:r>
    </w:p>
    <w:p w14:paraId="773C3910" w14:textId="77777777" w:rsidR="0049011A" w:rsidRPr="00954742" w:rsidRDefault="0049011A" w:rsidP="0095439F">
      <w:pPr>
        <w:pStyle w:val="A-Text11"/>
        <w:numPr>
          <w:ilvl w:val="0"/>
          <w:numId w:val="29"/>
        </w:numPr>
      </w:pPr>
      <w:r w:rsidRPr="00954742">
        <w:t>Riešené v zmysle STN 33 2000-4-41</w:t>
      </w:r>
    </w:p>
    <w:p w14:paraId="541BBAB7" w14:textId="77777777" w:rsidR="0049011A" w:rsidRPr="00954742" w:rsidRDefault="0049011A" w:rsidP="0049011A">
      <w:pPr>
        <w:pStyle w:val="A-Text11"/>
      </w:pPr>
      <w:r w:rsidRPr="00954742">
        <w:t>Skupina elektrických zariadení podľa. Vyhl. Ministerstva práce, sociálnych vecí a rodiny SR č.508/2009 Zb.z. § 2, odst.1., resp. prílohy 1, časť III</w:t>
      </w:r>
    </w:p>
    <w:p w14:paraId="46D6EF53" w14:textId="77777777" w:rsidR="0049011A" w:rsidRPr="00954742" w:rsidRDefault="0049011A" w:rsidP="0095439F">
      <w:pPr>
        <w:pStyle w:val="A-Text11"/>
        <w:numPr>
          <w:ilvl w:val="0"/>
          <w:numId w:val="29"/>
        </w:numPr>
      </w:pPr>
      <w:r w:rsidRPr="00954742">
        <w:t>Skupina „B“</w:t>
      </w:r>
    </w:p>
    <w:p w14:paraId="4FD7EBB1" w14:textId="77777777" w:rsidR="0049011A" w:rsidRPr="00954742" w:rsidRDefault="0049011A" w:rsidP="0049011A">
      <w:pPr>
        <w:pStyle w:val="A-Text11"/>
      </w:pPr>
      <w:r w:rsidRPr="00954742">
        <w:t>Stupeň zabezpečenia dodávky el. energie v zmysle STN 34 1610 § 16 107</w:t>
      </w:r>
    </w:p>
    <w:p w14:paraId="2979B374" w14:textId="77777777" w:rsidR="0049011A" w:rsidRPr="00954742" w:rsidRDefault="0049011A" w:rsidP="0095439F">
      <w:pPr>
        <w:pStyle w:val="A-Text11"/>
        <w:numPr>
          <w:ilvl w:val="0"/>
          <w:numId w:val="29"/>
        </w:numPr>
      </w:pPr>
      <w:r w:rsidRPr="00954742">
        <w:t xml:space="preserve">Tretí </w:t>
      </w:r>
    </w:p>
    <w:p w14:paraId="657CAD32" w14:textId="77777777" w:rsidR="0049011A" w:rsidRPr="00954742" w:rsidRDefault="0049011A" w:rsidP="0049011A">
      <w:pPr>
        <w:pStyle w:val="A-Text11"/>
      </w:pPr>
      <w:r w:rsidRPr="00954742">
        <w:t>Technické riešenie</w:t>
      </w:r>
    </w:p>
    <w:p w14:paraId="7B0D37AB" w14:textId="77777777" w:rsidR="0049011A" w:rsidRPr="00954742" w:rsidRDefault="0049011A" w:rsidP="0049011A">
      <w:pPr>
        <w:pStyle w:val="A-Text11"/>
        <w:rPr>
          <w:b/>
          <w:bCs/>
          <w:iCs/>
        </w:rPr>
      </w:pPr>
      <w:r w:rsidRPr="00954742">
        <w:rPr>
          <w:iCs/>
        </w:rPr>
        <w:t>Osvetlenie komunikácie je navrhnuté v zmysle STN EN 13201-2/2017 s výberom tried osvetlenia v zmysle TNI CEN/TR 13201-1/2015. Trieda osvetlenia pre komunikáciu P5.</w:t>
      </w:r>
    </w:p>
    <w:p w14:paraId="1B979401" w14:textId="77777777" w:rsidR="0049011A" w:rsidRPr="00954742" w:rsidRDefault="0049011A" w:rsidP="0049011A">
      <w:pPr>
        <w:pStyle w:val="A-Text11"/>
      </w:pPr>
      <w:r w:rsidRPr="00954742">
        <w:t>V rámci areálu objektu budú svietidlá osadené na stožiaroch výšky 3m bez výložníkov. Svietidlá budú napojené na rozvod verejného osvetlenia a spínané spolu s ostatnými VO v danej lokalite.</w:t>
      </w:r>
    </w:p>
    <w:p w14:paraId="2115BA8A" w14:textId="77777777" w:rsidR="0049011A" w:rsidRPr="00954742" w:rsidRDefault="0049011A" w:rsidP="0049011A">
      <w:pPr>
        <w:pStyle w:val="A-Text11"/>
        <w:rPr>
          <w:b/>
        </w:rPr>
      </w:pPr>
      <w:r w:rsidRPr="00954742">
        <w:t>Typy svietidiel, stožiarov a výložníkov musia byť v súlade s technologickým manuálom mesta Bratislava a s požiadavkami správcu verejného osvetlenia.</w:t>
      </w:r>
    </w:p>
    <w:p w14:paraId="619D873E" w14:textId="0120051D" w:rsidR="006A3F74" w:rsidRPr="00954742" w:rsidRDefault="005F46EB" w:rsidP="006A3F74">
      <w:pPr>
        <w:pStyle w:val="A-Text11"/>
        <w:ind w:firstLine="0"/>
        <w:rPr>
          <w:b/>
          <w:bCs/>
        </w:rPr>
      </w:pPr>
      <w:r w:rsidRPr="00954742">
        <w:rPr>
          <w:b/>
          <w:bCs/>
        </w:rPr>
        <w:t>Opis technického a technologického riešenia stavebných objektov a prevádzkov</w:t>
      </w:r>
      <w:r w:rsidR="00FD01C0" w:rsidRPr="00954742">
        <w:rPr>
          <w:b/>
          <w:bCs/>
        </w:rPr>
        <w:t>ých</w:t>
      </w:r>
      <w:r w:rsidRPr="00954742">
        <w:rPr>
          <w:b/>
          <w:bCs/>
        </w:rPr>
        <w:t xml:space="preserve"> súbor</w:t>
      </w:r>
      <w:r w:rsidR="0085497E" w:rsidRPr="00954742">
        <w:rPr>
          <w:b/>
          <w:bCs/>
        </w:rPr>
        <w:t>ov</w:t>
      </w:r>
      <w:r w:rsidRPr="00954742">
        <w:rPr>
          <w:b/>
          <w:bCs/>
        </w:rPr>
        <w:t xml:space="preserve"> </w:t>
      </w:r>
      <w:r w:rsidR="005E65B7" w:rsidRPr="00954742">
        <w:rPr>
          <w:b/>
          <w:bCs/>
        </w:rPr>
        <w:t xml:space="preserve">dotknutého územia </w:t>
      </w:r>
      <w:r w:rsidRPr="00954742">
        <w:rPr>
          <w:b/>
          <w:bCs/>
        </w:rPr>
        <w:t>Bytov</w:t>
      </w:r>
      <w:r w:rsidR="005E65B7" w:rsidRPr="00954742">
        <w:rPr>
          <w:b/>
          <w:bCs/>
        </w:rPr>
        <w:t>ého</w:t>
      </w:r>
      <w:r w:rsidRPr="00954742">
        <w:rPr>
          <w:b/>
          <w:bCs/>
        </w:rPr>
        <w:t xml:space="preserve"> dom</w:t>
      </w:r>
      <w:r w:rsidR="005E65B7" w:rsidRPr="00954742">
        <w:rPr>
          <w:b/>
          <w:bCs/>
        </w:rPr>
        <w:t>u</w:t>
      </w:r>
      <w:r w:rsidRPr="00954742">
        <w:rPr>
          <w:b/>
          <w:bCs/>
        </w:rPr>
        <w:t xml:space="preserve"> Terchovská</w:t>
      </w:r>
      <w:bookmarkStart w:id="76" w:name="_Toc85415844"/>
    </w:p>
    <w:p w14:paraId="6E49DE48" w14:textId="77777777" w:rsidR="001C0AA3" w:rsidRPr="00954742" w:rsidRDefault="001C0AA3" w:rsidP="001C0AA3">
      <w:pPr>
        <w:pStyle w:val="A-Text11"/>
        <w:ind w:firstLine="0"/>
        <w:rPr>
          <w:b/>
          <w:bCs/>
        </w:rPr>
      </w:pPr>
      <w:bookmarkStart w:id="77" w:name="_Toc91148305"/>
      <w:r w:rsidRPr="00954742">
        <w:rPr>
          <w:b/>
          <w:bCs/>
        </w:rPr>
        <w:t>SO 102 Príprava územia dotknutého územia</w:t>
      </w:r>
      <w:bookmarkEnd w:id="77"/>
    </w:p>
    <w:p w14:paraId="22E155FC" w14:textId="004B8F7B" w:rsidR="001C0AA3" w:rsidRPr="00954742" w:rsidRDefault="001C0AA3" w:rsidP="001C0AA3">
      <w:pPr>
        <w:pStyle w:val="A-Text11"/>
      </w:pPr>
      <w:r w:rsidRPr="00954742">
        <w:t>Predmetom tohto stavebného objektu je príprava predmetného územia, odstránenie existujúcich objektov (bilboardov, oplotenia, múrikov), ale aj odstránenie spevnených asfaltových a betónových plôch. V rámci prípravy územia bude realizovaná demontáž stožiarov verejného osvetlenia, stožiarov cestnej svetelnej signalizácie a odstránenie stromov určených na výrub resp. presadenie.</w:t>
      </w:r>
    </w:p>
    <w:p w14:paraId="215C022E" w14:textId="77777777" w:rsidR="002D37AA" w:rsidRPr="00954742" w:rsidRDefault="002D37AA" w:rsidP="002D37AA">
      <w:pPr>
        <w:pStyle w:val="A-Text11"/>
        <w:ind w:firstLine="0"/>
        <w:rPr>
          <w:b/>
          <w:bCs/>
        </w:rPr>
      </w:pPr>
      <w:bookmarkStart w:id="78" w:name="_Toc91148306"/>
      <w:r w:rsidRPr="00954742">
        <w:rPr>
          <w:b/>
          <w:bCs/>
        </w:rPr>
        <w:t>SO 104 Hrubé terénne úpravy dotknutého územia</w:t>
      </w:r>
      <w:bookmarkEnd w:id="78"/>
    </w:p>
    <w:p w14:paraId="61CC612C" w14:textId="77777777" w:rsidR="002D37AA" w:rsidRPr="00954742" w:rsidRDefault="002D37AA" w:rsidP="002D37AA">
      <w:pPr>
        <w:pStyle w:val="A-Text11"/>
      </w:pPr>
      <w:r w:rsidRPr="00954742">
        <w:t xml:space="preserve">Predmetom tohto stavebného objektu je úprava predmetného územia, vykonanie odhumusovania, úprava zvyšného územia. Hlavné práce sa týkajú výkopových prác na dosiahnutie pomocných rovín HTU, pre novonavrhovaný objekt bytového domu a ostatných pomocných spevnených plôch.    </w:t>
      </w:r>
    </w:p>
    <w:p w14:paraId="78B8B33E" w14:textId="5CD72343" w:rsidR="002D37AA" w:rsidRPr="00954742" w:rsidRDefault="002D37AA" w:rsidP="002D37AA">
      <w:pPr>
        <w:pStyle w:val="A-Text11"/>
      </w:pPr>
      <w:bookmarkStart w:id="79" w:name="_Toc91148307"/>
      <w:r w:rsidRPr="00954742">
        <w:t>Úprava terénu</w:t>
      </w:r>
      <w:bookmarkEnd w:id="79"/>
    </w:p>
    <w:p w14:paraId="60C13EB1" w14:textId="77777777" w:rsidR="002D37AA" w:rsidRPr="00954742" w:rsidRDefault="002D37AA" w:rsidP="002D37AA">
      <w:pPr>
        <w:pStyle w:val="A-Text11"/>
      </w:pPr>
      <w:r w:rsidRPr="00954742">
        <w:t>V rámci úpravy terénu budú realizované nasledovné činnosti:</w:t>
      </w:r>
    </w:p>
    <w:p w14:paraId="708EFF2A" w14:textId="77777777" w:rsidR="002D37AA" w:rsidRPr="00954742" w:rsidRDefault="002D37AA" w:rsidP="0012269F">
      <w:pPr>
        <w:pStyle w:val="A-Text11"/>
        <w:numPr>
          <w:ilvl w:val="0"/>
          <w:numId w:val="45"/>
        </w:numPr>
        <w:spacing w:before="0" w:line="240" w:lineRule="auto"/>
        <w:ind w:left="357" w:hanging="357"/>
      </w:pPr>
      <w:r w:rsidRPr="00954742">
        <w:t>Odstránenie pôvodného trávnatého porastu na riešenej ploche.</w:t>
      </w:r>
    </w:p>
    <w:p w14:paraId="38DFD98E" w14:textId="77777777" w:rsidR="002D37AA" w:rsidRPr="00954742" w:rsidRDefault="002D37AA" w:rsidP="0012269F">
      <w:pPr>
        <w:pStyle w:val="A-Text11"/>
        <w:numPr>
          <w:ilvl w:val="0"/>
          <w:numId w:val="45"/>
        </w:numPr>
        <w:spacing w:before="0" w:line="240" w:lineRule="auto"/>
        <w:ind w:left="357" w:hanging="357"/>
      </w:pPr>
      <w:r w:rsidRPr="00954742">
        <w:t>Odstránenie navážok z predmetného územia.</w:t>
      </w:r>
    </w:p>
    <w:p w14:paraId="7EA9FA9E" w14:textId="77777777" w:rsidR="002D37AA" w:rsidRPr="00954742" w:rsidRDefault="002D37AA" w:rsidP="0012269F">
      <w:pPr>
        <w:pStyle w:val="A-Text11"/>
        <w:numPr>
          <w:ilvl w:val="0"/>
          <w:numId w:val="45"/>
        </w:numPr>
        <w:spacing w:before="0" w:line="240" w:lineRule="auto"/>
        <w:ind w:left="357" w:hanging="357"/>
      </w:pPr>
      <w:r w:rsidRPr="00954742">
        <w:t>Vykonanie odhumusovania v príslušnej hrúbke (podľa pedologického prieskumu)</w:t>
      </w:r>
    </w:p>
    <w:p w14:paraId="5A007E07" w14:textId="77777777" w:rsidR="002D37AA" w:rsidRPr="00954742" w:rsidRDefault="002D37AA" w:rsidP="0012269F">
      <w:pPr>
        <w:pStyle w:val="A-Text11"/>
        <w:numPr>
          <w:ilvl w:val="0"/>
          <w:numId w:val="45"/>
        </w:numPr>
        <w:spacing w:before="0" w:line="240" w:lineRule="auto"/>
        <w:ind w:left="357" w:hanging="357"/>
      </w:pPr>
      <w:r w:rsidRPr="00954742">
        <w:t>Pri napojení na existujúcu komunikáciu vybúranie príslušných vrstiev voz.</w:t>
      </w:r>
      <w:r w:rsidRPr="00954742">
        <w:rPr>
          <w:vertAlign w:val="superscript"/>
        </w:rPr>
        <w:tab/>
      </w:r>
    </w:p>
    <w:p w14:paraId="08927ED4" w14:textId="77777777" w:rsidR="002D37AA" w:rsidRPr="00954742" w:rsidRDefault="002D37AA" w:rsidP="002D37AA">
      <w:pPr>
        <w:pStyle w:val="A-Text11"/>
      </w:pPr>
      <w:r w:rsidRPr="00954742">
        <w:t xml:space="preserve">Vybúrané materiály budú odvezené na príslušnú certifikovanú skládku, ktorá bude určená investorom. Odstránené materiály a zeminy budú dočasne umiestnené na skládku určenú investorom, ak sa predpokladá využitie daného materiálu a jeho opätovné použitie počas výstavby navrhovaných trás. </w:t>
      </w:r>
    </w:p>
    <w:p w14:paraId="3F271D7F" w14:textId="77777777" w:rsidR="00A16E28" w:rsidRDefault="00A16E28" w:rsidP="00E51F89">
      <w:pPr>
        <w:pStyle w:val="A-Text11"/>
        <w:ind w:left="576" w:firstLine="0"/>
      </w:pPr>
      <w:bookmarkStart w:id="80" w:name="_Toc91148308"/>
    </w:p>
    <w:p w14:paraId="75F8589F" w14:textId="430C04F6" w:rsidR="00E51F89" w:rsidRPr="00954742" w:rsidRDefault="00E51F89" w:rsidP="00E51F89">
      <w:pPr>
        <w:pStyle w:val="A-Text11"/>
        <w:ind w:left="576" w:firstLine="0"/>
      </w:pPr>
      <w:r w:rsidRPr="00954742">
        <w:lastRenderedPageBreak/>
        <w:t>Zemné práce</w:t>
      </w:r>
      <w:bookmarkEnd w:id="80"/>
    </w:p>
    <w:p w14:paraId="536CAF91" w14:textId="77777777" w:rsidR="00E51F89" w:rsidRPr="00954742" w:rsidRDefault="00E51F89" w:rsidP="00E51F89">
      <w:pPr>
        <w:pStyle w:val="A-Text11"/>
      </w:pPr>
      <w:r w:rsidRPr="00954742">
        <w:t xml:space="preserve">  Zemné práce pozostávajú zo zarovnania územia a vytvorenia hlavných rovín HTU ako prípravné práce pre hlavný objekt a príslušné plochy. </w:t>
      </w:r>
    </w:p>
    <w:p w14:paraId="2AD93E34" w14:textId="77777777" w:rsidR="00A662CF" w:rsidRPr="00954742" w:rsidRDefault="00A662CF" w:rsidP="00A662CF">
      <w:pPr>
        <w:pStyle w:val="A-Text11"/>
        <w:ind w:firstLine="0"/>
        <w:rPr>
          <w:b/>
          <w:bCs/>
        </w:rPr>
      </w:pPr>
      <w:bookmarkStart w:id="81" w:name="_Toc91148309"/>
      <w:r w:rsidRPr="00954742">
        <w:rPr>
          <w:b/>
          <w:bCs/>
        </w:rPr>
        <w:t>SO 201 Prekládka rozvodu vysokého napätia na ulici Galvaniho</w:t>
      </w:r>
      <w:bookmarkEnd w:id="81"/>
    </w:p>
    <w:p w14:paraId="6B342AE1" w14:textId="77777777" w:rsidR="00A662CF" w:rsidRPr="00954742" w:rsidRDefault="00A662CF" w:rsidP="00A662CF">
      <w:pPr>
        <w:pStyle w:val="A-Text11"/>
        <w:rPr>
          <w:i/>
        </w:rPr>
      </w:pPr>
      <w:r w:rsidRPr="00954742">
        <w:rPr>
          <w:i/>
        </w:rPr>
        <w:t>Rozvodná sústava</w:t>
      </w:r>
      <w:r w:rsidRPr="00954742">
        <w:rPr>
          <w:i/>
        </w:rPr>
        <w:tab/>
      </w:r>
    </w:p>
    <w:p w14:paraId="4B5DD959" w14:textId="77777777" w:rsidR="00A662CF" w:rsidRPr="00954742" w:rsidRDefault="00A662CF" w:rsidP="0095439F">
      <w:pPr>
        <w:pStyle w:val="A-Text11"/>
        <w:numPr>
          <w:ilvl w:val="0"/>
          <w:numId w:val="25"/>
        </w:numPr>
      </w:pPr>
      <w:r w:rsidRPr="00954742">
        <w:t>3, str., 50Hz, 22 000V</w:t>
      </w:r>
    </w:p>
    <w:p w14:paraId="6A67FC7A" w14:textId="77777777" w:rsidR="00A662CF" w:rsidRPr="00954742" w:rsidRDefault="00A662CF" w:rsidP="00A662CF">
      <w:pPr>
        <w:pStyle w:val="A-Text11"/>
        <w:rPr>
          <w:i/>
        </w:rPr>
      </w:pPr>
      <w:r w:rsidRPr="00954742">
        <w:rPr>
          <w:i/>
        </w:rPr>
        <w:t>Druhy ochranných opatrení pred zásahom elektrickým prúdom</w:t>
      </w:r>
    </w:p>
    <w:p w14:paraId="324DC9A9" w14:textId="77777777" w:rsidR="00A662CF" w:rsidRPr="00954742" w:rsidRDefault="00A662CF" w:rsidP="0095439F">
      <w:pPr>
        <w:pStyle w:val="A-Text11"/>
        <w:numPr>
          <w:ilvl w:val="0"/>
          <w:numId w:val="25"/>
        </w:numPr>
      </w:pPr>
      <w:r w:rsidRPr="00954742">
        <w:t>Riešené v zmysle STN EN 61936-1, IEC 61140</w:t>
      </w:r>
    </w:p>
    <w:p w14:paraId="6D3E1D1A" w14:textId="77777777" w:rsidR="00A662CF" w:rsidRPr="00954742" w:rsidRDefault="00A662CF" w:rsidP="00A662CF">
      <w:pPr>
        <w:pStyle w:val="A-Text11"/>
        <w:rPr>
          <w:i/>
        </w:rPr>
      </w:pPr>
      <w:r w:rsidRPr="00954742">
        <w:rPr>
          <w:i/>
        </w:rPr>
        <w:t>Skupina elektrických zariadení podľa. Vyhl. Ministerstva práce, sociálnych vecí a rodiny SR č.508/2009 Zb.z. § 2, odst.1., resp. prílohy 1, časť III</w:t>
      </w:r>
    </w:p>
    <w:p w14:paraId="02EF5DF1" w14:textId="77777777" w:rsidR="00A662CF" w:rsidRPr="00954742" w:rsidRDefault="00A662CF" w:rsidP="0095439F">
      <w:pPr>
        <w:pStyle w:val="A-Text11"/>
        <w:numPr>
          <w:ilvl w:val="0"/>
          <w:numId w:val="25"/>
        </w:numPr>
      </w:pPr>
      <w:r w:rsidRPr="00954742">
        <w:t>Skupina „A“</w:t>
      </w:r>
    </w:p>
    <w:p w14:paraId="33F3A4D1" w14:textId="77777777" w:rsidR="00A662CF" w:rsidRPr="00954742" w:rsidRDefault="00A662CF" w:rsidP="00A662CF">
      <w:pPr>
        <w:pStyle w:val="A-Text11"/>
        <w:rPr>
          <w:i/>
        </w:rPr>
      </w:pPr>
      <w:r w:rsidRPr="00954742">
        <w:rPr>
          <w:i/>
        </w:rPr>
        <w:t>Stupeň zabezpečenia dodávky el. energie v zmysle STN 34 1610 § 16 107</w:t>
      </w:r>
    </w:p>
    <w:p w14:paraId="2506BD99" w14:textId="77777777" w:rsidR="00A662CF" w:rsidRPr="00954742" w:rsidRDefault="00A662CF" w:rsidP="0095439F">
      <w:pPr>
        <w:pStyle w:val="A-Text11"/>
        <w:numPr>
          <w:ilvl w:val="0"/>
          <w:numId w:val="25"/>
        </w:numPr>
      </w:pPr>
      <w:r w:rsidRPr="00954742">
        <w:t xml:space="preserve">Tretí </w:t>
      </w:r>
    </w:p>
    <w:p w14:paraId="0EA44EA2" w14:textId="77777777" w:rsidR="00A662CF" w:rsidRPr="00954742" w:rsidRDefault="00A662CF" w:rsidP="00A662CF">
      <w:pPr>
        <w:pStyle w:val="A-Text11"/>
        <w:rPr>
          <w:i/>
        </w:rPr>
      </w:pPr>
      <w:r w:rsidRPr="00954742">
        <w:rPr>
          <w:i/>
        </w:rPr>
        <w:t>Technické riešenie</w:t>
      </w:r>
    </w:p>
    <w:p w14:paraId="50694B3B" w14:textId="77777777" w:rsidR="00A662CF" w:rsidRPr="00954742" w:rsidRDefault="00A662CF" w:rsidP="00A662CF">
      <w:pPr>
        <w:pStyle w:val="A-Text11"/>
      </w:pPr>
      <w:r w:rsidRPr="00954742">
        <w:t xml:space="preserve">Existujúca VN linka č.412 - VN káble typu 2x(22-3xNA2XS2Y 1x240) sa v existujúcej trase  na ulici Banšelova medzi TS 0304-000 a TS 0223-000 vytýči, odkope, rozpojí a naspojkuje prostredníctvom VN spojok na nové VN káble typu 2x(22-3xNA2XS2Y 1x240), ktoré bude uložené v zemi pod novo navrhovaným chodníkom. Časti VN rozvodu navrhujeme uložiť do zeme, pod chodníky alebo v chráničke FXKV 200 pod komunikáciou, pri rešpektovaní článkov STN 34 1050 a STN 73 6005. </w:t>
      </w:r>
    </w:p>
    <w:p w14:paraId="5A077A00" w14:textId="77777777" w:rsidR="006C1DEB" w:rsidRPr="00954742" w:rsidRDefault="006C1DEB" w:rsidP="006C1DEB">
      <w:pPr>
        <w:pStyle w:val="A-Text11"/>
        <w:ind w:firstLine="0"/>
        <w:rPr>
          <w:b/>
          <w:bCs/>
        </w:rPr>
      </w:pPr>
      <w:bookmarkStart w:id="82" w:name="_Toc91148310"/>
      <w:r w:rsidRPr="00954742">
        <w:rPr>
          <w:b/>
          <w:bCs/>
        </w:rPr>
        <w:t>SO 202 Prekládka rozvodu vysokého napätia na ulici Banšelova</w:t>
      </w:r>
      <w:bookmarkEnd w:id="82"/>
    </w:p>
    <w:p w14:paraId="6BE03F2B" w14:textId="77777777" w:rsidR="006C1DEB" w:rsidRPr="00954742" w:rsidRDefault="006C1DEB" w:rsidP="006C1DEB">
      <w:pPr>
        <w:pStyle w:val="A-Text11"/>
        <w:rPr>
          <w:i/>
        </w:rPr>
      </w:pPr>
      <w:r w:rsidRPr="00954742">
        <w:rPr>
          <w:i/>
        </w:rPr>
        <w:t>Rozvodná sústava</w:t>
      </w:r>
      <w:r w:rsidRPr="00954742">
        <w:rPr>
          <w:i/>
        </w:rPr>
        <w:tab/>
      </w:r>
    </w:p>
    <w:p w14:paraId="14E4476A" w14:textId="77777777" w:rsidR="006C1DEB" w:rsidRPr="00954742" w:rsidRDefault="006C1DEB" w:rsidP="0095439F">
      <w:pPr>
        <w:pStyle w:val="A-Text11"/>
        <w:numPr>
          <w:ilvl w:val="0"/>
          <w:numId w:val="25"/>
        </w:numPr>
      </w:pPr>
      <w:r w:rsidRPr="00954742">
        <w:t>3, str., 50Hz, 22 000V</w:t>
      </w:r>
    </w:p>
    <w:p w14:paraId="14946B7A" w14:textId="77777777" w:rsidR="006C1DEB" w:rsidRPr="00954742" w:rsidRDefault="006C1DEB" w:rsidP="006C1DEB">
      <w:pPr>
        <w:pStyle w:val="A-Text11"/>
        <w:rPr>
          <w:i/>
        </w:rPr>
      </w:pPr>
      <w:r w:rsidRPr="00954742">
        <w:rPr>
          <w:i/>
        </w:rPr>
        <w:t>Druhy ochranných opatrení pred zásahom elektrickým prúdom</w:t>
      </w:r>
    </w:p>
    <w:p w14:paraId="1CEBE31E" w14:textId="77777777" w:rsidR="006C1DEB" w:rsidRPr="00954742" w:rsidRDefault="006C1DEB" w:rsidP="0095439F">
      <w:pPr>
        <w:pStyle w:val="A-Text11"/>
        <w:numPr>
          <w:ilvl w:val="0"/>
          <w:numId w:val="25"/>
        </w:numPr>
      </w:pPr>
      <w:r w:rsidRPr="00954742">
        <w:t>Riešené v zmysle STN EN 61936-1, IEC 61140</w:t>
      </w:r>
    </w:p>
    <w:p w14:paraId="2074A76E" w14:textId="77777777" w:rsidR="006C1DEB" w:rsidRPr="00954742" w:rsidRDefault="006C1DEB" w:rsidP="006C1DEB">
      <w:pPr>
        <w:pStyle w:val="A-Text11"/>
        <w:rPr>
          <w:i/>
        </w:rPr>
      </w:pPr>
      <w:r w:rsidRPr="00954742">
        <w:rPr>
          <w:i/>
        </w:rPr>
        <w:t>Skupina elektrických zariadení podľa. Vyhl. Ministerstva práce, sociálnych vecí a rodiny SR č.508/2009 Zb.z. § 2, odst.1., resp. prílohy 1, časť III</w:t>
      </w:r>
    </w:p>
    <w:p w14:paraId="3647DCE9" w14:textId="77777777" w:rsidR="006C1DEB" w:rsidRPr="00954742" w:rsidRDefault="006C1DEB" w:rsidP="0095439F">
      <w:pPr>
        <w:pStyle w:val="A-Text11"/>
        <w:numPr>
          <w:ilvl w:val="0"/>
          <w:numId w:val="25"/>
        </w:numPr>
      </w:pPr>
      <w:r w:rsidRPr="00954742">
        <w:t>Skupina „A“</w:t>
      </w:r>
    </w:p>
    <w:p w14:paraId="7DF2A817" w14:textId="77777777" w:rsidR="006C1DEB" w:rsidRPr="00954742" w:rsidRDefault="006C1DEB" w:rsidP="006C1DEB">
      <w:pPr>
        <w:pStyle w:val="A-Text11"/>
        <w:rPr>
          <w:i/>
        </w:rPr>
      </w:pPr>
      <w:r w:rsidRPr="00954742">
        <w:rPr>
          <w:i/>
        </w:rPr>
        <w:t>Stupeň zabezpečenia dodávky el. energie v zmysle STN 34 1610 § 16 107</w:t>
      </w:r>
    </w:p>
    <w:p w14:paraId="61276534" w14:textId="77777777" w:rsidR="006C1DEB" w:rsidRPr="00954742" w:rsidRDefault="006C1DEB" w:rsidP="0095439F">
      <w:pPr>
        <w:pStyle w:val="A-Text11"/>
        <w:numPr>
          <w:ilvl w:val="0"/>
          <w:numId w:val="25"/>
        </w:numPr>
      </w:pPr>
      <w:r w:rsidRPr="00954742">
        <w:t xml:space="preserve">Tretí </w:t>
      </w:r>
    </w:p>
    <w:p w14:paraId="3F6256A1" w14:textId="77777777" w:rsidR="006C1DEB" w:rsidRPr="00954742" w:rsidRDefault="006C1DEB" w:rsidP="006C1DEB">
      <w:pPr>
        <w:pStyle w:val="A-Text11"/>
        <w:rPr>
          <w:i/>
        </w:rPr>
      </w:pPr>
      <w:r w:rsidRPr="00954742">
        <w:rPr>
          <w:i/>
        </w:rPr>
        <w:t>Technické riešenie</w:t>
      </w:r>
    </w:p>
    <w:p w14:paraId="3AA2370E" w14:textId="77777777" w:rsidR="006C1DEB" w:rsidRPr="00954742" w:rsidRDefault="006C1DEB" w:rsidP="006C1DEB">
      <w:pPr>
        <w:pStyle w:val="A-Text11"/>
      </w:pPr>
      <w:r w:rsidRPr="00954742">
        <w:t xml:space="preserve">Existujúca VN linka č.412 - VN káble typu 2x(22-3xNA2XS2Y 1x240) sa v existujúcej trase  na ulici Banšelova medzi TS 0304-000 a TS 0223-000 vytýči, odkope, rozpojí a naspojkuje prostredníctvom VN spojok na nové VN káble typu 2x(22-3xNA2XS2Y 1x240), ktoré bude uložené v zemi pod novo navrhovaným chodníkom. Časti VN rozvodu navrhujeme uložiť do zeme, pod chodníky alebo v chráničke FXKV 200 pod komunikáciou, pri rešpektovaní článkov STN 34 1050 a STN 73 6005. </w:t>
      </w:r>
    </w:p>
    <w:p w14:paraId="001C70C4" w14:textId="77777777" w:rsidR="00FF775E" w:rsidRPr="00954742" w:rsidRDefault="00FF775E" w:rsidP="00FF775E">
      <w:pPr>
        <w:pStyle w:val="A-Text11"/>
        <w:ind w:firstLine="0"/>
        <w:rPr>
          <w:b/>
          <w:bCs/>
        </w:rPr>
      </w:pPr>
      <w:bookmarkStart w:id="83" w:name="_Toc91148311"/>
      <w:r w:rsidRPr="00954742">
        <w:rPr>
          <w:b/>
          <w:bCs/>
        </w:rPr>
        <w:lastRenderedPageBreak/>
        <w:t>SO 203 Prekládka rozvodu nízkeho napätia na ulici Banšelova</w:t>
      </w:r>
      <w:bookmarkEnd w:id="83"/>
    </w:p>
    <w:p w14:paraId="5E1EC3CD" w14:textId="77777777" w:rsidR="00FF775E" w:rsidRPr="00954742" w:rsidRDefault="00FF775E" w:rsidP="00FF775E">
      <w:pPr>
        <w:pStyle w:val="A-Text11"/>
        <w:rPr>
          <w:i/>
        </w:rPr>
      </w:pPr>
      <w:r w:rsidRPr="00954742">
        <w:rPr>
          <w:i/>
        </w:rPr>
        <w:t>Rozvodná sústava</w:t>
      </w:r>
      <w:r w:rsidRPr="00954742">
        <w:rPr>
          <w:i/>
        </w:rPr>
        <w:tab/>
      </w:r>
    </w:p>
    <w:p w14:paraId="5D4A7CF1" w14:textId="77777777" w:rsidR="00FF775E" w:rsidRPr="00954742" w:rsidRDefault="00FF775E" w:rsidP="0095439F">
      <w:pPr>
        <w:pStyle w:val="A-Text11"/>
        <w:numPr>
          <w:ilvl w:val="0"/>
          <w:numId w:val="25"/>
        </w:numPr>
      </w:pPr>
      <w:r w:rsidRPr="00954742">
        <w:t xml:space="preserve">3+PEN, str., 50Hz 230/400V/TN-C </w:t>
      </w:r>
      <w:r w:rsidRPr="00954742">
        <w:tab/>
      </w:r>
    </w:p>
    <w:p w14:paraId="0DA8203E" w14:textId="77777777" w:rsidR="00FF775E" w:rsidRPr="00954742" w:rsidRDefault="00FF775E" w:rsidP="00FF775E">
      <w:pPr>
        <w:pStyle w:val="A-Text11"/>
        <w:rPr>
          <w:i/>
        </w:rPr>
      </w:pPr>
      <w:r w:rsidRPr="00954742">
        <w:rPr>
          <w:i/>
        </w:rPr>
        <w:t>Druhy ochranných opatrení pred zásahom elektrickým prúdom</w:t>
      </w:r>
    </w:p>
    <w:p w14:paraId="05E99337" w14:textId="77777777" w:rsidR="00FF775E" w:rsidRPr="00954742" w:rsidRDefault="00FF775E" w:rsidP="0095439F">
      <w:pPr>
        <w:pStyle w:val="A-Text11"/>
        <w:numPr>
          <w:ilvl w:val="0"/>
          <w:numId w:val="25"/>
        </w:numPr>
      </w:pPr>
      <w:r w:rsidRPr="00954742">
        <w:t>Riešené v zmysle STN 33 2000-4-41</w:t>
      </w:r>
    </w:p>
    <w:p w14:paraId="6CC14A4B" w14:textId="77777777" w:rsidR="00FF775E" w:rsidRPr="00954742" w:rsidRDefault="00FF775E" w:rsidP="00FF775E">
      <w:pPr>
        <w:pStyle w:val="A-Text11"/>
        <w:rPr>
          <w:i/>
        </w:rPr>
      </w:pPr>
      <w:r w:rsidRPr="00954742">
        <w:rPr>
          <w:i/>
        </w:rPr>
        <w:t>Skupina elektrických zariadení podľa. Vyhl. Ministerstva práce, sociálnych vecí a rodiny SR č.508/2009 Zb.z. § 2, odst.1., resp. prílohy 1, časť III</w:t>
      </w:r>
    </w:p>
    <w:p w14:paraId="4E4C0A9E" w14:textId="77777777" w:rsidR="00FF775E" w:rsidRPr="00954742" w:rsidRDefault="00FF775E" w:rsidP="0095439F">
      <w:pPr>
        <w:pStyle w:val="A-Text11"/>
        <w:numPr>
          <w:ilvl w:val="0"/>
          <w:numId w:val="25"/>
        </w:numPr>
      </w:pPr>
      <w:r w:rsidRPr="00954742">
        <w:t>Skupina „B“ - všetky VTZE</w:t>
      </w:r>
    </w:p>
    <w:p w14:paraId="5640347A" w14:textId="77777777" w:rsidR="00FF775E" w:rsidRPr="00954742" w:rsidRDefault="00FF775E" w:rsidP="00FF775E">
      <w:pPr>
        <w:pStyle w:val="A-Text11"/>
        <w:rPr>
          <w:i/>
        </w:rPr>
      </w:pPr>
      <w:r w:rsidRPr="00954742">
        <w:rPr>
          <w:i/>
        </w:rPr>
        <w:t>Stupeň zabezpečenia dodávky el. energie v zmysle STN 34 1610 § 16 107</w:t>
      </w:r>
    </w:p>
    <w:p w14:paraId="782A076E" w14:textId="77777777" w:rsidR="00FF775E" w:rsidRPr="00954742" w:rsidRDefault="00FF775E" w:rsidP="0095439F">
      <w:pPr>
        <w:pStyle w:val="A-Text11"/>
        <w:numPr>
          <w:ilvl w:val="0"/>
          <w:numId w:val="25"/>
        </w:numPr>
      </w:pPr>
      <w:r w:rsidRPr="00954742">
        <w:t>Tretí</w:t>
      </w:r>
    </w:p>
    <w:p w14:paraId="7F6C025D" w14:textId="77777777" w:rsidR="00FF775E" w:rsidRPr="00954742" w:rsidRDefault="00FF775E" w:rsidP="00FF775E">
      <w:pPr>
        <w:pStyle w:val="A-Text11"/>
        <w:rPr>
          <w:i/>
        </w:rPr>
      </w:pPr>
      <w:r w:rsidRPr="00954742">
        <w:rPr>
          <w:i/>
        </w:rPr>
        <w:t>Technické riešenie</w:t>
      </w:r>
    </w:p>
    <w:p w14:paraId="6DA3B047" w14:textId="77777777" w:rsidR="00FF775E" w:rsidRPr="00954742" w:rsidRDefault="00FF775E" w:rsidP="00FF775E">
      <w:pPr>
        <w:pStyle w:val="A-Text11"/>
      </w:pPr>
      <w:r w:rsidRPr="00954742">
        <w:rPr>
          <w:bCs/>
        </w:rPr>
        <w:t>V rámci úprav komunikácie Banšelova dôjde k úprave existujúceho NN podzemného a nadzemného vedenia medzi existujúcimi skriňami VRIS 0042-002 a VRIS 0275-025. VRIS 0042-002  bude nahradená za skriňu SR8 3/4 a VRIS 0275-025 bude nahradená za skriňu SR4 3/2. Časť nadzemného vedenia medzi pôvodnou VRIS 0042-002 a VRIS1+K bude demontovaná vrátane existujúcich podperných bodov. Časť podzemného vedenia medzi VRIS1+K a pôvodnou VRIS 0275-025 bude tiež demontovaná. Medzi vymenenými skriňami SR8 3/4 a SR4 3/2 bude realizovaný nový prepoj káblom typu 1-NAYY-J 4x240 uloženým v zemi pod novo navrhovaným chodníkom.</w:t>
      </w:r>
      <w:r w:rsidRPr="00954742">
        <w:t xml:space="preserve"> Vymenená SR4 3/2 (pôvodná </w:t>
      </w:r>
      <w:r w:rsidRPr="00954742">
        <w:rPr>
          <w:bCs/>
        </w:rPr>
        <w:t>VRIS 0275-025</w:t>
      </w:r>
      <w:r w:rsidRPr="00954742">
        <w:t>) bude umiestnení do zeleného pásu pri Galvaniho ulici. Z danej skrine bude tiež napojené existujúce podzemné vedenie 1-NAYY-J 4x240V prechádzajúce pod komunikáciou križovatky v smere na ulicu Krajná. V rámci areálu budú tiež zrušené odberné miesta súvisiace s asanovanými objektmi v rámci riešeného územia - autobazár a bigboard. Časti NN rozvodu navrhujeme uložiť do zeme, pod chodníky alebo v chráničke FXKV 200 pod komunikáciou, pri rešpektovaní článkov STN 34 1050 a STN 73 6005.</w:t>
      </w:r>
    </w:p>
    <w:p w14:paraId="06B6DDA5" w14:textId="77777777" w:rsidR="00DD4130" w:rsidRPr="00954742" w:rsidRDefault="00DD4130" w:rsidP="00DD4130">
      <w:pPr>
        <w:pStyle w:val="A-Text11"/>
        <w:ind w:firstLine="0"/>
        <w:rPr>
          <w:b/>
          <w:bCs/>
        </w:rPr>
      </w:pPr>
      <w:bookmarkStart w:id="84" w:name="_Toc91148312"/>
      <w:r w:rsidRPr="00954742">
        <w:rPr>
          <w:b/>
          <w:bCs/>
        </w:rPr>
        <w:t>SO 204 Prekládka verejného osvetlenia na ulici Galvaniho</w:t>
      </w:r>
      <w:bookmarkEnd w:id="84"/>
    </w:p>
    <w:p w14:paraId="3061BEBC" w14:textId="77777777" w:rsidR="00DD4130" w:rsidRPr="00954742" w:rsidRDefault="00DD4130" w:rsidP="00DD4130">
      <w:pPr>
        <w:pStyle w:val="A-Text11"/>
        <w:rPr>
          <w:i/>
        </w:rPr>
      </w:pPr>
      <w:r w:rsidRPr="00954742">
        <w:rPr>
          <w:i/>
        </w:rPr>
        <w:t>Rozvodná sústava</w:t>
      </w:r>
    </w:p>
    <w:p w14:paraId="30DF0A30" w14:textId="77777777" w:rsidR="00DD4130" w:rsidRPr="00954742" w:rsidRDefault="00DD4130" w:rsidP="00EA1E8E">
      <w:pPr>
        <w:pStyle w:val="A-Text11"/>
        <w:numPr>
          <w:ilvl w:val="0"/>
          <w:numId w:val="25"/>
        </w:numPr>
        <w:spacing w:before="0" w:line="240" w:lineRule="auto"/>
        <w:ind w:left="714" w:hanging="357"/>
      </w:pPr>
      <w:r w:rsidRPr="00954742">
        <w:t>3+PEN, str., 50Hz 230/400V/TN-C</w:t>
      </w:r>
    </w:p>
    <w:p w14:paraId="7796AFBF" w14:textId="77777777" w:rsidR="00DD4130" w:rsidRPr="00954742" w:rsidRDefault="00DD4130" w:rsidP="00EA1E8E">
      <w:pPr>
        <w:pStyle w:val="A-Text11"/>
        <w:numPr>
          <w:ilvl w:val="0"/>
          <w:numId w:val="25"/>
        </w:numPr>
        <w:spacing w:before="0" w:line="240" w:lineRule="auto"/>
        <w:ind w:left="714" w:hanging="357"/>
      </w:pPr>
      <w:r w:rsidRPr="00954742">
        <w:t>3+N+PE, str., 50Hz 230/400V/TN-C-S</w:t>
      </w:r>
    </w:p>
    <w:p w14:paraId="6AE12A32" w14:textId="6ECE46B5" w:rsidR="00DD4130" w:rsidRPr="00954742" w:rsidRDefault="00DD4130" w:rsidP="00DD4130">
      <w:pPr>
        <w:pStyle w:val="A-Text11"/>
        <w:rPr>
          <w:i/>
        </w:rPr>
      </w:pPr>
      <w:r w:rsidRPr="00954742">
        <w:rPr>
          <w:i/>
        </w:rPr>
        <w:t>Druhy ochranných opatrení pred zásahom elektrickým prúdom</w:t>
      </w:r>
    </w:p>
    <w:p w14:paraId="5B1CAB16" w14:textId="77777777" w:rsidR="00DD4130" w:rsidRPr="00954742" w:rsidRDefault="00DD4130" w:rsidP="0095439F">
      <w:pPr>
        <w:pStyle w:val="A-Text11"/>
        <w:numPr>
          <w:ilvl w:val="0"/>
          <w:numId w:val="25"/>
        </w:numPr>
      </w:pPr>
      <w:r w:rsidRPr="00954742">
        <w:t>Riešené v zmysle STN 33 2000-4-41</w:t>
      </w:r>
    </w:p>
    <w:p w14:paraId="75DC4C9F" w14:textId="77777777" w:rsidR="00DD4130" w:rsidRPr="00954742" w:rsidRDefault="00DD4130" w:rsidP="00DD4130">
      <w:pPr>
        <w:pStyle w:val="A-Text11"/>
        <w:rPr>
          <w:i/>
        </w:rPr>
      </w:pPr>
      <w:r w:rsidRPr="00954742">
        <w:rPr>
          <w:i/>
        </w:rPr>
        <w:t>Skupina elektrických zariadení podľa. Vyhl. Ministerstva práce, sociálnych vecí a rodiny SR č.508/2009 Zb.z. § 2, odst.1., resp. prílohy 1, časť III</w:t>
      </w:r>
    </w:p>
    <w:p w14:paraId="1F74639A" w14:textId="77777777" w:rsidR="00DD4130" w:rsidRPr="00954742" w:rsidRDefault="00DD4130" w:rsidP="0095439F">
      <w:pPr>
        <w:pStyle w:val="A-Text11"/>
        <w:numPr>
          <w:ilvl w:val="0"/>
          <w:numId w:val="25"/>
        </w:numPr>
      </w:pPr>
      <w:r w:rsidRPr="00954742">
        <w:t>Skupina „B“</w:t>
      </w:r>
    </w:p>
    <w:p w14:paraId="4F1DDDE4" w14:textId="77777777" w:rsidR="00DD4130" w:rsidRPr="00954742" w:rsidRDefault="00DD4130" w:rsidP="00DD4130">
      <w:pPr>
        <w:pStyle w:val="A-Text11"/>
        <w:rPr>
          <w:i/>
        </w:rPr>
      </w:pPr>
      <w:r w:rsidRPr="00954742">
        <w:rPr>
          <w:i/>
        </w:rPr>
        <w:t>Stupeň zabezpečenia dodávky el. energie v zmysle STN 34 1610 § 16 107</w:t>
      </w:r>
    </w:p>
    <w:p w14:paraId="47D65097" w14:textId="77777777" w:rsidR="00DD4130" w:rsidRPr="00954742" w:rsidRDefault="00DD4130" w:rsidP="0095439F">
      <w:pPr>
        <w:pStyle w:val="A-Text11"/>
        <w:numPr>
          <w:ilvl w:val="0"/>
          <w:numId w:val="25"/>
        </w:numPr>
      </w:pPr>
      <w:r w:rsidRPr="00954742">
        <w:t xml:space="preserve">Tretí </w:t>
      </w:r>
    </w:p>
    <w:p w14:paraId="2DD6F371" w14:textId="77777777" w:rsidR="00A16E28" w:rsidRDefault="00A16E28" w:rsidP="00DD4130">
      <w:pPr>
        <w:pStyle w:val="A-Text11"/>
        <w:rPr>
          <w:i/>
        </w:rPr>
      </w:pPr>
    </w:p>
    <w:p w14:paraId="5C74F427" w14:textId="77777777" w:rsidR="00A16E28" w:rsidRDefault="00A16E28" w:rsidP="00DD4130">
      <w:pPr>
        <w:pStyle w:val="A-Text11"/>
        <w:rPr>
          <w:i/>
        </w:rPr>
      </w:pPr>
    </w:p>
    <w:p w14:paraId="03DE85C1" w14:textId="2A460D32" w:rsidR="00DD4130" w:rsidRPr="00954742" w:rsidRDefault="00DD4130" w:rsidP="00DD4130">
      <w:pPr>
        <w:pStyle w:val="A-Text11"/>
        <w:rPr>
          <w:i/>
        </w:rPr>
      </w:pPr>
      <w:r w:rsidRPr="00954742">
        <w:rPr>
          <w:i/>
        </w:rPr>
        <w:lastRenderedPageBreak/>
        <w:t>Technické riešenie</w:t>
      </w:r>
    </w:p>
    <w:p w14:paraId="0ABDE8E0" w14:textId="77777777" w:rsidR="00DD4130" w:rsidRPr="00954742" w:rsidRDefault="00DD4130" w:rsidP="00DD4130">
      <w:pPr>
        <w:pStyle w:val="A-Text11"/>
        <w:rPr>
          <w:iCs/>
        </w:rPr>
      </w:pPr>
      <w:r w:rsidRPr="00954742">
        <w:rPr>
          <w:iCs/>
        </w:rPr>
        <w:t>Osvetlenie komunikácie je navrhnuté v zmysle STN EN 13201-2/2017 s výberom tried osvetlenia v zmysle TNI CEN/TR 13201-1/2015. Trieda osvetlenia pre komunikáciu bola zvolená na základe požiadaviek magistrátu hlavného mesta.</w:t>
      </w:r>
    </w:p>
    <w:p w14:paraId="14EA53B2" w14:textId="77777777" w:rsidR="00DD4130" w:rsidRPr="00954742" w:rsidRDefault="00DD4130" w:rsidP="00DD4130">
      <w:pPr>
        <w:pStyle w:val="A-Text11"/>
      </w:pPr>
      <w:r w:rsidRPr="00954742">
        <w:t>Ulica Galvaniho - trieda osvetlenia M3, kolízne úseky C2. V rámci úprav budú existujúce svietidlá verejného osvetlenia po stranách komunikácie zrušené a budú osadené nové svietidlá do existujúceho stredového pásu v časti od križovatky Rožňavská - Galvaniho po križovatku Galvaniho - Banšelova, Krajná. Svietidlá budú osadené na stožiaroch 10m s dvojitými alebo trojitými výložníkmi dĺžky 1,5m.</w:t>
      </w:r>
    </w:p>
    <w:p w14:paraId="7C99A1A9" w14:textId="77777777" w:rsidR="00DD4130" w:rsidRPr="00954742" w:rsidRDefault="00DD4130" w:rsidP="00DD4130">
      <w:pPr>
        <w:pStyle w:val="A-Text11"/>
      </w:pPr>
      <w:r w:rsidRPr="00954742">
        <w:t>Nové svietidlá na Galvaniho ulici budú napojené z existujúcej vetvy z najbližšieho stožiara pri autobusovej zastávke. Svietidlá na Terchovskej a Banšelovej ulici budú napojené z existujúceho rozvádzača verejného osvetlenia na rohu ulíc Rožňavská - Galvaniho. Pôvodné nepotrebné káblové rozvody v zemi budú odstránené a nahradené novými rozvodmi. Ovládanie osvetlenia bude spolu s existujúcimi svietidlami VO.</w:t>
      </w:r>
    </w:p>
    <w:p w14:paraId="2CDBD3F8" w14:textId="77777777" w:rsidR="00DD4130" w:rsidRPr="00954742" w:rsidRDefault="00DD4130" w:rsidP="00DD4130">
      <w:pPr>
        <w:pStyle w:val="A-Text11"/>
      </w:pPr>
      <w:r w:rsidRPr="00954742">
        <w:t>Typy svietidiel, stožiarov a výložníkov musia byť v súlade s technologickým manuálom mesta Bratislava a s požiadavkami správcu verejného osvetlenia.</w:t>
      </w:r>
    </w:p>
    <w:p w14:paraId="08894A0F" w14:textId="77777777" w:rsidR="00D94657" w:rsidRPr="00954742" w:rsidRDefault="00D94657" w:rsidP="00D94657">
      <w:pPr>
        <w:pStyle w:val="A-Text11"/>
        <w:ind w:firstLine="0"/>
        <w:rPr>
          <w:b/>
          <w:bCs/>
        </w:rPr>
      </w:pPr>
      <w:bookmarkStart w:id="85" w:name="_Toc91148313"/>
      <w:r w:rsidRPr="00954742">
        <w:rPr>
          <w:b/>
          <w:bCs/>
        </w:rPr>
        <w:t>SO 205 Prekládka verejného osvetlenia na ulici Banšelova</w:t>
      </w:r>
      <w:bookmarkEnd w:id="85"/>
    </w:p>
    <w:p w14:paraId="15EAE09E" w14:textId="77777777" w:rsidR="00D94657" w:rsidRPr="00954742" w:rsidRDefault="00D94657" w:rsidP="00D94657">
      <w:pPr>
        <w:pStyle w:val="A-Text11"/>
        <w:rPr>
          <w:i/>
        </w:rPr>
      </w:pPr>
      <w:r w:rsidRPr="00954742">
        <w:rPr>
          <w:i/>
        </w:rPr>
        <w:t>Rozvodná sústava</w:t>
      </w:r>
    </w:p>
    <w:p w14:paraId="6EB7C598" w14:textId="77777777" w:rsidR="00D94657" w:rsidRPr="00954742" w:rsidRDefault="00D94657" w:rsidP="00EA1E8E">
      <w:pPr>
        <w:pStyle w:val="A-Text11"/>
        <w:numPr>
          <w:ilvl w:val="0"/>
          <w:numId w:val="25"/>
        </w:numPr>
        <w:spacing w:before="0" w:line="240" w:lineRule="auto"/>
        <w:ind w:left="714" w:hanging="357"/>
      </w:pPr>
      <w:r w:rsidRPr="00954742">
        <w:t>3+PEN, str., 50Hz 230/400V/TN-C</w:t>
      </w:r>
    </w:p>
    <w:p w14:paraId="1B243AE7" w14:textId="77777777" w:rsidR="00D94657" w:rsidRPr="00954742" w:rsidRDefault="00D94657" w:rsidP="00EA1E8E">
      <w:pPr>
        <w:pStyle w:val="A-Text11"/>
        <w:numPr>
          <w:ilvl w:val="0"/>
          <w:numId w:val="25"/>
        </w:numPr>
        <w:spacing w:before="0" w:line="240" w:lineRule="auto"/>
        <w:ind w:left="714" w:hanging="357"/>
      </w:pPr>
      <w:r w:rsidRPr="00954742">
        <w:t>3+N+PE, str., 50Hz 230/400V/TN-C-S</w:t>
      </w:r>
    </w:p>
    <w:p w14:paraId="57F46BEF" w14:textId="77777777" w:rsidR="00D94657" w:rsidRPr="00954742" w:rsidRDefault="00D94657" w:rsidP="00D94657">
      <w:pPr>
        <w:pStyle w:val="A-Text11"/>
        <w:rPr>
          <w:i/>
        </w:rPr>
      </w:pPr>
      <w:r w:rsidRPr="00954742">
        <w:rPr>
          <w:i/>
        </w:rPr>
        <w:t>Druhy ochranných opatrení pred zásahom elektrickým prúdom</w:t>
      </w:r>
    </w:p>
    <w:p w14:paraId="56DD9C9E" w14:textId="77777777" w:rsidR="00D94657" w:rsidRPr="00954742" w:rsidRDefault="00D94657" w:rsidP="0095439F">
      <w:pPr>
        <w:pStyle w:val="A-Text11"/>
        <w:numPr>
          <w:ilvl w:val="0"/>
          <w:numId w:val="25"/>
        </w:numPr>
      </w:pPr>
      <w:r w:rsidRPr="00954742">
        <w:t>Riešené v zmysle STN 33 2000-4-41</w:t>
      </w:r>
    </w:p>
    <w:p w14:paraId="0ECE4FB7" w14:textId="77777777" w:rsidR="00D94657" w:rsidRPr="00954742" w:rsidRDefault="00D94657" w:rsidP="00D94657">
      <w:pPr>
        <w:pStyle w:val="A-Text11"/>
        <w:rPr>
          <w:i/>
        </w:rPr>
      </w:pPr>
      <w:r w:rsidRPr="00954742">
        <w:rPr>
          <w:i/>
        </w:rPr>
        <w:t>Skupina elektrických zariadení podľa. Vyhl. Ministerstva práce, sociálnych vecí a rodiny SR č.508/2009 Zb.z. § 2, odst.1., resp. prílohy 1, časť III</w:t>
      </w:r>
    </w:p>
    <w:p w14:paraId="1BD4CBB1" w14:textId="77777777" w:rsidR="00D94657" w:rsidRPr="00954742" w:rsidRDefault="00D94657" w:rsidP="0095439F">
      <w:pPr>
        <w:pStyle w:val="A-Text11"/>
        <w:numPr>
          <w:ilvl w:val="0"/>
          <w:numId w:val="25"/>
        </w:numPr>
      </w:pPr>
      <w:r w:rsidRPr="00954742">
        <w:t>Skupina „B“</w:t>
      </w:r>
    </w:p>
    <w:p w14:paraId="4D96FF38" w14:textId="77777777" w:rsidR="00D94657" w:rsidRPr="00954742" w:rsidRDefault="00D94657" w:rsidP="00D94657">
      <w:pPr>
        <w:pStyle w:val="A-Text11"/>
        <w:rPr>
          <w:i/>
        </w:rPr>
      </w:pPr>
      <w:r w:rsidRPr="00954742">
        <w:rPr>
          <w:i/>
        </w:rPr>
        <w:t>Stupeň zabezpečenia dodávky el. energie v zmysle STN 34 1610 § 16 107</w:t>
      </w:r>
    </w:p>
    <w:p w14:paraId="34C9F0D8" w14:textId="77777777" w:rsidR="00D94657" w:rsidRPr="00954742" w:rsidRDefault="00D94657" w:rsidP="0095439F">
      <w:pPr>
        <w:pStyle w:val="A-Text11"/>
        <w:numPr>
          <w:ilvl w:val="0"/>
          <w:numId w:val="25"/>
        </w:numPr>
      </w:pPr>
      <w:r w:rsidRPr="00954742">
        <w:t xml:space="preserve">Tretí </w:t>
      </w:r>
    </w:p>
    <w:p w14:paraId="42295EB8" w14:textId="77777777" w:rsidR="00D94657" w:rsidRPr="00954742" w:rsidRDefault="00D94657" w:rsidP="00D94657">
      <w:pPr>
        <w:pStyle w:val="A-Text11"/>
        <w:rPr>
          <w:i/>
        </w:rPr>
      </w:pPr>
      <w:r w:rsidRPr="00954742">
        <w:rPr>
          <w:i/>
        </w:rPr>
        <w:t>Technické riešenie</w:t>
      </w:r>
    </w:p>
    <w:p w14:paraId="482380ED" w14:textId="77777777" w:rsidR="00D94657" w:rsidRPr="00954742" w:rsidRDefault="00D94657" w:rsidP="00D94657">
      <w:pPr>
        <w:pStyle w:val="A-Text11"/>
        <w:rPr>
          <w:iCs/>
        </w:rPr>
      </w:pPr>
      <w:r w:rsidRPr="00954742">
        <w:rPr>
          <w:iCs/>
        </w:rPr>
        <w:t>Osvetlenie komunikácie je navrhnuté v zmysle STN EN 13201-2/2017 s výberom tried osvetlenia v zmysle TNI CEN/TR 13201-1/2015. Trieda osvetlenia pre komunikáciu bola zvolená na základe požiadaviek magistrátu hlavného mesta.</w:t>
      </w:r>
    </w:p>
    <w:p w14:paraId="016EE331" w14:textId="77777777" w:rsidR="00D94657" w:rsidRPr="00954742" w:rsidRDefault="00D94657" w:rsidP="00D94657">
      <w:pPr>
        <w:pStyle w:val="A-Text11"/>
      </w:pPr>
      <w:r w:rsidRPr="00954742">
        <w:t>Ulica Banšelova - trieda osvetlenia M5, kolízne úseky C4. V rámci úprav vonkajšieho priestranstva budú existujúce svietidlá a stožiare na danej ulici demontované a nahradené novými svietidlami. Svietidla budú inštalované na stožiaroch výšky 8m s výložníkmi 1m.</w:t>
      </w:r>
    </w:p>
    <w:p w14:paraId="160E90F7" w14:textId="77777777" w:rsidR="00D94657" w:rsidRPr="00954742" w:rsidRDefault="00D94657" w:rsidP="00D94657">
      <w:pPr>
        <w:pStyle w:val="A-Text11"/>
      </w:pPr>
      <w:r w:rsidRPr="00954742">
        <w:t>Nové svietidlá na Banšelovej ulici budú napojené z existujúceho rozvádzača verejného osvetlenia na rohu ulíc Rožňavská - Galvaniho. Pôvodné nepotrebné káblové rozvody v zemi budú odstránené a nahradené novými rozvodmi. Ovládanie osvetlenia bude spolu s existujúcimi svietidlami VO.</w:t>
      </w:r>
    </w:p>
    <w:p w14:paraId="47DC161E" w14:textId="77777777" w:rsidR="00D94657" w:rsidRPr="00954742" w:rsidRDefault="00D94657" w:rsidP="00D94657">
      <w:pPr>
        <w:pStyle w:val="A-Text11"/>
      </w:pPr>
      <w:r w:rsidRPr="00954742">
        <w:t>Typy svietidiel, stožiarov a výložníkov musia byť v súlade s technologickým manuálom mesta Bratislava a s požiadavkami správcu verejného osvetlenia.</w:t>
      </w:r>
    </w:p>
    <w:p w14:paraId="2A78F161" w14:textId="77777777" w:rsidR="00CD7784" w:rsidRPr="00954742" w:rsidRDefault="00CD7784" w:rsidP="00CD7784">
      <w:pPr>
        <w:pStyle w:val="A-Text11"/>
        <w:ind w:firstLine="0"/>
        <w:rPr>
          <w:b/>
          <w:bCs/>
        </w:rPr>
      </w:pPr>
      <w:bookmarkStart w:id="86" w:name="_Toc91148315"/>
      <w:r w:rsidRPr="00954742">
        <w:rPr>
          <w:b/>
          <w:bCs/>
        </w:rPr>
        <w:lastRenderedPageBreak/>
        <w:t>SO 207 Odstránenie nefunkčného vedenia slaboprúdového rozvodu na ulici Terchovská</w:t>
      </w:r>
      <w:bookmarkEnd w:id="86"/>
    </w:p>
    <w:p w14:paraId="7CD0D94C" w14:textId="77777777" w:rsidR="00CD7784" w:rsidRPr="00954742" w:rsidRDefault="00CD7784" w:rsidP="00CD7784">
      <w:pPr>
        <w:pStyle w:val="A-Text11"/>
        <w:rPr>
          <w:bCs/>
          <w:i/>
        </w:rPr>
      </w:pPr>
      <w:r w:rsidRPr="00954742">
        <w:rPr>
          <w:bCs/>
          <w:i/>
        </w:rPr>
        <w:t>Rozvodná sústava</w:t>
      </w:r>
      <w:r w:rsidRPr="00954742">
        <w:rPr>
          <w:bCs/>
          <w:i/>
        </w:rPr>
        <w:tab/>
      </w:r>
    </w:p>
    <w:p w14:paraId="732D2840" w14:textId="77777777" w:rsidR="00CD7784" w:rsidRPr="00954742" w:rsidRDefault="00CD7784" w:rsidP="0095439F">
      <w:pPr>
        <w:pStyle w:val="A-Text11"/>
        <w:numPr>
          <w:ilvl w:val="0"/>
          <w:numId w:val="25"/>
        </w:numPr>
        <w:rPr>
          <w:bCs/>
        </w:rPr>
      </w:pPr>
      <w:r w:rsidRPr="00954742">
        <w:rPr>
          <w:bCs/>
        </w:rPr>
        <w:t>Bez napäťový stav (odpojené vedenie)</w:t>
      </w:r>
      <w:r w:rsidRPr="00954742">
        <w:rPr>
          <w:bCs/>
        </w:rPr>
        <w:tab/>
      </w:r>
    </w:p>
    <w:p w14:paraId="266E11F8" w14:textId="77777777" w:rsidR="00CD7784" w:rsidRPr="00954742" w:rsidRDefault="00CD7784" w:rsidP="00CD7784">
      <w:pPr>
        <w:pStyle w:val="A-Text11"/>
        <w:rPr>
          <w:bCs/>
          <w:i/>
        </w:rPr>
      </w:pPr>
      <w:r w:rsidRPr="00954742">
        <w:rPr>
          <w:bCs/>
          <w:i/>
        </w:rPr>
        <w:t>Skupina elektrických zariadení podľa. Vyhl. Ministerstva práce, sociálnych vecí a rodiny SR č.508/2009 Zb.z. § 2, odst.1., resp. prílohy 1, časť III</w:t>
      </w:r>
    </w:p>
    <w:p w14:paraId="67B40E2A" w14:textId="77777777" w:rsidR="00CD7784" w:rsidRPr="00954742" w:rsidRDefault="00CD7784" w:rsidP="0095439F">
      <w:pPr>
        <w:pStyle w:val="A-Text11"/>
        <w:numPr>
          <w:ilvl w:val="0"/>
          <w:numId w:val="25"/>
        </w:numPr>
        <w:rPr>
          <w:bCs/>
        </w:rPr>
      </w:pPr>
      <w:r w:rsidRPr="00954742">
        <w:rPr>
          <w:bCs/>
        </w:rPr>
        <w:t>Skupina „C“</w:t>
      </w:r>
    </w:p>
    <w:p w14:paraId="01904E82" w14:textId="77777777" w:rsidR="00CD7784" w:rsidRPr="00954742" w:rsidRDefault="00CD7784" w:rsidP="00CD7784">
      <w:pPr>
        <w:pStyle w:val="A-Text11"/>
        <w:rPr>
          <w:bCs/>
          <w:i/>
        </w:rPr>
      </w:pPr>
      <w:r w:rsidRPr="00954742">
        <w:rPr>
          <w:bCs/>
          <w:i/>
        </w:rPr>
        <w:t>Technické riešenie</w:t>
      </w:r>
    </w:p>
    <w:p w14:paraId="18207E43" w14:textId="77777777" w:rsidR="00CD7784" w:rsidRPr="00954742" w:rsidRDefault="00CD7784" w:rsidP="00CD7784">
      <w:pPr>
        <w:pStyle w:val="A-Text11"/>
        <w:rPr>
          <w:bCs/>
        </w:rPr>
      </w:pPr>
      <w:r w:rsidRPr="00954742">
        <w:rPr>
          <w:bCs/>
        </w:rPr>
        <w:t>V rámci výstavby a výkopových prác na riešenom území je potrebné odstrániť existujúce nefunkčné slaboprúdové vedenie Telekom. V priebehu výkopových prác sa dané vedenie odkope, preruší na hranici riešeného pozemku a odstráni. Vedenie mimo riešeného územia bude ponechané v zemi. Vzniknutý odpad bude zlikvidovaný v zmysle vyhlášky 371/2015 Z.z. o odpadoch. Pred začatím realizácie je nutné existujúce vedenia vytýčiť.</w:t>
      </w:r>
    </w:p>
    <w:p w14:paraId="50C20F39" w14:textId="77777777" w:rsidR="009F037E" w:rsidRPr="00954742" w:rsidRDefault="009F037E" w:rsidP="009F037E">
      <w:pPr>
        <w:pStyle w:val="A-Text11"/>
        <w:ind w:firstLine="0"/>
        <w:rPr>
          <w:b/>
          <w:bCs/>
        </w:rPr>
      </w:pPr>
      <w:bookmarkStart w:id="87" w:name="_Toc91148316"/>
      <w:r w:rsidRPr="00954742">
        <w:rPr>
          <w:b/>
          <w:bCs/>
        </w:rPr>
        <w:t>SO 208 Rekonštrukcia verejnej kanalizácie na ulici Banšelova</w:t>
      </w:r>
      <w:bookmarkEnd w:id="87"/>
    </w:p>
    <w:p w14:paraId="3FCEDE97" w14:textId="4CE25F71" w:rsidR="009F037E" w:rsidRPr="00954742" w:rsidRDefault="009F037E" w:rsidP="009F037E">
      <w:pPr>
        <w:pStyle w:val="A-Text11"/>
        <w:rPr>
          <w:bCs/>
        </w:rPr>
      </w:pPr>
      <w:r w:rsidRPr="00954742">
        <w:rPr>
          <w:bCs/>
        </w:rPr>
        <w:t>Predmetom tohto stavebného objektu je rekonštrukcia koncového úseku verejnej kanalizácie na Banšelovej ulici, ktorá je v havarijnom stave. V súčasnosti je na tomto koncovom  úseku napojená len jedna splaškov</w:t>
      </w:r>
      <w:r w:rsidR="0030750F" w:rsidRPr="00954742">
        <w:rPr>
          <w:bCs/>
        </w:rPr>
        <w:t>á</w:t>
      </w:r>
      <w:r w:rsidRPr="00954742">
        <w:rPr>
          <w:bCs/>
        </w:rPr>
        <w:t xml:space="preserve"> prípojk</w:t>
      </w:r>
      <w:r w:rsidR="0030750F" w:rsidRPr="00954742">
        <w:rPr>
          <w:bCs/>
        </w:rPr>
        <w:t>a</w:t>
      </w:r>
      <w:r w:rsidRPr="00954742">
        <w:rPr>
          <w:bCs/>
        </w:rPr>
        <w:t xml:space="preserve"> DN200. Do tohto koncového úseku sú primárne napojené hlavne dažďové prípojky od uličných vpustí, ktoré však budú prepojené v rámci SO 409 resp. SO 408 mimo verejnú kanalizáciu do vsaku. Týmto riešením dôjde k čiastočnému odľahčeniu dlhodobo preťažovaného koncového úseku verejnej kanalizácie na Banšelovej ulici. </w:t>
      </w:r>
    </w:p>
    <w:p w14:paraId="7E3E1B5F" w14:textId="77777777" w:rsidR="009F037E" w:rsidRPr="00954742" w:rsidRDefault="009F037E" w:rsidP="009F037E">
      <w:pPr>
        <w:pStyle w:val="A-Text11"/>
        <w:rPr>
          <w:bCs/>
        </w:rPr>
      </w:pPr>
      <w:r w:rsidRPr="00954742">
        <w:rPr>
          <w:bCs/>
        </w:rPr>
        <w:t xml:space="preserve">V návrhu riešenia sa uvažuje s rekonštrukciou tak, aby bolo zachované plnohodnotné odvádzania splaškových vôd. To znamená, že nové potrubie bude položené v tesnom súbehu s existujúcim potrubím. Následne bude pôvodné potrubie v rámci výkopu odstránené v celom rozsahu vrátane šácht. Pôvodné potrubie zo ŽB bude nahradené novým z materiálu PP hladké (SN10). </w:t>
      </w:r>
    </w:p>
    <w:p w14:paraId="2FAD0785" w14:textId="77777777" w:rsidR="009F037E" w:rsidRPr="00954742" w:rsidRDefault="009F037E" w:rsidP="009F037E">
      <w:pPr>
        <w:pStyle w:val="A-Text11"/>
        <w:rPr>
          <w:bCs/>
        </w:rPr>
      </w:pPr>
      <w:r w:rsidRPr="00954742">
        <w:rPr>
          <w:bCs/>
        </w:rPr>
        <w:t xml:space="preserve">V novej šachte „Š3“ bude napojená kanalizačná prípojka DN300 z Terchovskej ulice z plánovaného bytového súboru Terchovská. </w:t>
      </w:r>
    </w:p>
    <w:p w14:paraId="1E01F4E6" w14:textId="77777777" w:rsidR="00B560D7" w:rsidRPr="00954742" w:rsidRDefault="00B560D7" w:rsidP="00B560D7">
      <w:pPr>
        <w:pStyle w:val="A-Text11"/>
        <w:ind w:firstLine="0"/>
        <w:rPr>
          <w:b/>
          <w:bCs/>
        </w:rPr>
      </w:pPr>
      <w:bookmarkStart w:id="88" w:name="_Toc91148317"/>
      <w:r w:rsidRPr="00954742">
        <w:rPr>
          <w:b/>
          <w:bCs/>
        </w:rPr>
        <w:t>SO 306 Verejné osvetlenie</w:t>
      </w:r>
      <w:bookmarkEnd w:id="88"/>
    </w:p>
    <w:p w14:paraId="4C1CDB65" w14:textId="77777777" w:rsidR="00B560D7" w:rsidRPr="00954742" w:rsidRDefault="00B560D7" w:rsidP="00B560D7">
      <w:pPr>
        <w:pStyle w:val="A-Text11"/>
        <w:rPr>
          <w:bCs/>
          <w:i/>
        </w:rPr>
      </w:pPr>
      <w:r w:rsidRPr="00954742">
        <w:rPr>
          <w:bCs/>
          <w:i/>
        </w:rPr>
        <w:t>Rozvodná sústava</w:t>
      </w:r>
    </w:p>
    <w:p w14:paraId="0A19823E" w14:textId="77777777" w:rsidR="00B560D7" w:rsidRPr="00954742" w:rsidRDefault="00B560D7" w:rsidP="0095439F">
      <w:pPr>
        <w:pStyle w:val="A-Text11"/>
        <w:numPr>
          <w:ilvl w:val="0"/>
          <w:numId w:val="25"/>
        </w:numPr>
        <w:rPr>
          <w:bCs/>
        </w:rPr>
      </w:pPr>
      <w:r w:rsidRPr="00954742">
        <w:rPr>
          <w:bCs/>
        </w:rPr>
        <w:t>3+PEN, str., 50Hz 230/400V/TN-C</w:t>
      </w:r>
    </w:p>
    <w:p w14:paraId="0FA6421E" w14:textId="77777777" w:rsidR="00B560D7" w:rsidRPr="00954742" w:rsidRDefault="00B560D7" w:rsidP="00A16E28">
      <w:pPr>
        <w:pStyle w:val="A-Text11"/>
        <w:numPr>
          <w:ilvl w:val="0"/>
          <w:numId w:val="25"/>
        </w:numPr>
        <w:spacing w:before="0" w:line="240" w:lineRule="auto"/>
        <w:ind w:left="714" w:hanging="357"/>
        <w:rPr>
          <w:bCs/>
        </w:rPr>
      </w:pPr>
      <w:r w:rsidRPr="00954742">
        <w:rPr>
          <w:bCs/>
        </w:rPr>
        <w:t>3+N+PE, str., 50Hz 230/400V/TN-C-S</w:t>
      </w:r>
    </w:p>
    <w:p w14:paraId="78433836" w14:textId="77777777" w:rsidR="00B560D7" w:rsidRPr="00954742" w:rsidRDefault="00B560D7" w:rsidP="00B560D7">
      <w:pPr>
        <w:pStyle w:val="A-Text11"/>
        <w:rPr>
          <w:bCs/>
          <w:i/>
        </w:rPr>
      </w:pPr>
      <w:r w:rsidRPr="00954742">
        <w:rPr>
          <w:bCs/>
          <w:i/>
        </w:rPr>
        <w:t>Druhy ochranných opatrení pred zásahom elektrickým prúdom</w:t>
      </w:r>
    </w:p>
    <w:p w14:paraId="45D05C1D" w14:textId="77777777" w:rsidR="00B560D7" w:rsidRPr="00954742" w:rsidRDefault="00B560D7" w:rsidP="0095439F">
      <w:pPr>
        <w:pStyle w:val="A-Text11"/>
        <w:numPr>
          <w:ilvl w:val="0"/>
          <w:numId w:val="25"/>
        </w:numPr>
        <w:rPr>
          <w:bCs/>
        </w:rPr>
      </w:pPr>
      <w:r w:rsidRPr="00954742">
        <w:rPr>
          <w:bCs/>
        </w:rPr>
        <w:t>Riešené v zmysle STN 33 2000-4-41</w:t>
      </w:r>
    </w:p>
    <w:p w14:paraId="656A9EF9" w14:textId="77777777" w:rsidR="00B560D7" w:rsidRPr="00954742" w:rsidRDefault="00B560D7" w:rsidP="00B560D7">
      <w:pPr>
        <w:pStyle w:val="A-Text11"/>
        <w:rPr>
          <w:bCs/>
          <w:i/>
        </w:rPr>
      </w:pPr>
      <w:r w:rsidRPr="00954742">
        <w:rPr>
          <w:bCs/>
          <w:i/>
        </w:rPr>
        <w:t>Skupina elektrických zariadení podľa. Vyhl. Ministerstva práce, sociálnych vecí a rodiny SR č.508/2009 Zb.z. § 2, odst.1., resp. prílohy 1, časť III</w:t>
      </w:r>
    </w:p>
    <w:p w14:paraId="46619983" w14:textId="77777777" w:rsidR="00B560D7" w:rsidRPr="00954742" w:rsidRDefault="00B560D7" w:rsidP="0095439F">
      <w:pPr>
        <w:pStyle w:val="A-Text11"/>
        <w:numPr>
          <w:ilvl w:val="0"/>
          <w:numId w:val="25"/>
        </w:numPr>
        <w:rPr>
          <w:bCs/>
        </w:rPr>
      </w:pPr>
      <w:r w:rsidRPr="00954742">
        <w:rPr>
          <w:bCs/>
        </w:rPr>
        <w:t>Skupina „B“</w:t>
      </w:r>
    </w:p>
    <w:p w14:paraId="294B1560" w14:textId="77777777" w:rsidR="00B560D7" w:rsidRPr="00954742" w:rsidRDefault="00B560D7" w:rsidP="00B560D7">
      <w:pPr>
        <w:pStyle w:val="A-Text11"/>
        <w:rPr>
          <w:bCs/>
          <w:i/>
        </w:rPr>
      </w:pPr>
      <w:r w:rsidRPr="00954742">
        <w:rPr>
          <w:bCs/>
          <w:i/>
        </w:rPr>
        <w:t>Stupeň zabezpečenia dodávky el. energie v zmysle STN 34 1610 § 16 107</w:t>
      </w:r>
    </w:p>
    <w:p w14:paraId="407FD519" w14:textId="77777777" w:rsidR="00B560D7" w:rsidRPr="00954742" w:rsidRDefault="00B560D7" w:rsidP="0095439F">
      <w:pPr>
        <w:pStyle w:val="A-Text11"/>
        <w:numPr>
          <w:ilvl w:val="0"/>
          <w:numId w:val="25"/>
        </w:numPr>
        <w:rPr>
          <w:bCs/>
        </w:rPr>
      </w:pPr>
      <w:r w:rsidRPr="00954742">
        <w:rPr>
          <w:bCs/>
        </w:rPr>
        <w:t xml:space="preserve">Tretí </w:t>
      </w:r>
    </w:p>
    <w:p w14:paraId="031EF607" w14:textId="77777777" w:rsidR="00B560D7" w:rsidRPr="00954742" w:rsidRDefault="00B560D7" w:rsidP="00B560D7">
      <w:pPr>
        <w:pStyle w:val="A-Text11"/>
        <w:rPr>
          <w:bCs/>
          <w:i/>
        </w:rPr>
      </w:pPr>
      <w:r w:rsidRPr="00954742">
        <w:rPr>
          <w:bCs/>
          <w:i/>
        </w:rPr>
        <w:lastRenderedPageBreak/>
        <w:t>Technické riešenie</w:t>
      </w:r>
    </w:p>
    <w:p w14:paraId="55D12B21" w14:textId="77777777" w:rsidR="00B560D7" w:rsidRPr="00954742" w:rsidRDefault="00B560D7" w:rsidP="00B560D7">
      <w:pPr>
        <w:pStyle w:val="A-Text11"/>
        <w:rPr>
          <w:bCs/>
          <w:iCs/>
        </w:rPr>
      </w:pPr>
      <w:r w:rsidRPr="00954742">
        <w:rPr>
          <w:bCs/>
          <w:iCs/>
        </w:rPr>
        <w:t>Osvetlenie komunikácie je navrhnuté v zmysle STN EN 13201-2/2017 s výberom tried osvetlenia v zmysle TNI CEN/TR 13201-1/2015. Trieda osvetlenia pre komunikáciu bola zvolená na základe požiadaviek magistrátu hlavného mesta.</w:t>
      </w:r>
    </w:p>
    <w:p w14:paraId="7B0C49AA" w14:textId="77777777" w:rsidR="00B560D7" w:rsidRPr="00954742" w:rsidRDefault="00B560D7" w:rsidP="00B560D7">
      <w:pPr>
        <w:pStyle w:val="A-Text11"/>
        <w:rPr>
          <w:bCs/>
        </w:rPr>
      </w:pPr>
      <w:r w:rsidRPr="00954742">
        <w:t>Ulica Terchovská - trieda osvetlenia M5, kolízne úseky C4.</w:t>
      </w:r>
      <w:r w:rsidRPr="00954742">
        <w:rPr>
          <w:bCs/>
        </w:rPr>
        <w:t xml:space="preserve"> V rámci úprav vonkajšieho priestranstva budú existujúce svietidlá a stožiare na danej ulici demontované a nahradené novými svietidlami. Svietidla budú inštalované na stožiaroch výšky 6m s výložníkmi 1m.</w:t>
      </w:r>
    </w:p>
    <w:p w14:paraId="2173057B" w14:textId="77777777" w:rsidR="00B560D7" w:rsidRPr="00954742" w:rsidRDefault="00B560D7" w:rsidP="00B560D7">
      <w:pPr>
        <w:pStyle w:val="A-Text11"/>
        <w:rPr>
          <w:bCs/>
        </w:rPr>
      </w:pPr>
      <w:r w:rsidRPr="00954742">
        <w:t>Parkovisko pri ulici Banšelova - kolízny úsek C5.</w:t>
      </w:r>
      <w:r w:rsidRPr="00954742">
        <w:rPr>
          <w:b/>
          <w:bCs/>
        </w:rPr>
        <w:t xml:space="preserve"> </w:t>
      </w:r>
      <w:r w:rsidRPr="00954742">
        <w:rPr>
          <w:bCs/>
        </w:rPr>
        <w:t>V rámci nového parkoviska budú osadené nové svietidlá na stožiaroch výšky 6m s výložníkmi 1m.</w:t>
      </w:r>
    </w:p>
    <w:p w14:paraId="54A609F0" w14:textId="77777777" w:rsidR="00B560D7" w:rsidRPr="00954742" w:rsidRDefault="00B560D7" w:rsidP="00B560D7">
      <w:pPr>
        <w:pStyle w:val="A-Text11"/>
        <w:rPr>
          <w:bCs/>
        </w:rPr>
      </w:pPr>
      <w:r w:rsidRPr="00954742">
        <w:rPr>
          <w:bCs/>
        </w:rPr>
        <w:t>Nové svietidlá na Terchovskej a Banšelovej ulici budú napojené z existujúceho rozvádzača verejného osvetlenia na rohu ulíc Rožňavská - Galvaniho. Pôvodné nepotrebné káblové rozvody v zemi budú odstránené a nahradené novými rozvodmi. Ovládanie osvetlenia bude spolu s existujúcimi svietidlami VO.</w:t>
      </w:r>
    </w:p>
    <w:p w14:paraId="00D81641" w14:textId="77777777" w:rsidR="00B560D7" w:rsidRPr="00954742" w:rsidRDefault="00B560D7" w:rsidP="00B560D7">
      <w:pPr>
        <w:pStyle w:val="A-Text11"/>
        <w:rPr>
          <w:bCs/>
        </w:rPr>
      </w:pPr>
      <w:r w:rsidRPr="00954742">
        <w:rPr>
          <w:bCs/>
        </w:rPr>
        <w:t>Typy svietidiel, stožiarov a výložníkov musia byť v súlade s technologickým manuálom mesta Bratislava a s požiadavkami správcu verejného osvetlenia.</w:t>
      </w:r>
    </w:p>
    <w:p w14:paraId="02A9B147" w14:textId="77777777" w:rsidR="00672D67" w:rsidRPr="00954742" w:rsidRDefault="00672D67" w:rsidP="00F05F07">
      <w:pPr>
        <w:pStyle w:val="A-Text11"/>
        <w:ind w:firstLine="0"/>
        <w:rPr>
          <w:b/>
          <w:bCs/>
        </w:rPr>
      </w:pPr>
      <w:bookmarkStart w:id="89" w:name="_Toc91148319"/>
      <w:r w:rsidRPr="00954742">
        <w:rPr>
          <w:b/>
          <w:bCs/>
        </w:rPr>
        <w:t>SO 408 Dažďová kanalizácia povrchových parkovacích miest</w:t>
      </w:r>
      <w:bookmarkEnd w:id="89"/>
    </w:p>
    <w:p w14:paraId="43029F79" w14:textId="77777777" w:rsidR="00672D67" w:rsidRPr="00954742" w:rsidRDefault="00672D67" w:rsidP="00672D67">
      <w:pPr>
        <w:pStyle w:val="A-Text11"/>
      </w:pPr>
      <w:r w:rsidRPr="00954742">
        <w:t>Dažďové vody z povrchových parkovacích miest na Banšelovej ulici o výmere 650,0m</w:t>
      </w:r>
      <w:r w:rsidRPr="00954742">
        <w:rPr>
          <w:vertAlign w:val="superscript"/>
        </w:rPr>
        <w:t>2</w:t>
      </w:r>
      <w:r w:rsidRPr="00954742">
        <w:t xml:space="preserve"> budú zachytené uličnými vpustmi a odvedené kanalizačnými prípojkami DN150 do spoločnej dažďovej kanalizácie DN300 s SO-409. Po predčistení v odlučovači ropných látok budú následne odvedené do vsaku VZ2 spoločného so vsakom VZ3 pre s SO-409.  Všetka dažďová voda bude vsakovaná na pozemku do podložia pomocou vsakovacích blokov drenblok. </w:t>
      </w:r>
    </w:p>
    <w:p w14:paraId="56ACC504" w14:textId="77777777" w:rsidR="00672D67" w:rsidRPr="00954742" w:rsidRDefault="00672D67" w:rsidP="00672D67">
      <w:pPr>
        <w:pStyle w:val="A-Text11"/>
      </w:pPr>
      <w:r w:rsidRPr="00954742">
        <w:t>V prípade navrhovaného objektu nebude primárna kvalita zrážkových vôd nijako sekundárne ovplyvnená (okrem prachových častíc a iných nečistôt, ktoré sa budú zachytávať v lapačoch nečistôt), a preto nemožno očakávať žiaden negatívny vplyv navrhovaného spôsobu infiltrácie do horninového prostredia na kvalitu podzemných a povrchových vôd v posudzovanej oblasti.</w:t>
      </w:r>
    </w:p>
    <w:p w14:paraId="3D0F160D" w14:textId="77777777" w:rsidR="00672D67" w:rsidRPr="00954742" w:rsidRDefault="00672D67" w:rsidP="00672D67">
      <w:pPr>
        <w:pStyle w:val="A-Text11"/>
      </w:pPr>
      <w:r w:rsidRPr="00954742">
        <w:t>Naopak, vidíme v tomto riešení pozitívum v tom, že navrhovaným spôsobom bude zachovaná bilančná rovnováha daného ekosystému a nebude dochádzať k nežiaducemu vysušovaniu územia. V predmetnom území a jeho širšom okolí sa nenachádza žiaden významnejší zdroj podzemnej vody, ktorý je využívaný na vodárenské účely a posudzovanou činnosťou by mohol byť potencionálne ohrozený. Vypúšťanie prečistených odpadových vôd do infiltračného systému bude gravitačným vsakom do horninového prostredia, ktorá garantuje ďalší stupeň čistenia počas prirodzenej gravitačnej infiltrácie.</w:t>
      </w:r>
    </w:p>
    <w:p w14:paraId="06CDC446" w14:textId="77777777" w:rsidR="00672D67" w:rsidRPr="00954742" w:rsidRDefault="00672D67" w:rsidP="00672D67">
      <w:pPr>
        <w:pStyle w:val="A-Text11"/>
      </w:pPr>
      <w:r w:rsidRPr="00954742">
        <w:t xml:space="preserve">Vsakovacie zariadenie je nadimenzované na 50 ročný kritický prívalový dážď s dobou trvania 120 min. Nad vsakovacím zariadením "VZ2" bude vybudovaná povrchová retenčná nádrž pre pokrytie objemu do úrovne 100 ročného kritického prívalového dažďa. Táto nádrž bude mať charakter terénnej depresie hĺbky 15cm na pôdorysnej ploche zodpovedajúcej pôdorysnej ploche vsaku VZ2.  </w:t>
      </w:r>
    </w:p>
    <w:p w14:paraId="5E4A291E" w14:textId="77777777" w:rsidR="00672D67" w:rsidRPr="00954742" w:rsidRDefault="00672D67" w:rsidP="00672D67">
      <w:pPr>
        <w:pStyle w:val="A-Text11"/>
      </w:pPr>
      <w:r w:rsidRPr="00954742">
        <w:t>Návrh ORL2</w:t>
      </w:r>
    </w:p>
    <w:p w14:paraId="5E185F61" w14:textId="77777777" w:rsidR="00672D67" w:rsidRPr="00954742" w:rsidRDefault="00672D67" w:rsidP="00672D67">
      <w:pPr>
        <w:pStyle w:val="A-Text11"/>
      </w:pPr>
      <w:r w:rsidRPr="00954742">
        <w:t xml:space="preserve">Celková plocha ciest a parkovísk → 0,130 ha </w:t>
      </w:r>
      <w:r w:rsidRPr="00954742">
        <w:rPr>
          <w:i/>
          <w:iCs/>
        </w:rPr>
        <w:t>(SO-409+SO-408)</w:t>
      </w:r>
    </w:p>
    <w:p w14:paraId="680FF343" w14:textId="77777777" w:rsidR="00672D67" w:rsidRPr="00954742" w:rsidRDefault="00672D67" w:rsidP="00672D67">
      <w:pPr>
        <w:pStyle w:val="A-Text11"/>
      </w:pPr>
      <w:r w:rsidRPr="00954742">
        <w:t>Koeficient odtoku (k</w:t>
      </w:r>
      <w:r w:rsidRPr="00954742">
        <w:rPr>
          <w:vertAlign w:val="subscript"/>
        </w:rPr>
        <w:t>f</w:t>
      </w:r>
      <w:r w:rsidRPr="00954742">
        <w:t>) → 0,9</w:t>
      </w:r>
    </w:p>
    <w:p w14:paraId="46F4482D" w14:textId="77777777" w:rsidR="00672D67" w:rsidRPr="00954742" w:rsidRDefault="00672D67" w:rsidP="00672D67">
      <w:pPr>
        <w:pStyle w:val="A-Text11"/>
      </w:pPr>
      <w:r w:rsidRPr="00954742">
        <w:lastRenderedPageBreak/>
        <w:t>Intenzita → 258 l/s.ha (50 ročný dážď)</w:t>
      </w:r>
    </w:p>
    <w:p w14:paraId="2481C356" w14:textId="77777777" w:rsidR="00672D67" w:rsidRPr="00954742" w:rsidRDefault="00672D67" w:rsidP="00672D67">
      <w:pPr>
        <w:pStyle w:val="A-Text11"/>
      </w:pPr>
      <w:r w:rsidRPr="00954742">
        <w:t>Periodicita → 0,02</w:t>
      </w:r>
    </w:p>
    <w:p w14:paraId="212F7DAE" w14:textId="77777777" w:rsidR="00672D67" w:rsidRPr="00954742" w:rsidRDefault="00672D67" w:rsidP="00672D67">
      <w:pPr>
        <w:pStyle w:val="A-Text11"/>
      </w:pPr>
      <w:r w:rsidRPr="00954742">
        <w:t>Q = 258 x 0,130 x 0,9 = 30,2 l/s</w:t>
      </w:r>
    </w:p>
    <w:p w14:paraId="35F541F8" w14:textId="77777777" w:rsidR="00672D67" w:rsidRPr="00954742" w:rsidRDefault="00672D67" w:rsidP="00672D67">
      <w:pPr>
        <w:pStyle w:val="A-Text11"/>
        <w:rPr>
          <w:i/>
        </w:rPr>
      </w:pPr>
      <w:r w:rsidRPr="00954742">
        <w:t>Navrhujeme odlučovač ropných látok s kapacitou 40 l/s → Q  ORL = 40,0 l/s.....</w:t>
      </w:r>
      <w:r w:rsidRPr="00954742">
        <w:rPr>
          <w:i/>
        </w:rPr>
        <w:t>(ORL KL 040/1 sII)</w:t>
      </w:r>
    </w:p>
    <w:p w14:paraId="23452228" w14:textId="77777777" w:rsidR="00A23A56" w:rsidRPr="00954742" w:rsidRDefault="00A23A56" w:rsidP="00A23A56">
      <w:pPr>
        <w:pStyle w:val="A-Text11"/>
        <w:ind w:firstLine="0"/>
        <w:rPr>
          <w:b/>
          <w:bCs/>
          <w:iCs/>
        </w:rPr>
      </w:pPr>
      <w:bookmarkStart w:id="90" w:name="_Toc91148320"/>
      <w:r w:rsidRPr="00954742">
        <w:rPr>
          <w:b/>
          <w:bCs/>
          <w:iCs/>
        </w:rPr>
        <w:t>SO 409 Dažďová kanalizácia Banšelova</w:t>
      </w:r>
      <w:bookmarkEnd w:id="90"/>
    </w:p>
    <w:p w14:paraId="2E3C0C15" w14:textId="77777777" w:rsidR="00A23A56" w:rsidRPr="00954742" w:rsidRDefault="00A23A56" w:rsidP="00A23A56">
      <w:pPr>
        <w:pStyle w:val="A-Text11"/>
        <w:rPr>
          <w:iCs/>
        </w:rPr>
      </w:pPr>
      <w:bookmarkStart w:id="91" w:name="_Toc91148321"/>
      <w:r w:rsidRPr="00954742">
        <w:rPr>
          <w:iCs/>
        </w:rPr>
        <w:t>Celkové riešenie</w:t>
      </w:r>
      <w:bookmarkEnd w:id="91"/>
    </w:p>
    <w:p w14:paraId="50A85A45" w14:textId="77777777" w:rsidR="00A23A56" w:rsidRPr="00954742" w:rsidRDefault="00A23A56" w:rsidP="00A23A56">
      <w:pPr>
        <w:pStyle w:val="A-Text11"/>
        <w:rPr>
          <w:iCs/>
        </w:rPr>
      </w:pPr>
      <w:r w:rsidRPr="00954742">
        <w:rPr>
          <w:iCs/>
        </w:rPr>
        <w:t>Dažďové vody z povrchových parkovacích miest koncového úseku samotnej komunikácie na Banšelovej o výmere 650,0m</w:t>
      </w:r>
      <w:r w:rsidRPr="00954742">
        <w:rPr>
          <w:iCs/>
          <w:vertAlign w:val="superscript"/>
        </w:rPr>
        <w:t>2</w:t>
      </w:r>
      <w:r w:rsidRPr="00954742">
        <w:rPr>
          <w:iCs/>
        </w:rPr>
        <w:t xml:space="preserve"> budú zachytené uličnými vpustmi a odvedené kanalizačnými prípojkami DN150 do spoločnej dažďovej kanalizácie DN300 s SO-408. </w:t>
      </w:r>
    </w:p>
    <w:p w14:paraId="659BDE55" w14:textId="77777777" w:rsidR="00A23A56" w:rsidRPr="00954742" w:rsidRDefault="00A23A56" w:rsidP="00A23A56">
      <w:pPr>
        <w:pStyle w:val="A-Text11"/>
        <w:rPr>
          <w:iCs/>
        </w:rPr>
      </w:pPr>
      <w:r w:rsidRPr="00954742">
        <w:rPr>
          <w:iCs/>
        </w:rPr>
        <w:t xml:space="preserve">V navrhovaných pozdĺžnych parkovacích miestach pozdĺž existujúcej komunikácie na Banšelovej ulici budú osadené nové uličné vpuste, ktoré bude potrebné zachytiť prípojkami D150. Okrem toho bude potrebné zachytiť existujúce uličné vpuste priamo v komunikácii, ktoré boli odpojené zo zrušenej verejnej kanalizácie na Banšelovej ulici v rámci SO-208. Týmto riešením dôjde k čiastočnému odľahčeniu dlhodobo preťažovaného koncového úseku verejnej kanalizácie na Banšelovej ulici. </w:t>
      </w:r>
    </w:p>
    <w:p w14:paraId="27AD57D8" w14:textId="77777777" w:rsidR="00A23A56" w:rsidRPr="00954742" w:rsidRDefault="00A23A56" w:rsidP="00A23A56">
      <w:pPr>
        <w:pStyle w:val="A-Text11"/>
        <w:rPr>
          <w:iCs/>
        </w:rPr>
      </w:pPr>
      <w:r w:rsidRPr="00954742">
        <w:rPr>
          <w:iCs/>
        </w:rPr>
        <w:t xml:space="preserve">Po predčistení v spoločnom odlučovači ropných látok ORL2 s SO-408 budú následne odvedené do vsaku VZ3 spoločného so vsakom VZ23 pre s SO-408.  Všetka dažďová voda bude vsakovaná na pozemku do podložia pomocou vsakovacích blokov drenblok. </w:t>
      </w:r>
    </w:p>
    <w:p w14:paraId="400FC1B3" w14:textId="77777777" w:rsidR="00A23A56" w:rsidRPr="00954742" w:rsidRDefault="00A23A56" w:rsidP="00A23A56">
      <w:pPr>
        <w:pStyle w:val="A-Text11"/>
        <w:rPr>
          <w:iCs/>
        </w:rPr>
      </w:pPr>
      <w:r w:rsidRPr="00954742">
        <w:rPr>
          <w:iCs/>
        </w:rPr>
        <w:t>V prípade navrhovaného objektu nebude primárna kvalita zrážkových vôd nijako sekundárne ovplyvnená (okrem prachových častíc a iných nečistôt, ktoré sa budú zachytávať v lapačoch nečistôt), a preto nemožno očakávať žiaden negatívny vplyv navrhovaného spôsobu infiltrácie do horninového prostredia na kvalitu podzemných a povrchových vôd v posudzovanej oblasti.</w:t>
      </w:r>
    </w:p>
    <w:p w14:paraId="3786CDC3" w14:textId="77777777" w:rsidR="00A23A56" w:rsidRPr="00954742" w:rsidRDefault="00A23A56" w:rsidP="00A23A56">
      <w:pPr>
        <w:pStyle w:val="A-Text11"/>
        <w:rPr>
          <w:iCs/>
        </w:rPr>
      </w:pPr>
      <w:r w:rsidRPr="00954742">
        <w:rPr>
          <w:iCs/>
        </w:rPr>
        <w:t>Naopak, vidíme v tomto riešení pozitívum v tom, že navrhovaným spôsobom bude zachovaná bilančná rovnováha daného ekosystému a nebude dochádzať k nežiaducemu vysušovaniu územia. V predmetnom území a jeho širšom okolí sa nenachádza žiaden významnejší zdroj podzemnej vody, ktorý je využívaný na vodárenské účely a posudzovanou činnosťou by mohol byť potencionálne ohrozený. Vypúšťanie prečistených odpadových vôd do infiltračného systému bude gravitačným vsakom do horninového prostredia, ktorá garantuje ďalší stupeň čistenia počas prirodzenej gravitačnej infiltrácie.</w:t>
      </w:r>
    </w:p>
    <w:p w14:paraId="49909498" w14:textId="77777777" w:rsidR="00A23A56" w:rsidRPr="00954742" w:rsidRDefault="00A23A56" w:rsidP="00A23A56">
      <w:pPr>
        <w:pStyle w:val="A-Text11"/>
        <w:rPr>
          <w:iCs/>
        </w:rPr>
      </w:pPr>
      <w:r w:rsidRPr="00954742">
        <w:rPr>
          <w:iCs/>
        </w:rPr>
        <w:t xml:space="preserve">Vsakovacie zariadenie je nadimenzované na 50 ročný kritický prívalový dážď s dobou trvania 120 min. Nad vsakovacím zariadením "VZ2" bude vybudovaná povrchová retenčná nádrž pre pokrytie objemu do úrovne 100 ročného kritického prívalového dažďa. Táto nádrž bude mať charakter terénnej depresie hĺbky 15cm na pôdorysnej ploche zodpovedajúcej pôdorysnej ploche vsaku VZ2.  </w:t>
      </w:r>
    </w:p>
    <w:p w14:paraId="7765411F" w14:textId="77777777" w:rsidR="00307296" w:rsidRPr="00954742" w:rsidRDefault="00307296" w:rsidP="00307296">
      <w:pPr>
        <w:pStyle w:val="A-Text11"/>
        <w:ind w:firstLine="0"/>
        <w:rPr>
          <w:b/>
          <w:bCs/>
          <w:iCs/>
        </w:rPr>
      </w:pPr>
      <w:bookmarkStart w:id="92" w:name="_Toc91148322"/>
      <w:r w:rsidRPr="00954742">
        <w:rPr>
          <w:b/>
          <w:bCs/>
          <w:iCs/>
        </w:rPr>
        <w:t>SO 410 Dažďová kanalizácia Terchovská, Gallova</w:t>
      </w:r>
      <w:bookmarkEnd w:id="92"/>
    </w:p>
    <w:p w14:paraId="02802B3E" w14:textId="77777777" w:rsidR="00307296" w:rsidRPr="00954742" w:rsidRDefault="00307296" w:rsidP="00307296">
      <w:pPr>
        <w:pStyle w:val="A-Text11"/>
        <w:rPr>
          <w:iCs/>
        </w:rPr>
      </w:pPr>
      <w:bookmarkStart w:id="93" w:name="_Toc91148323"/>
      <w:r w:rsidRPr="00954742">
        <w:rPr>
          <w:iCs/>
        </w:rPr>
        <w:t>Celkové riešenie</w:t>
      </w:r>
      <w:bookmarkEnd w:id="93"/>
    </w:p>
    <w:p w14:paraId="0A078912" w14:textId="77777777" w:rsidR="00307296" w:rsidRPr="00954742" w:rsidRDefault="00307296" w:rsidP="00307296">
      <w:pPr>
        <w:pStyle w:val="A-Text11"/>
        <w:rPr>
          <w:iCs/>
        </w:rPr>
      </w:pPr>
      <w:r w:rsidRPr="00954742">
        <w:rPr>
          <w:iCs/>
        </w:rPr>
        <w:t>Dažďové vody z komunikácie na Terchovskej a Gallovej ulici o výmere 850,0m</w:t>
      </w:r>
      <w:r w:rsidRPr="00954742">
        <w:rPr>
          <w:iCs/>
          <w:vertAlign w:val="superscript"/>
        </w:rPr>
        <w:t>2</w:t>
      </w:r>
      <w:r w:rsidRPr="00954742">
        <w:rPr>
          <w:iCs/>
        </w:rPr>
        <w:t xml:space="preserve"> budú zachytené uličnými vpustmi a odvedené kanalizačnými prípojkami DN150 do spoločnej dažďovej kanalizácie DN300 z materiálu PP dĺžky 154,0m. </w:t>
      </w:r>
    </w:p>
    <w:p w14:paraId="5E223D13" w14:textId="77777777" w:rsidR="00307296" w:rsidRPr="00954742" w:rsidRDefault="00307296" w:rsidP="00307296">
      <w:pPr>
        <w:pStyle w:val="A-Text11"/>
        <w:rPr>
          <w:iCs/>
        </w:rPr>
      </w:pPr>
      <w:r w:rsidRPr="00954742">
        <w:rPr>
          <w:iCs/>
        </w:rPr>
        <w:lastRenderedPageBreak/>
        <w:t xml:space="preserve">Po predčistení v odlučovači ropných látok ORL1 budú následne odvedené do vsaku VZ1. Všetka dažďová voda bude vsakovaná na pozemku do podložia pomocou vsakovacích blokov drenblok. </w:t>
      </w:r>
    </w:p>
    <w:p w14:paraId="628DE1F3" w14:textId="77777777" w:rsidR="00307296" w:rsidRPr="00954742" w:rsidRDefault="00307296" w:rsidP="00307296">
      <w:pPr>
        <w:pStyle w:val="A-Text11"/>
        <w:rPr>
          <w:iCs/>
        </w:rPr>
      </w:pPr>
      <w:r w:rsidRPr="00954742">
        <w:rPr>
          <w:iCs/>
        </w:rPr>
        <w:t>V prípade navrhovaného objektu nebude primárna kvalita zrážkových vôd nijako sekundárne ovplyvnená (okrem prachových častíc a iných nečistôt, ktoré sa budú zachytávať v lapačoch nečistôt), a preto nemožno očakávať žiaden negatívny vplyv navrhovaného spôsobu infiltrácie do horninového prostredia na kvalitu podzemných a povrchových vôd v posudzovanej oblasti.</w:t>
      </w:r>
    </w:p>
    <w:p w14:paraId="782212F2" w14:textId="77777777" w:rsidR="00307296" w:rsidRPr="00954742" w:rsidRDefault="00307296" w:rsidP="00307296">
      <w:pPr>
        <w:pStyle w:val="A-Text11"/>
        <w:rPr>
          <w:iCs/>
        </w:rPr>
      </w:pPr>
      <w:r w:rsidRPr="00954742">
        <w:rPr>
          <w:iCs/>
        </w:rPr>
        <w:t>Naopak, vidíme v tomto riešení pozitívum v tom, že navrhovaným spôsobom bude zachovaná bilančná rovnováha daného ekosystému a nebude dochádzať k nežiaducemu vysušovaniu územia. V predmetnom území a jeho širšom okolí sa nenachádza žiaden významnejší zdroj podzemnej vody, ktorý je využívaný na vodárenské účely a posudzovanou činnosťou by mohol byť potencionálne ohrozený. Vypúšťanie prečistených odpadových vôd do infiltračného systému bude gravitačným vsakom do horninového prostredia, ktorá garantuje ďalší stupeň čistenia počas prirodzenej gravitačnej infiltrácie.</w:t>
      </w:r>
    </w:p>
    <w:p w14:paraId="4E3DCECA" w14:textId="77777777" w:rsidR="00307296" w:rsidRPr="00954742" w:rsidRDefault="00307296" w:rsidP="00307296">
      <w:pPr>
        <w:pStyle w:val="A-Text11"/>
        <w:rPr>
          <w:iCs/>
        </w:rPr>
      </w:pPr>
      <w:r w:rsidRPr="00954742">
        <w:rPr>
          <w:iCs/>
        </w:rPr>
        <w:t xml:space="preserve">Vsakovacie zariadenie je nadimenzované na 50 ročný kritický prívalový dážď s dobou trvania 120 min. Nad vsakovacím zariadením "VZ1" bude vybudovaná povrchová retenčná nádrž pre pokrytie objemu do úrovne 100 ročného kritického prívalového dažďa. Táto nádrž bude mať charakter terénnej depresie hĺbky 15cm na pôdorysnej ploche zodpovedajúcej pôdorysnej ploche vsaku VZ1.  </w:t>
      </w:r>
    </w:p>
    <w:p w14:paraId="24634172" w14:textId="77777777" w:rsidR="00307296" w:rsidRPr="00954742" w:rsidRDefault="00307296" w:rsidP="00307296">
      <w:pPr>
        <w:pStyle w:val="A-Text11"/>
        <w:rPr>
          <w:bCs/>
          <w:iCs/>
        </w:rPr>
      </w:pPr>
      <w:r w:rsidRPr="00954742">
        <w:rPr>
          <w:bCs/>
          <w:iCs/>
        </w:rPr>
        <w:t>Návrh ORL1</w:t>
      </w:r>
    </w:p>
    <w:p w14:paraId="0ED28404" w14:textId="77777777" w:rsidR="00307296" w:rsidRPr="00954742" w:rsidRDefault="00307296" w:rsidP="00307296">
      <w:pPr>
        <w:pStyle w:val="A-Text11"/>
        <w:rPr>
          <w:iCs/>
        </w:rPr>
      </w:pPr>
      <w:r w:rsidRPr="00954742">
        <w:rPr>
          <w:iCs/>
        </w:rPr>
        <w:t>Celková plocha ciest a parkovísk → 0,0850 ha</w:t>
      </w:r>
    </w:p>
    <w:p w14:paraId="3D1F3983" w14:textId="77777777" w:rsidR="00307296" w:rsidRPr="00954742" w:rsidRDefault="00307296" w:rsidP="00307296">
      <w:pPr>
        <w:pStyle w:val="A-Text11"/>
        <w:rPr>
          <w:iCs/>
        </w:rPr>
      </w:pPr>
      <w:r w:rsidRPr="00954742">
        <w:rPr>
          <w:iCs/>
        </w:rPr>
        <w:t>Koeficient odtoku (k</w:t>
      </w:r>
      <w:r w:rsidRPr="00954742">
        <w:rPr>
          <w:iCs/>
          <w:vertAlign w:val="subscript"/>
        </w:rPr>
        <w:t>f</w:t>
      </w:r>
      <w:r w:rsidRPr="00954742">
        <w:rPr>
          <w:iCs/>
        </w:rPr>
        <w:t>) → 0,9</w:t>
      </w:r>
    </w:p>
    <w:p w14:paraId="71EE28EF" w14:textId="77777777" w:rsidR="00307296" w:rsidRPr="00954742" w:rsidRDefault="00307296" w:rsidP="00307296">
      <w:pPr>
        <w:pStyle w:val="A-Text11"/>
        <w:rPr>
          <w:iCs/>
        </w:rPr>
      </w:pPr>
      <w:r w:rsidRPr="00954742">
        <w:rPr>
          <w:iCs/>
        </w:rPr>
        <w:t>Intenzita → 258 l/s.ha (50 ročný dážď)</w:t>
      </w:r>
    </w:p>
    <w:p w14:paraId="58A54A90" w14:textId="77777777" w:rsidR="00307296" w:rsidRPr="00954742" w:rsidRDefault="00307296" w:rsidP="00307296">
      <w:pPr>
        <w:pStyle w:val="A-Text11"/>
        <w:rPr>
          <w:iCs/>
        </w:rPr>
      </w:pPr>
      <w:r w:rsidRPr="00954742">
        <w:rPr>
          <w:iCs/>
        </w:rPr>
        <w:t>Periodicita → 0,02</w:t>
      </w:r>
    </w:p>
    <w:p w14:paraId="582A6C53" w14:textId="77777777" w:rsidR="00307296" w:rsidRPr="00954742" w:rsidRDefault="00307296" w:rsidP="00307296">
      <w:pPr>
        <w:pStyle w:val="A-Text11"/>
        <w:rPr>
          <w:iCs/>
        </w:rPr>
      </w:pPr>
      <w:r w:rsidRPr="00954742">
        <w:rPr>
          <w:iCs/>
        </w:rPr>
        <w:t>Q = 258 x 0,085 x 0,9 = 19,7 l/s</w:t>
      </w:r>
    </w:p>
    <w:p w14:paraId="6E8A8936" w14:textId="77777777" w:rsidR="00307296" w:rsidRPr="00954742" w:rsidRDefault="00307296" w:rsidP="00307296">
      <w:pPr>
        <w:pStyle w:val="A-Text11"/>
        <w:rPr>
          <w:iCs/>
        </w:rPr>
      </w:pPr>
      <w:r w:rsidRPr="00954742">
        <w:rPr>
          <w:iCs/>
        </w:rPr>
        <w:t>Navrhujeme odlučovač ropných látok s kapacitou 20 l/s → Q  ORL = 20,0 l/s.....(ORL KL 020/1 sII)</w:t>
      </w:r>
    </w:p>
    <w:p w14:paraId="4E9AC15C" w14:textId="0F8B9007" w:rsidR="00296544" w:rsidRPr="00954742" w:rsidRDefault="00296544" w:rsidP="00296544">
      <w:pPr>
        <w:pStyle w:val="A-Text11"/>
        <w:rPr>
          <w:b/>
          <w:bCs/>
          <w:iCs/>
        </w:rPr>
      </w:pPr>
      <w:r w:rsidRPr="00954742">
        <w:rPr>
          <w:b/>
          <w:bCs/>
          <w:iCs/>
        </w:rPr>
        <w:t>SO 504 Chodník Gallova - Rožňavská</w:t>
      </w:r>
    </w:p>
    <w:p w14:paraId="21F8B7F2" w14:textId="77777777" w:rsidR="00296544" w:rsidRPr="00954742" w:rsidRDefault="00296544" w:rsidP="00EA1E8E">
      <w:pPr>
        <w:pStyle w:val="A-Text11"/>
        <w:spacing w:before="0" w:line="240" w:lineRule="auto"/>
        <w:ind w:firstLine="425"/>
        <w:rPr>
          <w:b/>
          <w:bCs/>
          <w:iCs/>
        </w:rPr>
      </w:pPr>
      <w:r w:rsidRPr="00954742">
        <w:rPr>
          <w:b/>
          <w:bCs/>
          <w:iCs/>
        </w:rPr>
        <w:t>SO 505 Chodník Banšelova (Južná strana)</w:t>
      </w:r>
    </w:p>
    <w:p w14:paraId="5DB58A5E" w14:textId="77777777" w:rsidR="00296544" w:rsidRPr="00954742" w:rsidRDefault="00296544" w:rsidP="00EA1E8E">
      <w:pPr>
        <w:pStyle w:val="A-Text11"/>
        <w:spacing w:before="0" w:line="240" w:lineRule="auto"/>
        <w:ind w:firstLine="425"/>
        <w:rPr>
          <w:b/>
          <w:bCs/>
          <w:iCs/>
        </w:rPr>
      </w:pPr>
      <w:r w:rsidRPr="00954742">
        <w:rPr>
          <w:b/>
          <w:bCs/>
          <w:iCs/>
        </w:rPr>
        <w:t>SO 506 Miestna komunikácia Terchovská</w:t>
      </w:r>
    </w:p>
    <w:p w14:paraId="188A0E9E" w14:textId="77777777" w:rsidR="00296544" w:rsidRPr="00954742" w:rsidRDefault="00296544" w:rsidP="00EA1E8E">
      <w:pPr>
        <w:pStyle w:val="A-Text11"/>
        <w:spacing w:before="0" w:line="240" w:lineRule="auto"/>
        <w:ind w:firstLine="425"/>
        <w:rPr>
          <w:b/>
          <w:bCs/>
          <w:iCs/>
        </w:rPr>
      </w:pPr>
      <w:r w:rsidRPr="00954742">
        <w:rPr>
          <w:b/>
          <w:bCs/>
          <w:iCs/>
        </w:rPr>
        <w:t>SO 507 Miestna komunikácia Banšelova</w:t>
      </w:r>
    </w:p>
    <w:p w14:paraId="035F8E68" w14:textId="77777777" w:rsidR="00296544" w:rsidRPr="00954742" w:rsidRDefault="00296544" w:rsidP="00EA1E8E">
      <w:pPr>
        <w:pStyle w:val="A-Text11"/>
        <w:spacing w:before="0" w:line="240" w:lineRule="auto"/>
        <w:ind w:firstLine="425"/>
        <w:rPr>
          <w:b/>
          <w:bCs/>
          <w:iCs/>
        </w:rPr>
      </w:pPr>
      <w:r w:rsidRPr="00954742">
        <w:rPr>
          <w:b/>
          <w:bCs/>
          <w:iCs/>
        </w:rPr>
        <w:t>SO 508 Parkovisko Banšelova</w:t>
      </w:r>
    </w:p>
    <w:p w14:paraId="06C7FEB8" w14:textId="03E6D871" w:rsidR="00C25886" w:rsidRPr="00954742" w:rsidRDefault="00296544" w:rsidP="00EA1E8E">
      <w:pPr>
        <w:pStyle w:val="A-Text11"/>
        <w:spacing w:before="0" w:line="240" w:lineRule="auto"/>
        <w:ind w:firstLine="425"/>
        <w:rPr>
          <w:b/>
          <w:bCs/>
          <w:iCs/>
        </w:rPr>
      </w:pPr>
      <w:r w:rsidRPr="00954742">
        <w:rPr>
          <w:b/>
          <w:bCs/>
          <w:iCs/>
        </w:rPr>
        <w:t>SO 509 Cyklochodník</w:t>
      </w:r>
    </w:p>
    <w:p w14:paraId="08AAFD66" w14:textId="7D383209" w:rsidR="00296544" w:rsidRPr="00954742" w:rsidRDefault="00551E19" w:rsidP="00296544">
      <w:pPr>
        <w:pStyle w:val="A-Text11"/>
        <w:rPr>
          <w:iCs/>
        </w:rPr>
      </w:pPr>
      <w:r w:rsidRPr="00954742">
        <w:rPr>
          <w:iCs/>
        </w:rPr>
        <w:t xml:space="preserve">Riešenie SO 504 – 509 je bližšie popísané v kapitole </w:t>
      </w:r>
      <w:r w:rsidR="00967662" w:rsidRPr="00954742">
        <w:rPr>
          <w:iCs/>
        </w:rPr>
        <w:t>II.8.3</w:t>
      </w:r>
    </w:p>
    <w:p w14:paraId="7BB11E35" w14:textId="260DEAFF" w:rsidR="00200461" w:rsidRPr="00954742" w:rsidRDefault="00200461" w:rsidP="00200461">
      <w:pPr>
        <w:pStyle w:val="A-Text11"/>
        <w:ind w:left="432" w:firstLine="0"/>
        <w:rPr>
          <w:b/>
          <w:bCs/>
          <w:iCs/>
        </w:rPr>
      </w:pPr>
      <w:bookmarkStart w:id="94" w:name="_Toc91148329"/>
      <w:r w:rsidRPr="00954742">
        <w:rPr>
          <w:b/>
          <w:bCs/>
          <w:iCs/>
        </w:rPr>
        <w:t>SO 511 Oporné múr</w:t>
      </w:r>
      <w:r w:rsidR="00EB5893" w:rsidRPr="00954742">
        <w:rPr>
          <w:b/>
          <w:bCs/>
          <w:iCs/>
        </w:rPr>
        <w:t>y</w:t>
      </w:r>
      <w:r w:rsidRPr="00954742">
        <w:rPr>
          <w:b/>
          <w:bCs/>
          <w:iCs/>
        </w:rPr>
        <w:t xml:space="preserve"> dotknuté územie</w:t>
      </w:r>
      <w:bookmarkEnd w:id="94"/>
    </w:p>
    <w:p w14:paraId="54E0D788" w14:textId="77777777" w:rsidR="00200461" w:rsidRPr="00954742" w:rsidRDefault="00200461" w:rsidP="00200461">
      <w:pPr>
        <w:pStyle w:val="A-Text11"/>
        <w:rPr>
          <w:iCs/>
        </w:rPr>
      </w:pPr>
      <w:r w:rsidRPr="00954742">
        <w:rPr>
          <w:iCs/>
        </w:rPr>
        <w:t>Oporné múry budú navrhnuté v miestach, kde je väčšie prevýšenie terénu a nie je možné urobiť svah z priestorových dôvodov. Podrobnejšie bude riešené v ďalšom stupni PD.</w:t>
      </w:r>
    </w:p>
    <w:p w14:paraId="710082A0" w14:textId="77777777" w:rsidR="00200461" w:rsidRPr="00954742" w:rsidRDefault="00200461" w:rsidP="00200461">
      <w:pPr>
        <w:pStyle w:val="A-Text11"/>
        <w:ind w:left="432" w:firstLine="0"/>
        <w:rPr>
          <w:b/>
          <w:bCs/>
          <w:iCs/>
        </w:rPr>
      </w:pPr>
      <w:bookmarkStart w:id="95" w:name="_Toc91148330"/>
      <w:r w:rsidRPr="00954742">
        <w:rPr>
          <w:b/>
          <w:bCs/>
          <w:iCs/>
        </w:rPr>
        <w:t>SO 512 Zastávka MHD</w:t>
      </w:r>
      <w:bookmarkEnd w:id="95"/>
    </w:p>
    <w:p w14:paraId="3BA02917" w14:textId="77777777" w:rsidR="00200461" w:rsidRPr="00954742" w:rsidRDefault="00200461" w:rsidP="00200461">
      <w:pPr>
        <w:pStyle w:val="A-Text11"/>
        <w:rPr>
          <w:iCs/>
        </w:rPr>
      </w:pPr>
      <w:r w:rsidRPr="00954742">
        <w:rPr>
          <w:iCs/>
        </w:rPr>
        <w:t xml:space="preserve">Predmetom tohto stavebného objektu je revitalizácia existujúcej zastávky MHD. Predbežne sa uvažuje s výmenou pochôdznej plochy, Pôvodná konštrukcia prístreška </w:t>
      </w:r>
      <w:r w:rsidRPr="00954742">
        <w:rPr>
          <w:iCs/>
        </w:rPr>
        <w:lastRenderedPageBreak/>
        <w:t>zastávky MHD bude demontovaná a uložená do skladu a po zrealizovaní finálnych povrchov bude osadená na určené miesto. Podrobnejšie bude riešené v ďalšom stupni PD.</w:t>
      </w:r>
    </w:p>
    <w:p w14:paraId="5C8F5E9E" w14:textId="77777777" w:rsidR="0093364E" w:rsidRPr="00954742" w:rsidRDefault="0093364E" w:rsidP="0093364E">
      <w:pPr>
        <w:pStyle w:val="A-Text11"/>
        <w:rPr>
          <w:b/>
          <w:bCs/>
          <w:iCs/>
        </w:rPr>
      </w:pPr>
      <w:bookmarkStart w:id="96" w:name="_Toc91148331"/>
      <w:r w:rsidRPr="00954742">
        <w:rPr>
          <w:b/>
          <w:bCs/>
          <w:iCs/>
        </w:rPr>
        <w:t>SO 920 Sadové úpravy dotknuté územie</w:t>
      </w:r>
      <w:bookmarkEnd w:id="96"/>
    </w:p>
    <w:p w14:paraId="41C663D6" w14:textId="6D93DCED" w:rsidR="0093364E" w:rsidRPr="00954742" w:rsidRDefault="0093364E" w:rsidP="0093364E">
      <w:pPr>
        <w:pStyle w:val="A-Text11"/>
        <w:rPr>
          <w:iCs/>
        </w:rPr>
      </w:pPr>
      <w:r w:rsidRPr="00954742">
        <w:rPr>
          <w:iCs/>
        </w:rPr>
        <w:t xml:space="preserve">Dotknuté územie mimo riešené územie je územie vymedzené v situácii hranicami dotknutého a riešeného územia. Jedná sa o uličný priestor pri uliciach Terchovská, Banšelova, Galvaniho a Gallova. </w:t>
      </w:r>
    </w:p>
    <w:p w14:paraId="72F0D730" w14:textId="77777777" w:rsidR="0093364E" w:rsidRPr="00954742" w:rsidRDefault="0093364E" w:rsidP="0093364E">
      <w:pPr>
        <w:pStyle w:val="A-Text11"/>
        <w:rPr>
          <w:iCs/>
        </w:rPr>
      </w:pPr>
      <w:r w:rsidRPr="00954742">
        <w:rPr>
          <w:iCs/>
        </w:rPr>
        <w:t xml:space="preserve">Sadové a parkové úpravy tejto predmetné časti tvorí výsadba vzrastlých stromov a parkový trávnik. </w:t>
      </w:r>
    </w:p>
    <w:p w14:paraId="1C7C5376" w14:textId="0C7535A7" w:rsidR="0093364E" w:rsidRPr="00954742" w:rsidRDefault="0093364E" w:rsidP="0093364E">
      <w:pPr>
        <w:pStyle w:val="A-Text11"/>
        <w:rPr>
          <w:iCs/>
        </w:rPr>
      </w:pPr>
      <w:r w:rsidRPr="00954742">
        <w:rPr>
          <w:iCs/>
        </w:rPr>
        <w:t xml:space="preserve">Koncept sadových úprav predmetného územia sú najmä uličné stromoradia so stromami </w:t>
      </w:r>
      <w:r w:rsidR="000B0285" w:rsidRPr="00954742">
        <w:rPr>
          <w:iCs/>
        </w:rPr>
        <w:t>umiestňovanými</w:t>
      </w:r>
      <w:r w:rsidRPr="00954742">
        <w:rPr>
          <w:iCs/>
        </w:rPr>
        <w:t xml:space="preserve"> v zelených pásoch a ostrovčekoch a stromy na parkovacích plochách. Zelené pásy a ostrovčeky sú tvorené pravidelne </w:t>
      </w:r>
      <w:r w:rsidR="000B0285" w:rsidRPr="00954742">
        <w:rPr>
          <w:iCs/>
        </w:rPr>
        <w:t>strihaným</w:t>
      </w:r>
      <w:r w:rsidRPr="00954742">
        <w:rPr>
          <w:iCs/>
        </w:rPr>
        <w:t xml:space="preserve"> parkovým trávnikom. Pozdĺž ulice Galvaniho je navrhované jednodruhové stromoradie z veľkokorunných platanov javorolistých (</w:t>
      </w:r>
      <w:r w:rsidRPr="00954742">
        <w:rPr>
          <w:i/>
          <w:iCs/>
        </w:rPr>
        <w:t>Platanus x acerifolia</w:t>
      </w:r>
      <w:r w:rsidRPr="00954742">
        <w:rPr>
          <w:iCs/>
        </w:rPr>
        <w:t>), ktoré časom poskytnú na ulici tieň a budú tak mať dobrý vplyv na mikroklímu ulice. Pozdĺž ulice Banšelova je navrhnuté obojstranné stromoradie brestovcov západných (</w:t>
      </w:r>
      <w:r w:rsidRPr="00954742">
        <w:rPr>
          <w:i/>
          <w:iCs/>
        </w:rPr>
        <w:t>Celtis occidentalis</w:t>
      </w:r>
      <w:r w:rsidRPr="00954742">
        <w:rPr>
          <w:iCs/>
        </w:rPr>
        <w:t>) a parkovacia plocha pri ulici Banšelova je doplnená o rady javorov poľných (</w:t>
      </w:r>
      <w:r w:rsidRPr="00954742">
        <w:rPr>
          <w:i/>
          <w:iCs/>
        </w:rPr>
        <w:t>Acer campestre</w:t>
      </w:r>
      <w:r w:rsidRPr="00954742">
        <w:rPr>
          <w:iCs/>
        </w:rPr>
        <w:t xml:space="preserve"> ‘Red Shine’) v ostrovčekoch medzi parkovacími miestami. Menšia parkovacia plocha pri ulici Gallova je taktiež doplnená o javory poľné (</w:t>
      </w:r>
      <w:r w:rsidRPr="00954742">
        <w:rPr>
          <w:i/>
          <w:iCs/>
        </w:rPr>
        <w:t>Acer campestre</w:t>
      </w:r>
      <w:r w:rsidRPr="00954742">
        <w:rPr>
          <w:iCs/>
        </w:rPr>
        <w:t xml:space="preserve"> ‘Red Shine’).</w:t>
      </w:r>
    </w:p>
    <w:p w14:paraId="689A95A1" w14:textId="77777777" w:rsidR="0093364E" w:rsidRPr="00954742" w:rsidRDefault="0093364E" w:rsidP="0093364E">
      <w:pPr>
        <w:pStyle w:val="A-Text11"/>
        <w:rPr>
          <w:iCs/>
        </w:rPr>
      </w:pPr>
      <w:r w:rsidRPr="00954742">
        <w:rPr>
          <w:iCs/>
        </w:rPr>
        <w:t>Prekoreniteľný priestor pre stromy pri ulici Galvaniho bude rozšírený pomocou použitia štrukturálnych substrátov. Zrážková voda z chodníku a cyklochodníka tu bude spádovaná do zeleného pásu. Zrážková voda na ostatných plochách bude vsakovaná priamo na zelených plochách.</w:t>
      </w:r>
    </w:p>
    <w:p w14:paraId="0CEA0B93" w14:textId="441A0F25" w:rsidR="0093364E" w:rsidRPr="00954742" w:rsidRDefault="0093364E" w:rsidP="0093364E">
      <w:pPr>
        <w:pStyle w:val="A-Text11"/>
        <w:rPr>
          <w:iCs/>
        </w:rPr>
      </w:pPr>
      <w:bookmarkStart w:id="97" w:name="_Toc91148333"/>
      <w:r w:rsidRPr="00954742">
        <w:rPr>
          <w:iCs/>
        </w:rPr>
        <w:t>Návrh riešenia</w:t>
      </w:r>
      <w:bookmarkEnd w:id="97"/>
    </w:p>
    <w:p w14:paraId="09CAD00F" w14:textId="77777777" w:rsidR="0093364E" w:rsidRPr="00954742" w:rsidRDefault="0093364E" w:rsidP="0093364E">
      <w:pPr>
        <w:pStyle w:val="A-Text11"/>
        <w:rPr>
          <w:iCs/>
        </w:rPr>
      </w:pPr>
      <w:r w:rsidRPr="00954742">
        <w:rPr>
          <w:iCs/>
        </w:rPr>
        <w:t>Sortiment výsadby stromov</w:t>
      </w:r>
    </w:p>
    <w:p w14:paraId="449C9821" w14:textId="77777777" w:rsidR="0093364E" w:rsidRPr="00954742" w:rsidRDefault="0093364E" w:rsidP="00EA1E8E">
      <w:pPr>
        <w:pStyle w:val="A-Text11"/>
        <w:spacing w:before="0" w:line="240" w:lineRule="auto"/>
        <w:ind w:firstLine="425"/>
        <w:rPr>
          <w:iCs/>
        </w:rPr>
      </w:pPr>
      <w:r w:rsidRPr="00954742">
        <w:rPr>
          <w:iCs/>
        </w:rPr>
        <w:t>PA</w:t>
      </w:r>
      <w:r w:rsidRPr="00954742">
        <w:rPr>
          <w:iCs/>
        </w:rPr>
        <w:tab/>
        <w:t>Platanus x acerifolia / obv.km. 20–25 cm</w:t>
      </w:r>
      <w:r w:rsidRPr="00954742">
        <w:rPr>
          <w:iCs/>
        </w:rPr>
        <w:tab/>
      </w:r>
      <w:r w:rsidRPr="00954742">
        <w:rPr>
          <w:iCs/>
        </w:rPr>
        <w:tab/>
        <w:t>9 ks</w:t>
      </w:r>
    </w:p>
    <w:p w14:paraId="46850B2C" w14:textId="77777777" w:rsidR="0093364E" w:rsidRPr="00954742" w:rsidRDefault="0093364E" w:rsidP="00EA1E8E">
      <w:pPr>
        <w:pStyle w:val="A-Text11"/>
        <w:spacing w:before="0" w:line="240" w:lineRule="auto"/>
        <w:ind w:firstLine="425"/>
        <w:rPr>
          <w:iCs/>
        </w:rPr>
      </w:pPr>
      <w:r w:rsidRPr="00954742">
        <w:rPr>
          <w:iCs/>
        </w:rPr>
        <w:t>ACR</w:t>
      </w:r>
      <w:r w:rsidRPr="00954742">
        <w:rPr>
          <w:iCs/>
        </w:rPr>
        <w:tab/>
        <w:t>Acer campestre ‘Red Shine’ / obv. km. 18–20 cm</w:t>
      </w:r>
      <w:r w:rsidRPr="00954742">
        <w:rPr>
          <w:iCs/>
        </w:rPr>
        <w:tab/>
        <w:t>3 ks</w:t>
      </w:r>
    </w:p>
    <w:p w14:paraId="790A6103" w14:textId="77777777" w:rsidR="0093364E" w:rsidRPr="00954742" w:rsidRDefault="0093364E" w:rsidP="00EA1E8E">
      <w:pPr>
        <w:pStyle w:val="A-Text11"/>
        <w:spacing w:before="0" w:line="240" w:lineRule="auto"/>
        <w:ind w:firstLine="425"/>
        <w:rPr>
          <w:iCs/>
        </w:rPr>
      </w:pPr>
      <w:r w:rsidRPr="00954742">
        <w:rPr>
          <w:iCs/>
        </w:rPr>
        <w:t>CO</w:t>
      </w:r>
      <w:r w:rsidRPr="00954742">
        <w:rPr>
          <w:iCs/>
        </w:rPr>
        <w:tab/>
        <w:t>Celtis occidentalis / obv. km. 18–20 cm</w:t>
      </w:r>
      <w:r w:rsidRPr="00954742">
        <w:rPr>
          <w:iCs/>
        </w:rPr>
        <w:tab/>
      </w:r>
      <w:r w:rsidRPr="00954742">
        <w:rPr>
          <w:iCs/>
        </w:rPr>
        <w:tab/>
        <w:t>3 ks</w:t>
      </w:r>
    </w:p>
    <w:p w14:paraId="058C0CD0" w14:textId="36C3D4AD" w:rsidR="0093364E" w:rsidRPr="00954742" w:rsidRDefault="0093364E" w:rsidP="0093364E">
      <w:pPr>
        <w:pStyle w:val="A-Text11"/>
        <w:rPr>
          <w:iCs/>
        </w:rPr>
      </w:pPr>
      <w:bookmarkStart w:id="98" w:name="_Toc91148334"/>
      <w:r w:rsidRPr="00954742">
        <w:rPr>
          <w:iCs/>
        </w:rPr>
        <w:t>Požiadavky na vybavenie</w:t>
      </w:r>
      <w:bookmarkEnd w:id="98"/>
    </w:p>
    <w:p w14:paraId="68D43724" w14:textId="77777777" w:rsidR="0093364E" w:rsidRPr="00954742" w:rsidRDefault="0093364E" w:rsidP="0093364E">
      <w:pPr>
        <w:pStyle w:val="A-Text11"/>
        <w:rPr>
          <w:iCs/>
        </w:rPr>
      </w:pPr>
      <w:r w:rsidRPr="00954742">
        <w:rPr>
          <w:iCs/>
        </w:rPr>
        <w:t>Počas stavby bude nutné zabezpečiť príjazd na stavbu. Úprava terénu a výsadba bude vykonaná manuálne alebo pomocou techniky. Závlaha drevín bude vykonaná cisternou.</w:t>
      </w:r>
    </w:p>
    <w:p w14:paraId="2C35C76A" w14:textId="57B0AFEE" w:rsidR="0093364E" w:rsidRPr="00954742" w:rsidRDefault="0093364E" w:rsidP="0093364E">
      <w:pPr>
        <w:pStyle w:val="A-Text11"/>
        <w:rPr>
          <w:iCs/>
        </w:rPr>
      </w:pPr>
      <w:bookmarkStart w:id="99" w:name="_Toc91148335"/>
      <w:r w:rsidRPr="00954742">
        <w:rPr>
          <w:iCs/>
        </w:rPr>
        <w:t>Požiadavky na postup stavebných prác</w:t>
      </w:r>
      <w:bookmarkEnd w:id="99"/>
      <w:r w:rsidRPr="00954742">
        <w:rPr>
          <w:iCs/>
        </w:rPr>
        <w:t xml:space="preserve">  </w:t>
      </w:r>
    </w:p>
    <w:p w14:paraId="262FE841" w14:textId="77777777" w:rsidR="0093364E" w:rsidRPr="00954742" w:rsidRDefault="0093364E" w:rsidP="0093364E">
      <w:pPr>
        <w:pStyle w:val="A-Text11"/>
        <w:rPr>
          <w:iCs/>
        </w:rPr>
      </w:pPr>
      <w:r w:rsidRPr="00954742">
        <w:rPr>
          <w:iCs/>
        </w:rPr>
        <w:t>Po skončení stavebných prác, pred začatím realizácií vegetačných úprav bude plocha vyčistená od stavebných materiálov a odpadu. Ďalej budú prevedené finálne terénne modelácie.</w:t>
      </w:r>
    </w:p>
    <w:p w14:paraId="16EDC8AD" w14:textId="77777777" w:rsidR="0093364E" w:rsidRPr="00954742" w:rsidRDefault="0093364E" w:rsidP="0093364E">
      <w:pPr>
        <w:pStyle w:val="A-Text11"/>
        <w:rPr>
          <w:iCs/>
        </w:rPr>
      </w:pPr>
      <w:r w:rsidRPr="00954742">
        <w:rPr>
          <w:iCs/>
        </w:rPr>
        <w:t>Výsadba stromov bude vykonaná v termíne október - november, alebo marec - apríl. V prípade výsadby v období máj - september budú vysadené dreviny vopred pripravené v airpotoch. Dreviny budú brané z overeného zdroja, z ktorého bude možné zaistiť dreviny aj pre prípadné neskoršie etapy. Najvhodnejšie obdobie pre zakladanie trávnikov je jarné obdobie od polovice apríla do konca mája alebo jesenný termín od polovice septembra až do októbra.</w:t>
      </w:r>
    </w:p>
    <w:p w14:paraId="1B9AFC6C" w14:textId="77777777" w:rsidR="007D4FB4" w:rsidRDefault="007D4FB4" w:rsidP="0093364E">
      <w:pPr>
        <w:pStyle w:val="A-Text11"/>
        <w:rPr>
          <w:iCs/>
        </w:rPr>
      </w:pPr>
      <w:bookmarkStart w:id="100" w:name="_Toc91148336"/>
    </w:p>
    <w:p w14:paraId="5C02015F" w14:textId="77777777" w:rsidR="007D4FB4" w:rsidRDefault="007D4FB4" w:rsidP="0093364E">
      <w:pPr>
        <w:pStyle w:val="A-Text11"/>
        <w:rPr>
          <w:iCs/>
        </w:rPr>
      </w:pPr>
    </w:p>
    <w:p w14:paraId="7C7FE430" w14:textId="23D275E8" w:rsidR="0093364E" w:rsidRPr="00954742" w:rsidRDefault="0093364E" w:rsidP="0093364E">
      <w:pPr>
        <w:pStyle w:val="A-Text11"/>
        <w:rPr>
          <w:iCs/>
        </w:rPr>
      </w:pPr>
      <w:r w:rsidRPr="00954742">
        <w:rPr>
          <w:iCs/>
        </w:rPr>
        <w:lastRenderedPageBreak/>
        <w:t>Technológia realizácie</w:t>
      </w:r>
      <w:bookmarkEnd w:id="100"/>
    </w:p>
    <w:p w14:paraId="5161FB39" w14:textId="77777777" w:rsidR="0093364E" w:rsidRPr="00954742" w:rsidRDefault="0093364E" w:rsidP="0093364E">
      <w:pPr>
        <w:pStyle w:val="A-Text11"/>
        <w:rPr>
          <w:iCs/>
        </w:rPr>
      </w:pPr>
      <w:r w:rsidRPr="00954742">
        <w:rPr>
          <w:iCs/>
        </w:rPr>
        <w:t xml:space="preserve">Po dokončení hrubých terénnych úprav bude na plochy trávnika rozprestretá ornica. Následne budú dokončené jemné terénne modelácie. Pre stromy bude zaistený dostatok kvalitnej zeminy a pre stromy v dlažbe taktiež dostatok prekoreniteľného priestoru. </w:t>
      </w:r>
    </w:p>
    <w:p w14:paraId="36EFA83A" w14:textId="77777777" w:rsidR="0093364E" w:rsidRPr="00954742" w:rsidRDefault="0093364E" w:rsidP="0093364E">
      <w:pPr>
        <w:pStyle w:val="A-Text11"/>
        <w:rPr>
          <w:iCs/>
        </w:rPr>
      </w:pPr>
      <w:r w:rsidRPr="00954742">
        <w:rPr>
          <w:iCs/>
        </w:rPr>
        <w:t> Stromy budú dodané ako kvalitné sadenice, budú prihnojené, upravené rezom a zaliate. Stromy v trávniku budú mulčované kôrou v ploche 1 m2. Budú vysadené v predpísanej veľkosti obvodu kmeňa (viď. súpis rastlín). Ich koruna bude nasadená minimálne vo výške cca 2 500 mm nad chodníkom a min. 3500 nad vozovkou/ parkoviskom. Stromy budú opatrené chráničkami kmeňa z bambusu proti mechanickému poškodeniu. Stromy budú kotvené primeraným kotvením.</w:t>
      </w:r>
    </w:p>
    <w:p w14:paraId="23158FD7" w14:textId="0FE2627A" w:rsidR="0093364E" w:rsidRPr="00954742" w:rsidRDefault="0093364E" w:rsidP="0093364E">
      <w:pPr>
        <w:pStyle w:val="A-Text11"/>
        <w:rPr>
          <w:iCs/>
        </w:rPr>
      </w:pPr>
      <w:r w:rsidRPr="00954742">
        <w:rPr>
          <w:iCs/>
        </w:rPr>
        <w:t xml:space="preserve">V miestach predpokladaného prekoreniteľného priestoru stromov bude použitý štrukturálny substrát. Bude realizovaný výkop s hĺbkou cca 1200-1300 mm a šírkou cca 3000 mm tak. Spodných cca 800 mm (prekoreniteľná vrstva) bude tvorená </w:t>
      </w:r>
      <w:r w:rsidR="00936906" w:rsidRPr="00954742">
        <w:rPr>
          <w:iCs/>
        </w:rPr>
        <w:t>makadamom</w:t>
      </w:r>
      <w:r w:rsidRPr="00954742">
        <w:rPr>
          <w:iCs/>
        </w:rPr>
        <w:t xml:space="preserve"> veľkej frakcie (napr. fr. 90/150), ktorý bude zmiešaný so substrátom (predpokladá sa podiel kamennej zložky cca 80-90 %. Substrát bude do </w:t>
      </w:r>
      <w:r w:rsidR="00936906" w:rsidRPr="00954742">
        <w:rPr>
          <w:iCs/>
        </w:rPr>
        <w:t>makadamu</w:t>
      </w:r>
      <w:r w:rsidRPr="00954742">
        <w:rPr>
          <w:iCs/>
        </w:rPr>
        <w:t xml:space="preserve"> vpracovaný postupným prelievaním vodou, respektíve premiešaním za vlhka (tak aby došlo k obaleniu kamenitej zložky substrátom). V miestach pod spevnenými plochami bude vytvorená vrstva (cca 200 mm) z </w:t>
      </w:r>
      <w:r w:rsidR="00936906" w:rsidRPr="00954742">
        <w:rPr>
          <w:iCs/>
        </w:rPr>
        <w:t>makadamu</w:t>
      </w:r>
      <w:r w:rsidRPr="00954742">
        <w:rPr>
          <w:iCs/>
        </w:rPr>
        <w:t xml:space="preserve"> menšej frakcie (napr. 32/64), nad ktorou bude realizované samotné teleso spevnených plôch.</w:t>
      </w:r>
    </w:p>
    <w:p w14:paraId="46D7FED6" w14:textId="77777777" w:rsidR="005346A9" w:rsidRPr="00954742" w:rsidRDefault="005346A9" w:rsidP="005346A9">
      <w:pPr>
        <w:pStyle w:val="A-Text11"/>
        <w:ind w:left="432" w:firstLine="0"/>
        <w:rPr>
          <w:b/>
          <w:bCs/>
          <w:iCs/>
        </w:rPr>
      </w:pPr>
      <w:bookmarkStart w:id="101" w:name="_Toc91148338"/>
      <w:r w:rsidRPr="00954742">
        <w:rPr>
          <w:b/>
          <w:bCs/>
          <w:iCs/>
        </w:rPr>
        <w:t>SO 940 Drobná vonkajšia architektúra a mobiliár dotknutého územia</w:t>
      </w:r>
      <w:bookmarkEnd w:id="101"/>
    </w:p>
    <w:p w14:paraId="67582165" w14:textId="77777777" w:rsidR="005346A9" w:rsidRPr="00954742" w:rsidRDefault="005346A9" w:rsidP="005346A9">
      <w:pPr>
        <w:pStyle w:val="A-Text11"/>
        <w:rPr>
          <w:iCs/>
        </w:rPr>
      </w:pPr>
      <w:r w:rsidRPr="00954742">
        <w:rPr>
          <w:iCs/>
        </w:rPr>
        <w:t>Predmetom tohto stavebného objektu je návrh mobiliáru a prvkov drobnej vonkajšej architektúry. V mobiliári sú zahrnuté odpadkové koše, lavičky, stojany na bicykle apod. Umiestnenie bude riešené v nadväznosti na územie bytového domu Terchovská, na ktorý dotknuté územie nadväzuje. Podrobnejšie bude riešené v ďalšom stupni PD.</w:t>
      </w:r>
    </w:p>
    <w:p w14:paraId="742F41CF" w14:textId="6F060C3F" w:rsidR="000053A7" w:rsidRPr="00954742" w:rsidRDefault="000053A7" w:rsidP="000053A7">
      <w:pPr>
        <w:pStyle w:val="A-Text11"/>
        <w:rPr>
          <w:b/>
          <w:bCs/>
          <w:iCs/>
        </w:rPr>
      </w:pPr>
      <w:bookmarkStart w:id="102" w:name="_Toc91150541"/>
      <w:r w:rsidRPr="00954742">
        <w:rPr>
          <w:b/>
          <w:bCs/>
          <w:iCs/>
        </w:rPr>
        <w:t>SO 950 Detské ihrisko bytový dom</w:t>
      </w:r>
      <w:bookmarkEnd w:id="102"/>
    </w:p>
    <w:p w14:paraId="53FC9DD4" w14:textId="77777777" w:rsidR="000053A7" w:rsidRPr="00954742" w:rsidRDefault="000053A7" w:rsidP="000053A7">
      <w:pPr>
        <w:pStyle w:val="A-Text11"/>
        <w:rPr>
          <w:iCs/>
        </w:rPr>
      </w:pPr>
      <w:r w:rsidRPr="00954742">
        <w:rPr>
          <w:iCs/>
        </w:rPr>
        <w:t xml:space="preserve">Detské ihrisko bude mať formu pieskovej plochy s lemom z masívnych drevených trámov. V rámci pieskovej plochy budú umiestnené typové hracie prvky. Bezpečnostná plocha bude svojou výškou odpovedať výške pádu použitých prvkov. </w:t>
      </w:r>
    </w:p>
    <w:p w14:paraId="1D3FC322" w14:textId="77777777" w:rsidR="000053A7" w:rsidRPr="00954742" w:rsidRDefault="000053A7" w:rsidP="000053A7">
      <w:pPr>
        <w:pStyle w:val="A-Text11"/>
        <w:rPr>
          <w:iCs/>
        </w:rPr>
      </w:pPr>
      <w:r w:rsidRPr="00954742">
        <w:rPr>
          <w:iCs/>
        </w:rPr>
        <w:t>Herné prvky a detské ihrisko budú zriadené podľa znenia platných noriem:</w:t>
      </w:r>
    </w:p>
    <w:p w14:paraId="322D9F28" w14:textId="77777777" w:rsidR="000053A7" w:rsidRPr="00954742" w:rsidRDefault="000053A7" w:rsidP="007D4FB4">
      <w:pPr>
        <w:pStyle w:val="A-Text11"/>
        <w:spacing w:before="0" w:line="240" w:lineRule="auto"/>
        <w:ind w:firstLine="425"/>
        <w:rPr>
          <w:iCs/>
        </w:rPr>
      </w:pPr>
      <w:r w:rsidRPr="00954742">
        <w:rPr>
          <w:iCs/>
        </w:rPr>
        <w:t>STN EN 1176-1 Zariadenia a povrch detských ihrísk. Časť 1: Všeobecné bezpečnostné požiadavky a skúšobné metódy</w:t>
      </w:r>
    </w:p>
    <w:p w14:paraId="1B3F9707" w14:textId="77777777" w:rsidR="000053A7" w:rsidRPr="00954742" w:rsidRDefault="000053A7" w:rsidP="007D4FB4">
      <w:pPr>
        <w:pStyle w:val="A-Text11"/>
        <w:spacing w:before="0" w:line="240" w:lineRule="auto"/>
        <w:ind w:firstLine="425"/>
        <w:rPr>
          <w:iCs/>
        </w:rPr>
      </w:pPr>
      <w:r w:rsidRPr="00954742">
        <w:rPr>
          <w:iCs/>
        </w:rPr>
        <w:t>STN EN 1176-2 Zaradenia a povrch detských ihrísk. Časť 2: Ďalšie špecifické bezpečnostné požiadavky a skúšobné metódy na hojdačky</w:t>
      </w:r>
    </w:p>
    <w:p w14:paraId="7191A4AF" w14:textId="77777777" w:rsidR="000053A7" w:rsidRPr="00954742" w:rsidRDefault="000053A7" w:rsidP="007D4FB4">
      <w:pPr>
        <w:pStyle w:val="A-Text11"/>
        <w:spacing w:before="0" w:line="240" w:lineRule="auto"/>
        <w:ind w:firstLine="425"/>
        <w:rPr>
          <w:iCs/>
        </w:rPr>
      </w:pPr>
      <w:r w:rsidRPr="00954742">
        <w:rPr>
          <w:iCs/>
        </w:rPr>
        <w:t>STN EN 1176-3 Zariadenia a povrch detských ihrísk. Časť 3: Ďalšie špecifické bezpečnostné požiadavky a skúšobné metódy na šmýkačky</w:t>
      </w:r>
    </w:p>
    <w:p w14:paraId="7B67AFCD" w14:textId="77777777" w:rsidR="000053A7" w:rsidRPr="00954742" w:rsidRDefault="000053A7" w:rsidP="007D4FB4">
      <w:pPr>
        <w:pStyle w:val="A-Text11"/>
        <w:spacing w:before="0" w:line="240" w:lineRule="auto"/>
        <w:ind w:firstLine="425"/>
        <w:rPr>
          <w:iCs/>
        </w:rPr>
      </w:pPr>
      <w:r w:rsidRPr="00954742">
        <w:rPr>
          <w:iCs/>
        </w:rPr>
        <w:t>STN EN 1176-4 Zaradenia a povrch detských ihrísk. Časť 4: Ďalšie špecifické bezpečnostné požiadavky a skúšobné metódy na lanovky</w:t>
      </w:r>
    </w:p>
    <w:p w14:paraId="53D050C5" w14:textId="77777777" w:rsidR="000053A7" w:rsidRPr="00954742" w:rsidRDefault="000053A7" w:rsidP="007D4FB4">
      <w:pPr>
        <w:pStyle w:val="A-Text11"/>
        <w:spacing w:before="0" w:line="240" w:lineRule="auto"/>
        <w:ind w:firstLine="425"/>
        <w:rPr>
          <w:iCs/>
        </w:rPr>
      </w:pPr>
      <w:r w:rsidRPr="00954742">
        <w:rPr>
          <w:iCs/>
        </w:rPr>
        <w:t>STN EN 1176-5 Zariadenie detských ihrísk. Časť 5: Ďalšie špecifické bezpečnostné požiadavky a skúšobné metódy na kolotoče</w:t>
      </w:r>
    </w:p>
    <w:p w14:paraId="79B774CC" w14:textId="77777777" w:rsidR="000053A7" w:rsidRPr="00954742" w:rsidRDefault="000053A7" w:rsidP="007D4FB4">
      <w:pPr>
        <w:pStyle w:val="A-Text11"/>
        <w:spacing w:before="0" w:line="240" w:lineRule="auto"/>
        <w:ind w:firstLine="425"/>
        <w:rPr>
          <w:iCs/>
        </w:rPr>
      </w:pPr>
      <w:r w:rsidRPr="00954742">
        <w:rPr>
          <w:iCs/>
        </w:rPr>
        <w:t>STN EN 1176-6 Zaradenia a povrch detských ihrísk. Časť 6: Ďalšie špecifické bezpečnostné požiadavky a skúšobné metódy na kývavé zaradenia</w:t>
      </w:r>
    </w:p>
    <w:p w14:paraId="0E08B125" w14:textId="77777777" w:rsidR="000053A7" w:rsidRPr="00954742" w:rsidRDefault="000053A7" w:rsidP="007D4FB4">
      <w:pPr>
        <w:pStyle w:val="A-Text11"/>
        <w:spacing w:before="0" w:line="240" w:lineRule="auto"/>
        <w:ind w:firstLine="425"/>
        <w:rPr>
          <w:iCs/>
        </w:rPr>
      </w:pPr>
      <w:r w:rsidRPr="00954742">
        <w:rPr>
          <w:iCs/>
        </w:rPr>
        <w:t>STN EN 1176-7 Zaradenia a povrch detských ihrísk. Časť 7: Návod na inštaláciu, kontrolu, údržbu a prevádzku</w:t>
      </w:r>
    </w:p>
    <w:p w14:paraId="7270237A" w14:textId="77777777" w:rsidR="005346A9" w:rsidRPr="00954742" w:rsidRDefault="005346A9" w:rsidP="005346A9">
      <w:pPr>
        <w:pStyle w:val="A-Text11"/>
        <w:ind w:left="432" w:firstLine="0"/>
        <w:rPr>
          <w:b/>
          <w:bCs/>
          <w:iCs/>
        </w:rPr>
      </w:pPr>
      <w:bookmarkStart w:id="103" w:name="_Toc91148339"/>
      <w:r w:rsidRPr="00954742">
        <w:rPr>
          <w:b/>
          <w:bCs/>
          <w:iCs/>
        </w:rPr>
        <w:t>SO 960 Kontajnery</w:t>
      </w:r>
      <w:bookmarkEnd w:id="103"/>
    </w:p>
    <w:p w14:paraId="530DEFB6" w14:textId="77777777" w:rsidR="005346A9" w:rsidRPr="00954742" w:rsidRDefault="005346A9" w:rsidP="005346A9">
      <w:pPr>
        <w:pStyle w:val="A-Text11"/>
        <w:rPr>
          <w:iCs/>
        </w:rPr>
      </w:pPr>
      <w:r w:rsidRPr="00954742">
        <w:rPr>
          <w:iCs/>
        </w:rPr>
        <w:t xml:space="preserve">Predmetom tohto stavebného objektu je umiestnenie stojísk pre kontajnery Bytového domu Terchovská. Kontajnerové stojiská sa nachádzajú na ulici Terchovská v zelenom páse. </w:t>
      </w:r>
      <w:r w:rsidRPr="00954742">
        <w:rPr>
          <w:iCs/>
        </w:rPr>
        <w:lastRenderedPageBreak/>
        <w:t>Sú zoskupené v troch skupinách predelených zeleňou. Konštrukcia stojísk bude murovaná resp. prefabrikovaná s prestrešením a uzamykaním a založená v súladu s požiadavky správcu sítí. Prístup ku kontajnerom bude určený obyvateľom Bytového domu Terchovská. Podrobnejšie bude riešené v ďalšom stupni PD.</w:t>
      </w:r>
    </w:p>
    <w:p w14:paraId="63984929" w14:textId="77777777" w:rsidR="001C5A0D" w:rsidRPr="00954742" w:rsidRDefault="001C5A0D" w:rsidP="001C5A0D">
      <w:pPr>
        <w:pStyle w:val="A-Text11"/>
        <w:ind w:left="432" w:firstLine="0"/>
        <w:rPr>
          <w:b/>
          <w:bCs/>
          <w:iCs/>
        </w:rPr>
      </w:pPr>
      <w:bookmarkStart w:id="104" w:name="_Toc91148340"/>
      <w:r w:rsidRPr="00954742">
        <w:rPr>
          <w:b/>
          <w:bCs/>
          <w:iCs/>
        </w:rPr>
        <w:t>PS 102 Cestná svetelná signalizácia</w:t>
      </w:r>
      <w:bookmarkEnd w:id="104"/>
    </w:p>
    <w:p w14:paraId="643B9A6F" w14:textId="77777777" w:rsidR="001C5A0D" w:rsidRPr="00954742" w:rsidRDefault="001C5A0D" w:rsidP="001C5A0D">
      <w:pPr>
        <w:pStyle w:val="A-Text11"/>
        <w:rPr>
          <w:iCs/>
        </w:rPr>
      </w:pPr>
      <w:bookmarkStart w:id="105" w:name="_Toc91148341"/>
      <w:r w:rsidRPr="00954742">
        <w:rPr>
          <w:iCs/>
        </w:rPr>
        <w:t>Celkové riešenie</w:t>
      </w:r>
      <w:bookmarkEnd w:id="105"/>
    </w:p>
    <w:p w14:paraId="5DA08DC8" w14:textId="77777777" w:rsidR="001C5A0D" w:rsidRPr="00954742" w:rsidRDefault="001C5A0D" w:rsidP="001C5A0D">
      <w:pPr>
        <w:pStyle w:val="A-Text11"/>
        <w:rPr>
          <w:iCs/>
        </w:rPr>
      </w:pPr>
      <w:r w:rsidRPr="00954742">
        <w:rPr>
          <w:iCs/>
        </w:rPr>
        <w:t>V súvislosti s výstavbou investície Bytový dom Terchovská v dotknutom územie MČ Bratislava – Ružinov (Trnávka) je nevyhnutné vypracovať návrh úpravy riadenia križovatky č. 386 Galvaniho – Banšelova s cestnou dopravnou signalizáciou. Prevádzkový súbor PS 102 - Cestná dopravná signalizácia zahŕňa v sebe podobjekty:</w:t>
      </w:r>
    </w:p>
    <w:p w14:paraId="736C1C5A" w14:textId="77777777" w:rsidR="001C5A0D" w:rsidRPr="00954742" w:rsidRDefault="001C5A0D" w:rsidP="001C5A0D">
      <w:pPr>
        <w:pStyle w:val="A-Text11"/>
        <w:rPr>
          <w:iCs/>
        </w:rPr>
      </w:pPr>
      <w:r w:rsidRPr="00954742">
        <w:rPr>
          <w:iCs/>
        </w:rPr>
        <w:t>PS 102.1 - CDS križovatky č. 386 Galvaniho-Banšelova</w:t>
      </w:r>
    </w:p>
    <w:p w14:paraId="15889BB7" w14:textId="77777777" w:rsidR="001C5A0D" w:rsidRPr="00954742" w:rsidRDefault="001C5A0D" w:rsidP="007D4FB4">
      <w:pPr>
        <w:pStyle w:val="A-Text11"/>
        <w:spacing w:before="0" w:line="240" w:lineRule="auto"/>
        <w:ind w:firstLine="425"/>
        <w:rPr>
          <w:iCs/>
        </w:rPr>
      </w:pPr>
      <w:r w:rsidRPr="00954742">
        <w:rPr>
          <w:iCs/>
        </w:rPr>
        <w:t>PS 102.2 - Úprava NN prípojky radiča CDS</w:t>
      </w:r>
    </w:p>
    <w:p w14:paraId="34CA6810" w14:textId="77777777" w:rsidR="001C5A0D" w:rsidRPr="00954742" w:rsidRDefault="001C5A0D" w:rsidP="007D4FB4">
      <w:pPr>
        <w:pStyle w:val="A-Text11"/>
        <w:spacing w:before="0" w:line="240" w:lineRule="auto"/>
        <w:ind w:firstLine="425"/>
        <w:rPr>
          <w:iCs/>
        </w:rPr>
      </w:pPr>
      <w:r w:rsidRPr="00954742">
        <w:rPr>
          <w:iCs/>
        </w:rPr>
        <w:t>PS 102.3 - Koordinačné, komunikačné a optické káble CDS</w:t>
      </w:r>
    </w:p>
    <w:p w14:paraId="54070A93" w14:textId="77777777" w:rsidR="001C5A0D" w:rsidRPr="00954742" w:rsidRDefault="001C5A0D" w:rsidP="007D4FB4">
      <w:pPr>
        <w:pStyle w:val="A-Text11"/>
        <w:spacing w:before="0" w:line="240" w:lineRule="auto"/>
        <w:ind w:firstLine="425"/>
        <w:rPr>
          <w:iCs/>
        </w:rPr>
      </w:pPr>
      <w:r w:rsidRPr="00954742">
        <w:rPr>
          <w:iCs/>
        </w:rPr>
        <w:t>PS 102.4 - Kamerový dohľad križovatky</w:t>
      </w:r>
    </w:p>
    <w:p w14:paraId="4552FBBB" w14:textId="77777777" w:rsidR="001C5A0D" w:rsidRPr="00954742" w:rsidRDefault="001C5A0D" w:rsidP="007D4FB4">
      <w:pPr>
        <w:pStyle w:val="A-Text11"/>
        <w:spacing w:before="0" w:line="240" w:lineRule="auto"/>
        <w:ind w:firstLine="425"/>
        <w:rPr>
          <w:iCs/>
        </w:rPr>
      </w:pPr>
      <w:bookmarkStart w:id="106" w:name="_Toc91148342"/>
      <w:r w:rsidRPr="00954742">
        <w:rPr>
          <w:iCs/>
        </w:rPr>
        <w:t>PS 102.1 - Cestná dopravná signalizácia (CDS) – križovatky č. 386 Galvaniho – Banšelova</w:t>
      </w:r>
      <w:bookmarkEnd w:id="106"/>
    </w:p>
    <w:p w14:paraId="1B9011C6" w14:textId="77777777" w:rsidR="001C5A0D" w:rsidRPr="00954742" w:rsidRDefault="001C5A0D" w:rsidP="001C5A0D">
      <w:pPr>
        <w:pStyle w:val="A-Text11"/>
        <w:rPr>
          <w:i/>
          <w:iCs/>
        </w:rPr>
      </w:pPr>
      <w:bookmarkStart w:id="107" w:name="_Toc91148343"/>
      <w:r w:rsidRPr="00954742">
        <w:rPr>
          <w:i/>
          <w:iCs/>
        </w:rPr>
        <w:t>Dopravnotechnická časť</w:t>
      </w:r>
      <w:bookmarkEnd w:id="107"/>
    </w:p>
    <w:p w14:paraId="01068E6F" w14:textId="77777777" w:rsidR="001C5A0D" w:rsidRPr="00954742" w:rsidRDefault="001C5A0D" w:rsidP="001C5A0D">
      <w:pPr>
        <w:pStyle w:val="A-Text11"/>
        <w:rPr>
          <w:iCs/>
        </w:rPr>
      </w:pPr>
      <w:r w:rsidRPr="00954742">
        <w:rPr>
          <w:iCs/>
        </w:rPr>
        <w:t xml:space="preserve">V súčasnosti je križovatka č. 386 Galvaniho – Banšelova riešená ako riadená, usmernená vodorovným a zvislým dopravným značením. </w:t>
      </w:r>
    </w:p>
    <w:p w14:paraId="7392DFF5" w14:textId="77777777" w:rsidR="001C5A0D" w:rsidRPr="00954742" w:rsidRDefault="001C5A0D" w:rsidP="001C5A0D">
      <w:pPr>
        <w:pStyle w:val="A-Text11"/>
        <w:rPr>
          <w:iCs/>
        </w:rPr>
      </w:pPr>
      <w:r w:rsidRPr="00954742">
        <w:rPr>
          <w:iCs/>
        </w:rPr>
        <w:t xml:space="preserve">Galvaniho ul. je riešená ako štvorpruhová, smerovo rozdelená komunikácia. Vstupy na Galvaniho sú riešené symetricky – dva pruhy priamo a jeden pruh pre odbočenie vľavo. Pravé odbočenia sú riešené na združenom pruhu s priamym smerom. Pre výjazdy z vedľajších komunikácií sú k dispozícii iba združené pruhy pre všetky smery. </w:t>
      </w:r>
    </w:p>
    <w:p w14:paraId="64A6BD94" w14:textId="77777777" w:rsidR="001C5A0D" w:rsidRPr="00954742" w:rsidRDefault="001C5A0D" w:rsidP="001C5A0D">
      <w:pPr>
        <w:pStyle w:val="A-Text11"/>
        <w:rPr>
          <w:iCs/>
        </w:rPr>
      </w:pPr>
      <w:r w:rsidRPr="00954742">
        <w:rPr>
          <w:iCs/>
        </w:rPr>
        <w:t>V križovatke sa nenachádzajú dopravné ostrovčeky, iba deliaci pás (Galvaniho ul.) v križovatke prerušený.</w:t>
      </w:r>
    </w:p>
    <w:p w14:paraId="6BC3BAA5" w14:textId="77777777" w:rsidR="001C5A0D" w:rsidRPr="00954742" w:rsidRDefault="001C5A0D" w:rsidP="001C5A0D">
      <w:pPr>
        <w:pStyle w:val="A-Text11"/>
        <w:rPr>
          <w:iCs/>
        </w:rPr>
      </w:pPr>
      <w:r w:rsidRPr="00954742">
        <w:rPr>
          <w:iCs/>
        </w:rPr>
        <w:t>Priechody pre chodcov sú vyznačené na troch vstupoch. Na Galvaniho ul., v smere od Rožňavskej je priechod pre chodcov vyznačený vodorovným značením, a je rozdelený stredovým pásom na dva samostatné priechody. Priechody cez vedľajšie vstupy sú vyznačené iba vodorovným značením, a sú riešené bez rozdelenia. Cez Galvaniho, od Ivánskej cesty priechod vyznačený nie je.</w:t>
      </w:r>
    </w:p>
    <w:p w14:paraId="4EDC2AA6" w14:textId="77777777" w:rsidR="001C5A0D" w:rsidRPr="00954742" w:rsidRDefault="001C5A0D" w:rsidP="001C5A0D">
      <w:pPr>
        <w:pStyle w:val="A-Text11"/>
        <w:rPr>
          <w:iCs/>
        </w:rPr>
      </w:pPr>
      <w:r w:rsidRPr="00954742">
        <w:rPr>
          <w:iCs/>
        </w:rPr>
        <w:t xml:space="preserve">V priestore križovatky sa nenachádzajú zastávky MHD. </w:t>
      </w:r>
    </w:p>
    <w:p w14:paraId="6F5D12EB" w14:textId="77777777" w:rsidR="001C5A0D" w:rsidRPr="00954742" w:rsidRDefault="001C5A0D" w:rsidP="001C5A0D">
      <w:pPr>
        <w:pStyle w:val="A-Text11"/>
        <w:rPr>
          <w:iCs/>
        </w:rPr>
      </w:pPr>
      <w:r w:rsidRPr="00954742">
        <w:rPr>
          <w:iCs/>
        </w:rPr>
        <w:t xml:space="preserve">V rámci rekonštrukcie dôjde k drobným úpravám. Na vjazde a výjazde z Banšelovej a Krajnej ul. budú upravené polomery obrubníkov, s cieľom zmenšiť rýchlosti odbočujúcich vozidiel a skrátiť dlhý peší priechod. Vedľa priechodov pre chodcov cez Banšelovu, Krajnú a cez Galvaniho (od Rožňavskej) pribudnú prejazdy pre cyklistov. Prejazd cez Galvaniho bude riešený bez rozdelenia ostrovčekom – prejazd bude umožnený na jedenkrát. </w:t>
      </w:r>
    </w:p>
    <w:p w14:paraId="60ABC1CC" w14:textId="77777777" w:rsidR="001C5A0D" w:rsidRPr="00954742" w:rsidRDefault="001C5A0D" w:rsidP="001C5A0D">
      <w:pPr>
        <w:pStyle w:val="A-Text11"/>
        <w:rPr>
          <w:iCs/>
        </w:rPr>
      </w:pPr>
      <w:r w:rsidRPr="00954742">
        <w:rPr>
          <w:iCs/>
        </w:rPr>
        <w:t xml:space="preserve">Signalizácia bude z dopravno-technického hľadiska pozostávať z výmeny radiča, stožiarov, návestidiel, výstražných dopravných majáčikov, a prvkov detekcie peších a vozidiel. Návestidlá dopravných signálnych skupín sú navrhnuté na Galvaniho ul. ako smerové, na vedľajších vstupoch s plným svetlom, doplneným signálom doplnkovej šípky vpravo. Celkovo bude v riadenej križovatke potrebných 23 (25) signálnych skupín, z toho 6 dopravných, 4 chodecké (v prípade postupnej signalizácie 6), 6 cyklistických (trojsvetlová signalizácia), 2 signály so žltým svetlom so symbolom žltého kráčajúceho chodca/cyklistu, 2 signály </w:t>
      </w:r>
      <w:r w:rsidRPr="00954742">
        <w:rPr>
          <w:iCs/>
        </w:rPr>
        <w:lastRenderedPageBreak/>
        <w:t xml:space="preserve">doplnkovej šípky vpravo, a 3 signálne skupiny prerušovaného žltého svetla so symbolom chodec/cyklista (pre zvýraznenie prednosti v jazde chodcov a cyklistov). </w:t>
      </w:r>
    </w:p>
    <w:p w14:paraId="383695D6" w14:textId="77777777" w:rsidR="001C5A0D" w:rsidRPr="00954742" w:rsidRDefault="001C5A0D" w:rsidP="001C5A0D">
      <w:pPr>
        <w:pStyle w:val="A-Text11"/>
        <w:rPr>
          <w:iCs/>
        </w:rPr>
      </w:pPr>
      <w:r w:rsidRPr="00954742">
        <w:rPr>
          <w:iCs/>
        </w:rPr>
        <w:t>Na detekciu vozidiel budú v križovatke v každom jazdnom pruhu navrhnuté detektory (bezdrôtové). Pešie priechody budú vybavené výzvovými a vibračnými tlačidlami. Cyklistické prejazdy cez Galvaniho ul. budú opatrené výzvovými tlačidlami. Prejazdy cez Banšelovu a Krajnú sú vedené paralelne s hlavným smerom, a tak ich detekovať netreba.</w:t>
      </w:r>
    </w:p>
    <w:p w14:paraId="211F0DB5" w14:textId="77777777" w:rsidR="001C5A0D" w:rsidRPr="00954742" w:rsidRDefault="001C5A0D" w:rsidP="001C5A0D">
      <w:pPr>
        <w:pStyle w:val="A-Text11"/>
        <w:rPr>
          <w:iCs/>
        </w:rPr>
      </w:pPr>
      <w:r w:rsidRPr="00954742">
        <w:rPr>
          <w:iCs/>
        </w:rPr>
        <w:t>Radič navrhujeme vybaviť modulom pre príjem signálu v rámci siete TETRA, na zabezpečenie preferencie MHD.</w:t>
      </w:r>
    </w:p>
    <w:p w14:paraId="3F5D9FDC" w14:textId="77777777" w:rsidR="001C5A0D" w:rsidRPr="00954742" w:rsidRDefault="001C5A0D" w:rsidP="001C5A0D">
      <w:pPr>
        <w:pStyle w:val="A-Text11"/>
        <w:rPr>
          <w:iCs/>
        </w:rPr>
      </w:pPr>
      <w:r w:rsidRPr="00954742">
        <w:rPr>
          <w:iCs/>
        </w:rPr>
        <w:t>Riadenie navrhujeme v semidynamickom režime, s trvale zaradenou hlavnou fázou a zaraďovaním ostatných fáz na výzvu. Je potrebné zabezpečiť koordináciu s priľahlou križovatkou č. 308 Rožňavská – Galvaniho, ktorá je riešená v pevných signálnych plánoch. Preferenciu MHD predpokladáme ako podmienenú, vzhľadom k absencii samostatných pruhov určených pre MHD. V riadení však bude snaha o dosiahnutie čo najmenšieho zdržania jednotlivých vozidiel MHD (podržanie vlastnej fázy, predčasné ukončenie kolíznej a zaradenie vlastnej fázy MHD).</w:t>
      </w:r>
    </w:p>
    <w:p w14:paraId="49E4958D" w14:textId="77777777" w:rsidR="001C5A0D" w:rsidRPr="00954742" w:rsidRDefault="001C5A0D" w:rsidP="001C5A0D">
      <w:pPr>
        <w:pStyle w:val="A-Text11"/>
        <w:rPr>
          <w:i/>
          <w:iCs/>
        </w:rPr>
      </w:pPr>
      <w:bookmarkStart w:id="108" w:name="_Toc91148344"/>
      <w:r w:rsidRPr="00954742">
        <w:rPr>
          <w:i/>
          <w:iCs/>
        </w:rPr>
        <w:t>Elektrotechnická časť</w:t>
      </w:r>
      <w:bookmarkEnd w:id="108"/>
    </w:p>
    <w:p w14:paraId="614A25E0" w14:textId="77777777" w:rsidR="001C5A0D" w:rsidRPr="00954742" w:rsidRDefault="001C5A0D" w:rsidP="001C5A0D">
      <w:pPr>
        <w:pStyle w:val="A-Text11"/>
        <w:rPr>
          <w:iCs/>
        </w:rPr>
      </w:pPr>
      <w:r w:rsidRPr="00954742">
        <w:rPr>
          <w:iCs/>
        </w:rPr>
        <w:t xml:space="preserve">Križovatka č. 386 Galvaniho – Banšelova je existujúca, svetelne riadená križovatka. Zmenou stavebných úprav v križovatke, v súvislosti s výstavbou bytového domu Terchovská je nutná aj technologická modernizácia systému cestnej dopravnej signalizácie. Všetky existujúce prvky budú demontované a odovzdané správcovi CDS – Hlavné mesto SR BA, ktorý rozhodne o ich uskladnení, alebo odovzdaní do zberu na likvidáciu. </w:t>
      </w:r>
    </w:p>
    <w:p w14:paraId="749BF28A" w14:textId="77777777" w:rsidR="001C5A0D" w:rsidRPr="00954742" w:rsidRDefault="001C5A0D" w:rsidP="001C5A0D">
      <w:pPr>
        <w:pStyle w:val="A-Text11"/>
        <w:rPr>
          <w:iCs/>
        </w:rPr>
      </w:pPr>
      <w:r w:rsidRPr="00954742">
        <w:rPr>
          <w:iCs/>
        </w:rPr>
        <w:t xml:space="preserve">Cestná dopravná signalizácia (CDS) križovatky pozostáva z radiča CDS, stožiarov CDS, návestidiel, dopytových tlačidiel chodcov a cyklistov, vozidlových detektorov, akustickej signalizácie, výstražných dopravných majáčikov, a iných prvkov podľa požiadavky dopravného riešenia. </w:t>
      </w:r>
    </w:p>
    <w:p w14:paraId="1DB4951E" w14:textId="77777777" w:rsidR="001C5A0D" w:rsidRPr="00954742" w:rsidRDefault="001C5A0D" w:rsidP="001C5A0D">
      <w:pPr>
        <w:pStyle w:val="A-Text11"/>
        <w:rPr>
          <w:iCs/>
        </w:rPr>
      </w:pPr>
      <w:r w:rsidRPr="00954742">
        <w:rPr>
          <w:iCs/>
        </w:rPr>
        <w:t>Existujúci radič MS 386 bude nahradený novým radičom RCDS 386. Ten bude koncipovaný v obvodoch kontroly svietenia pre použitie návestidiel s LED maticami, s 24V/1W technológiou, a s potrebným počtom signálnych skupín. Radič bude vybavený potrebnými modulmi a kartami podľa požiadaviek dopravného riešenia a pripomienok, k návrhu dopravného riešenia, s pripojením do Metropolitnej optickej siete mesta Bratislava (MOS BA). Radič bude vybavený modulom na preferenciu vozidiel MHD pomocou systému TETRA. Radič musí zabezpečovať priamu koordináciu s radičom CDS č. 308 cez optické vedenie. </w:t>
      </w:r>
    </w:p>
    <w:p w14:paraId="33C9527A" w14:textId="77777777" w:rsidR="001C5A0D" w:rsidRPr="00954742" w:rsidRDefault="001C5A0D" w:rsidP="001C5A0D">
      <w:pPr>
        <w:pStyle w:val="A-Text11"/>
        <w:rPr>
          <w:iCs/>
        </w:rPr>
      </w:pPr>
      <w:r w:rsidRPr="00954742">
        <w:rPr>
          <w:iCs/>
        </w:rPr>
        <w:t xml:space="preserve">Priechody pre chodcov, navrhnuté na zabezpečenie CDS z hľadiska signalizácie, budú spĺňať požiadavky Vyhl. č. 532/2002 Z. z. </w:t>
      </w:r>
    </w:p>
    <w:p w14:paraId="4D6DDD19" w14:textId="77777777" w:rsidR="001C5A0D" w:rsidRPr="00954742" w:rsidRDefault="001C5A0D" w:rsidP="001C5A0D">
      <w:pPr>
        <w:pStyle w:val="A-Text11"/>
        <w:rPr>
          <w:iCs/>
        </w:rPr>
      </w:pPr>
      <w:r w:rsidRPr="00954742">
        <w:rPr>
          <w:iCs/>
        </w:rPr>
        <w:t xml:space="preserve">Nábežné hrany stredového deliaceho pásu komunikácie Galvaniho budú vybavené výstražnými dopravnými majáčikmi – presvetlenými, flexibilnými, napájanými z radiča CDS. </w:t>
      </w:r>
    </w:p>
    <w:p w14:paraId="0AC7EC90" w14:textId="77777777" w:rsidR="001C5A0D" w:rsidRPr="00954742" w:rsidRDefault="001C5A0D" w:rsidP="001C5A0D">
      <w:pPr>
        <w:pStyle w:val="A-Text11"/>
        <w:rPr>
          <w:iCs/>
        </w:rPr>
      </w:pPr>
      <w:r w:rsidRPr="00954742">
        <w:rPr>
          <w:iCs/>
        </w:rPr>
        <w:t>Ostatné prvky CDS podľa požiadaviek dopravného riešenia a pripomienok k návrhu dopravného riešenia.</w:t>
      </w:r>
    </w:p>
    <w:p w14:paraId="32CB1A0B" w14:textId="77777777" w:rsidR="001C5A0D" w:rsidRPr="00954742" w:rsidRDefault="001C5A0D" w:rsidP="001C5A0D">
      <w:pPr>
        <w:pStyle w:val="A-Text11"/>
        <w:rPr>
          <w:iCs/>
        </w:rPr>
      </w:pPr>
      <w:r w:rsidRPr="00954742">
        <w:rPr>
          <w:iCs/>
        </w:rPr>
        <w:t xml:space="preserve">Všetky prvky CDS musia umiestnením, konštrukciou, krytím, svietivosťou a dokladmi vyhovovať požiadavkám STN a iných predpisov. Ochrana pred zásahom elektrickým prúdom bude urobená v zmysle požiadaviek článkov STN 33 2000-4-41, STN EN 62 305-1 až 4 a iných STN. </w:t>
      </w:r>
    </w:p>
    <w:p w14:paraId="34B2E7A5" w14:textId="77777777" w:rsidR="001C5A0D" w:rsidRPr="00954742" w:rsidRDefault="001C5A0D" w:rsidP="001C5A0D">
      <w:pPr>
        <w:pStyle w:val="A-Text11"/>
        <w:rPr>
          <w:bCs/>
          <w:iCs/>
        </w:rPr>
      </w:pPr>
      <w:r w:rsidRPr="00954742">
        <w:rPr>
          <w:bCs/>
          <w:iCs/>
        </w:rPr>
        <w:lastRenderedPageBreak/>
        <w:t xml:space="preserve">Prepojenia prvkov CDS budú urobené káblami a vodičmi podľa potreby pre daný prvok CDS s potrebným počtom žíl. Káble budú uložené do rýh v zeleni, v chodníkoch do nových chráničiek. Popod komunikácie budú káble CDS zatiahnuté do existujúcich chráničiek pre CDS. V prípade nepriechodnosti existujúcich chráničiek popod komunikáciu bude potrebné vybudovať nové chráničky. </w:t>
      </w:r>
    </w:p>
    <w:p w14:paraId="4E6D8200" w14:textId="77777777" w:rsidR="001C5A0D" w:rsidRPr="00954742" w:rsidRDefault="001C5A0D" w:rsidP="001C5A0D">
      <w:pPr>
        <w:pStyle w:val="A-Text11"/>
        <w:rPr>
          <w:bCs/>
          <w:iCs/>
        </w:rPr>
      </w:pPr>
      <w:r w:rsidRPr="00954742">
        <w:rPr>
          <w:bCs/>
          <w:iCs/>
        </w:rPr>
        <w:t>Tam, kde to bude nevyhnutné, budú nové chráničky cez komunikácie urobené prekopaním. V prípade požiadavky na pretláčanie komunikácie bude nutné vytýčenie a overenie existujúcich sietí v komunikácii. Pretláčanie by bolo realizované riadeným pretláčaním, po vytýčení existujúcich sietí v komunikácii a v miestach štartovacích a cieľových jám. Úpravy (záseky, zásypy apod.) rýh budú urobené v zmysle požiadaviek Magistrátu hl. mesta SR Bratislavy.</w:t>
      </w:r>
    </w:p>
    <w:p w14:paraId="5A212AC4" w14:textId="77777777" w:rsidR="001C5A0D" w:rsidRPr="00954742" w:rsidRDefault="001C5A0D" w:rsidP="001C5A0D">
      <w:pPr>
        <w:pStyle w:val="A-Text11"/>
        <w:rPr>
          <w:bCs/>
          <w:iCs/>
        </w:rPr>
      </w:pPr>
      <w:r w:rsidRPr="00954742">
        <w:rPr>
          <w:bCs/>
          <w:iCs/>
        </w:rPr>
        <w:t>Križovania a súbehy s inými sieťami budú urobené v zmysle požiadaviek STN 73 6005, STN 33 2000-5-52 a inými predpismi.</w:t>
      </w:r>
    </w:p>
    <w:p w14:paraId="56066E39" w14:textId="77777777" w:rsidR="001C5A0D" w:rsidRPr="00954742" w:rsidRDefault="001C5A0D" w:rsidP="001C5A0D">
      <w:pPr>
        <w:pStyle w:val="A-Text11"/>
        <w:rPr>
          <w:iCs/>
        </w:rPr>
      </w:pPr>
      <w:bookmarkStart w:id="109" w:name="_Toc91148345"/>
      <w:r w:rsidRPr="00954742">
        <w:rPr>
          <w:iCs/>
        </w:rPr>
        <w:t>PS 102.2 - Úprava NN prípojky radiča CDS</w:t>
      </w:r>
      <w:bookmarkEnd w:id="109"/>
    </w:p>
    <w:p w14:paraId="4FBF74D8" w14:textId="77777777" w:rsidR="001C5A0D" w:rsidRPr="00954742" w:rsidRDefault="001C5A0D" w:rsidP="001C5A0D">
      <w:pPr>
        <w:pStyle w:val="A-Text11"/>
        <w:rPr>
          <w:iCs/>
        </w:rPr>
      </w:pPr>
      <w:r w:rsidRPr="00954742">
        <w:rPr>
          <w:iCs/>
        </w:rPr>
        <w:t>Napájanie radiča zostáva bez zmeny. Radič CDS je napájaný z RVO skrine, ktorá je umiestnená v križovatke č. 308 Rožňavská – Galvaniho. Napájací kábel je typu CYKY 4Bx16 mm</w:t>
      </w:r>
      <w:r w:rsidRPr="00954742">
        <w:rPr>
          <w:iCs/>
          <w:vertAlign w:val="superscript"/>
        </w:rPr>
        <w:t>2</w:t>
      </w:r>
      <w:r w:rsidRPr="00954742">
        <w:rPr>
          <w:iCs/>
        </w:rPr>
        <w:t>. Zmenou polohy radiča CDS bude skrátený existujúci napájací kábel. Pre novou budovou na Galvaniho ulici bude existujúci napájací kábel preložený do novej polohy (do cyklochodníka) v úseku cca 80m.</w:t>
      </w:r>
    </w:p>
    <w:p w14:paraId="7EF27122" w14:textId="77777777" w:rsidR="001C5A0D" w:rsidRPr="00954742" w:rsidRDefault="001C5A0D" w:rsidP="001C5A0D">
      <w:pPr>
        <w:pStyle w:val="A-Text11"/>
        <w:rPr>
          <w:iCs/>
        </w:rPr>
      </w:pPr>
      <w:r w:rsidRPr="00954742">
        <w:rPr>
          <w:iCs/>
        </w:rPr>
        <w:t>Výkonová bilancia bude nižšia, nakoľko budú použité LED návestidlá s technológiou LED 24V/1W. Preto nie je potrebná žiadna úprava vstupného istenia.</w:t>
      </w:r>
    </w:p>
    <w:p w14:paraId="35EB306B" w14:textId="77777777" w:rsidR="001C5A0D" w:rsidRPr="00954742" w:rsidRDefault="001C5A0D" w:rsidP="001C5A0D">
      <w:pPr>
        <w:pStyle w:val="A-Text11"/>
        <w:rPr>
          <w:iCs/>
        </w:rPr>
      </w:pPr>
      <w:r w:rsidRPr="00954742">
        <w:rPr>
          <w:iCs/>
        </w:rPr>
        <w:t>Križovania a súbehy s inými sieťami budú urobené v zmysle požiadaviek STN 73 6005, STN 33 2000-5-52 a inými predpismi. Úpravy (záseky, zásypy apod.) rýh budú urobené v zmysle požiadaviek Magistrátu hl. mesta SR Bratislavy. V rámci križovatky budú výkopové práce zahrnuté v PS 120.1 - CDS križovatky č. 386 Galvaniho – Banšelova.</w:t>
      </w:r>
    </w:p>
    <w:p w14:paraId="0702D984" w14:textId="77777777" w:rsidR="001C5A0D" w:rsidRPr="00954742" w:rsidRDefault="001C5A0D" w:rsidP="001C5A0D">
      <w:pPr>
        <w:pStyle w:val="A-Text11"/>
        <w:rPr>
          <w:iCs/>
        </w:rPr>
      </w:pPr>
      <w:bookmarkStart w:id="110" w:name="_Toc91148346"/>
      <w:r w:rsidRPr="00954742">
        <w:rPr>
          <w:iCs/>
        </w:rPr>
        <w:t>PS 102.3 - Koordinačné, komunikačné a optické káble CDS</w:t>
      </w:r>
      <w:bookmarkEnd w:id="110"/>
    </w:p>
    <w:p w14:paraId="135F54C7" w14:textId="77777777" w:rsidR="001C5A0D" w:rsidRPr="00954742" w:rsidRDefault="001C5A0D" w:rsidP="001C5A0D">
      <w:pPr>
        <w:pStyle w:val="A-Text11"/>
        <w:rPr>
          <w:iCs/>
        </w:rPr>
      </w:pPr>
      <w:r w:rsidRPr="00954742">
        <w:rPr>
          <w:iCs/>
        </w:rPr>
        <w:t xml:space="preserve">Radič križovatky č. 386 Galvaniho – Banšelova, je pripojený do koordinovanej skupiny radičov cez rozpojovaciu skriňu RS 386. RS 386 je káblovo prepojená s infraštruktúrou križovatky č. 308 Rožňavská – Galvaniho metalickým káblom. </w:t>
      </w:r>
    </w:p>
    <w:p w14:paraId="4B441622" w14:textId="77777777" w:rsidR="001C5A0D" w:rsidRPr="00954742" w:rsidRDefault="001C5A0D" w:rsidP="001C5A0D">
      <w:pPr>
        <w:pStyle w:val="A-Text11"/>
        <w:rPr>
          <w:iCs/>
        </w:rPr>
      </w:pPr>
      <w:r w:rsidRPr="00954742">
        <w:rPr>
          <w:iCs/>
        </w:rPr>
        <w:t xml:space="preserve">Nový radič 386 a radič 308 budú prepojené optickým vedením do Metropolitnej optickej siete mesta Bratislava (MOS BA). Vedľa nového radiča bude vybudovaná optická rozpojovacia skriňa ORS 386, ktorá zabezpečí optické prepojenie s riadiacou centrálou križovatiek. Riadiaca centrála križovatiek je umiestnená v budove KDI KR PZ SR na Špitálskej ulici. </w:t>
      </w:r>
    </w:p>
    <w:p w14:paraId="0E11E6E7" w14:textId="77777777" w:rsidR="001C5A0D" w:rsidRPr="00954742" w:rsidRDefault="001C5A0D" w:rsidP="001C5A0D">
      <w:pPr>
        <w:pStyle w:val="A-Text11"/>
        <w:rPr>
          <w:iCs/>
        </w:rPr>
      </w:pPr>
      <w:r w:rsidRPr="00954742">
        <w:rPr>
          <w:iCs/>
        </w:rPr>
        <w:t>Existujúce metalické vedenie na Galvaniho ulici bude zaústené do ORS 386. Pred novou budovou na Galvaniho ulici bude existujúce metalické vedenie a HDPE rúra preložené do novej polohy (do cyklochodníka) v úseku cca 80m.</w:t>
      </w:r>
    </w:p>
    <w:p w14:paraId="5FD3E982" w14:textId="77777777" w:rsidR="001C5A0D" w:rsidRPr="00954742" w:rsidRDefault="001C5A0D" w:rsidP="001C5A0D">
      <w:pPr>
        <w:pStyle w:val="A-Text11"/>
        <w:rPr>
          <w:iCs/>
        </w:rPr>
      </w:pPr>
      <w:r w:rsidRPr="00954742">
        <w:rPr>
          <w:iCs/>
        </w:rPr>
        <w:t>Rozpojovacia skriňa RS 386 bude zrušená. Optické prepojenie bude cez existujúcu káblovú komoru, ktorá je umiestnená v križovatke na Galvaniho ulici, v zeleni na nároží ulíc Krajná – Galvaniho. Optické pripojenie radiča CDS 308 bude cez existujúcu HDPE, ktorá je medzi radičmi položená. Do existujúcej HDPE rúry bude zafúknutý nový optický kábel.</w:t>
      </w:r>
    </w:p>
    <w:p w14:paraId="5FB205E7" w14:textId="77777777" w:rsidR="001C5A0D" w:rsidRPr="00954742" w:rsidRDefault="001C5A0D" w:rsidP="001C5A0D">
      <w:pPr>
        <w:pStyle w:val="A-Text11"/>
        <w:rPr>
          <w:iCs/>
        </w:rPr>
      </w:pPr>
      <w:r w:rsidRPr="00954742">
        <w:rPr>
          <w:iCs/>
        </w:rPr>
        <w:t xml:space="preserve">Koordinačné, komunikačné a optické káble budú položené v súbehu s káblami CDS PS 120.1. Križovania a súbehy s inými sieťami budú urobené v zmysle požiadaviek STN 73 6005, </w:t>
      </w:r>
      <w:r w:rsidRPr="00954742">
        <w:rPr>
          <w:iCs/>
        </w:rPr>
        <w:lastRenderedPageBreak/>
        <w:t>STN 33 2000-5-52 a inými predpismi. Úpravy (záseky, zásypy a pod.) rýh budú urobené v zmysle požiadaviek Magistrátu hl. mesta SR Bratislavy. V rámci križovatky budú výkopové práce zahrnuté v PS 120.1 - CDS križovatky č. 386 Galvaniho – Banšelova.</w:t>
      </w:r>
    </w:p>
    <w:p w14:paraId="5554CBF2" w14:textId="77777777" w:rsidR="001C5A0D" w:rsidRPr="00954742" w:rsidRDefault="001C5A0D" w:rsidP="001C5A0D">
      <w:pPr>
        <w:pStyle w:val="A-Text11"/>
        <w:rPr>
          <w:iCs/>
        </w:rPr>
      </w:pPr>
      <w:bookmarkStart w:id="111" w:name="_Toc91148347"/>
      <w:r w:rsidRPr="00954742">
        <w:rPr>
          <w:iCs/>
        </w:rPr>
        <w:t>PS 102.4 - Kamerový dohľad križovatky</w:t>
      </w:r>
      <w:bookmarkEnd w:id="111"/>
    </w:p>
    <w:p w14:paraId="3120E5F8" w14:textId="77777777" w:rsidR="001C5A0D" w:rsidRPr="00954742" w:rsidRDefault="001C5A0D" w:rsidP="001C5A0D">
      <w:pPr>
        <w:pStyle w:val="A-Text11"/>
        <w:rPr>
          <w:iCs/>
        </w:rPr>
      </w:pPr>
      <w:r w:rsidRPr="00954742">
        <w:rPr>
          <w:iCs/>
        </w:rPr>
        <w:t>Za účelom zvýšenia bezpečnosti účastníkov premávky, priepustnosti a prejazdnosti MHD v križovatke č. 386, a za účelom monitoringu dopravnej situácie v nej je navrhnutý kamerový dohľad.</w:t>
      </w:r>
    </w:p>
    <w:p w14:paraId="562339E1" w14:textId="77777777" w:rsidR="001C5A0D" w:rsidRPr="00954742" w:rsidRDefault="001C5A0D" w:rsidP="001C5A0D">
      <w:pPr>
        <w:pStyle w:val="A-Text11"/>
        <w:rPr>
          <w:iCs/>
        </w:rPr>
      </w:pPr>
      <w:r w:rsidRPr="00954742">
        <w:rPr>
          <w:iCs/>
        </w:rPr>
        <w:t xml:space="preserve">Kamera KD 386 bude zaradená do systému monitorovania križovatiek v Bratislave. Dispečing pre monitorovanie a diaľkové riadenie križovatiek je umiestnený v budove KDI KR PZ SR na Špitálskej ulici. V budove MsP na Gunduličovej ulici sú umiestnené servery a záznamové zariadenia kamerového dohľadu. Kamera bude umiestnená na Galvaniho ulici na nároží ulíc Galvaniho – Krajná, pri chodníku v zeleni na vlastnom betónovom stožiari. </w:t>
      </w:r>
    </w:p>
    <w:p w14:paraId="20703DF6" w14:textId="77777777" w:rsidR="001C5A0D" w:rsidRPr="00954742" w:rsidRDefault="001C5A0D" w:rsidP="001C5A0D">
      <w:pPr>
        <w:pStyle w:val="A-Text11"/>
        <w:rPr>
          <w:iCs/>
        </w:rPr>
      </w:pPr>
      <w:r w:rsidRPr="00954742">
        <w:rPr>
          <w:iCs/>
        </w:rPr>
        <w:t xml:space="preserve">Kamera bude napájaná priamo zo skrine ORS 386 cez samostatný istiaci prvok. Kamera bude priamo pripojená na optickú sieť cez technologickú stanicu kamerového dohľadu TS-KD 386, ktorá bude umiestnená na stožiari KD. TS-KD 386 bude prepojená optickým káblom s ORS 386, ktorá je umiestnený v križovatke č. 386 vedľa radiča CDS 386.      </w:t>
      </w:r>
    </w:p>
    <w:p w14:paraId="0D05DC50" w14:textId="77777777" w:rsidR="001C5A0D" w:rsidRPr="00954742" w:rsidRDefault="001C5A0D" w:rsidP="001C5A0D">
      <w:pPr>
        <w:pStyle w:val="A-Text11"/>
        <w:rPr>
          <w:iCs/>
        </w:rPr>
      </w:pPr>
      <w:r w:rsidRPr="00954742">
        <w:rPr>
          <w:iCs/>
        </w:rPr>
        <w:t xml:space="preserve">Optický kábel bude zafúknutý v HDPE rúrke. HDPE rúrka a napájací kábel budú uložené do rýh v chodníkoch a komunikáciách, v súbehu s káblami CDS križovatky. </w:t>
      </w:r>
    </w:p>
    <w:p w14:paraId="34E1A9A7" w14:textId="77777777" w:rsidR="001C5A0D" w:rsidRPr="00954742" w:rsidRDefault="001C5A0D" w:rsidP="001C5A0D">
      <w:pPr>
        <w:pStyle w:val="A-Text11"/>
        <w:rPr>
          <w:iCs/>
        </w:rPr>
      </w:pPr>
      <w:r w:rsidRPr="00954742">
        <w:rPr>
          <w:iCs/>
        </w:rPr>
        <w:t>Križovania a súbehy s inými sieťami budú urobené v zmysle požiadaviek STN 73 6005, STN 33 2000-5-52 a inými predpismi. Tam, kde to bude nevyhnutné, budú križovania cez komunikácie urobené prekopaním. Úpravy (záseky, zásypy apod.) rýh budú urobené v zmysle požiadaviek Magistrátu hl. mesta SR Bratislavy. V rámci križovatky budú výkopové práce zahrnuté v PS 120.1 CDS križovatky č. 386 Galvaniho – Banšelova.</w:t>
      </w:r>
    </w:p>
    <w:bookmarkEnd w:id="76"/>
    <w:p w14:paraId="3CBEC75D" w14:textId="490EBD11" w:rsidR="00FC55FA" w:rsidRPr="00954742" w:rsidRDefault="003B03FE" w:rsidP="003B03FE">
      <w:pPr>
        <w:pStyle w:val="A-Text11"/>
        <w:ind w:firstLine="0"/>
        <w:rPr>
          <w:b/>
          <w:bCs/>
        </w:rPr>
      </w:pPr>
      <w:r w:rsidRPr="00954742">
        <w:rPr>
          <w:b/>
          <w:bCs/>
        </w:rPr>
        <w:t>VARIANTNÉ RIEŠENIA</w:t>
      </w:r>
    </w:p>
    <w:p w14:paraId="4BD55F87" w14:textId="1C5AE29F" w:rsidR="00906217" w:rsidRDefault="00906217" w:rsidP="00906217">
      <w:pPr>
        <w:pStyle w:val="A-Text11"/>
      </w:pPr>
      <w:r w:rsidRPr="00954742">
        <w:t xml:space="preserve">Navrhované sú dve variantné riešenia </w:t>
      </w:r>
      <w:r w:rsidR="00FC55FA" w:rsidRPr="00954742">
        <w:t>navrh</w:t>
      </w:r>
      <w:r w:rsidRPr="00954742">
        <w:t xml:space="preserve">ovanej činnosti. Oba varianty sú zhodné v urbanistickom riešení, architektornickom riešení a aj v technickej koncepcii. Varianty sa však budú odlišovať v náhradnom zdroji pre vetranie garáží, pričom vo variante číslo 1 bude ako náhradný zdroj použitý dieselagregát a vo variante číslo 2 bude použitý náhradný zdroj elektrickej energie </w:t>
      </w:r>
      <w:r w:rsidRPr="0021398A">
        <w:t>– UPS.</w:t>
      </w:r>
    </w:p>
    <w:p w14:paraId="54034485" w14:textId="53BEAB5D" w:rsidR="00096772" w:rsidRPr="0021398A" w:rsidRDefault="00096772" w:rsidP="00096772">
      <w:pPr>
        <w:spacing w:before="120"/>
        <w:jc w:val="both"/>
        <w:rPr>
          <w:rFonts w:ascii="Arial" w:hAnsi="Arial" w:cs="Arial"/>
          <w:b/>
          <w:bCs/>
          <w:i/>
          <w:iCs/>
          <w:sz w:val="22"/>
          <w:szCs w:val="22"/>
          <w:u w:val="single"/>
          <w:lang w:eastAsia="en-US"/>
        </w:rPr>
      </w:pPr>
      <w:r w:rsidRPr="0021398A">
        <w:rPr>
          <w:rFonts w:ascii="Arial" w:hAnsi="Arial" w:cs="Arial"/>
          <w:b/>
          <w:bCs/>
          <w:i/>
          <w:iCs/>
          <w:sz w:val="22"/>
          <w:szCs w:val="22"/>
          <w:u w:val="single"/>
          <w:lang w:eastAsia="en-US"/>
        </w:rPr>
        <w:t>Variant č</w:t>
      </w:r>
      <w:r w:rsidR="008C1CDE" w:rsidRPr="0021398A">
        <w:rPr>
          <w:rFonts w:ascii="Arial" w:hAnsi="Arial" w:cs="Arial"/>
          <w:b/>
          <w:bCs/>
          <w:i/>
          <w:iCs/>
          <w:sz w:val="22"/>
          <w:szCs w:val="22"/>
          <w:u w:val="single"/>
          <w:lang w:eastAsia="en-US"/>
        </w:rPr>
        <w:t>íslo</w:t>
      </w:r>
      <w:r w:rsidRPr="0021398A">
        <w:rPr>
          <w:rFonts w:ascii="Arial" w:hAnsi="Arial" w:cs="Arial"/>
          <w:b/>
          <w:bCs/>
          <w:i/>
          <w:iCs/>
          <w:sz w:val="22"/>
          <w:szCs w:val="22"/>
          <w:u w:val="single"/>
          <w:lang w:eastAsia="en-US"/>
        </w:rPr>
        <w:t xml:space="preserve"> 1</w:t>
      </w:r>
    </w:p>
    <w:p w14:paraId="59A6727F" w14:textId="595FB602" w:rsidR="008C1CDE" w:rsidRPr="0021398A" w:rsidRDefault="008C1CDE" w:rsidP="006D7FA0">
      <w:pPr>
        <w:pStyle w:val="A-Text11"/>
        <w:rPr>
          <w:b/>
          <w:bCs/>
        </w:rPr>
      </w:pPr>
      <w:r w:rsidRPr="0021398A">
        <w:rPr>
          <w:b/>
          <w:bCs/>
        </w:rPr>
        <w:t>Dieselagregát</w:t>
      </w:r>
    </w:p>
    <w:p w14:paraId="61835185" w14:textId="5D2C8970" w:rsidR="008C1CDE" w:rsidRPr="0021398A" w:rsidRDefault="008C1CDE" w:rsidP="006D7FA0">
      <w:pPr>
        <w:pStyle w:val="A-Text11"/>
      </w:pPr>
      <w:r w:rsidRPr="0021398A">
        <w:t>Ako</w:t>
      </w:r>
      <w:r w:rsidR="00E166E3" w:rsidRPr="0021398A">
        <w:t xml:space="preserve"> náhradný</w:t>
      </w:r>
      <w:r w:rsidRPr="0021398A">
        <w:t xml:space="preserve"> zdroj</w:t>
      </w:r>
      <w:r w:rsidR="00E166E3" w:rsidRPr="0021398A">
        <w:t xml:space="preserve"> pre vetranie garáží</w:t>
      </w:r>
      <w:r w:rsidRPr="0021398A">
        <w:t xml:space="preserve"> bude použitý motor generátor o výkone, ktorý bude upresnený v rámci spresňovania riešení v rozpracovanej dokumentácii</w:t>
      </w:r>
      <w:r w:rsidR="009376E3" w:rsidRPr="0021398A">
        <w:t xml:space="preserve">. </w:t>
      </w:r>
      <w:r w:rsidRPr="0021398A">
        <w:t xml:space="preserve">Umiestnenie </w:t>
      </w:r>
      <w:r w:rsidR="00546F7B">
        <w:t>je</w:t>
      </w:r>
      <w:r w:rsidRPr="0021398A">
        <w:t xml:space="preserve"> určené dokumentáciou v rámci objektu, kde bude umiestnený kompletný odhlučnený kapotovaný generátor. Elektrická energia bude k vybraným spotrebičom dodávaná cez automatický rozvádzač, ktorý bude zabezpečovať automatické spúšťanie motor generátora pri strate napätia v sieti. Rozvádzač bude štartovať generátor pri výpadku a vypínať ho po obnove napätia v sieti, indukuje stavy činnosti, napätia, prúdu a frekvencie v sústave a dobíja štartovací akumulátor. </w:t>
      </w:r>
    </w:p>
    <w:p w14:paraId="05DB3DED" w14:textId="77777777" w:rsidR="008C1CDE" w:rsidRPr="0021398A" w:rsidRDefault="008C1CDE" w:rsidP="006D7FA0">
      <w:pPr>
        <w:pStyle w:val="A-Text11"/>
      </w:pPr>
      <w:r w:rsidRPr="0021398A">
        <w:t xml:space="preserve">Naftové hospodárstvo: Pretože bude agregát použitý len jednoúčelovo ako náhradný zdroj el. energie, môže byť použité naftové hospodárstvo inštalované na zariadení. Prevádzková nádrž bude umiestnená priamo v ráme kapoty generátora. Plniace hrdlo bude prístupné </w:t>
      </w:r>
      <w:r w:rsidRPr="0021398A">
        <w:lastRenderedPageBreak/>
        <w:t>otvorom v kapotáži. Pre manipulovanie s naftou a pre jej skladovanie platia ustanovenia STN 65 02 01 čl.32. Obsah nádrže predstavuje 14 hodinovú nepretržitú prevádzku pri 100% výkone.</w:t>
      </w:r>
    </w:p>
    <w:p w14:paraId="0E0C0126" w14:textId="364367A0" w:rsidR="008C1CDE" w:rsidRPr="0021398A" w:rsidRDefault="008C1CDE" w:rsidP="008C1CDE">
      <w:pPr>
        <w:spacing w:before="120"/>
        <w:jc w:val="both"/>
        <w:rPr>
          <w:rFonts w:ascii="Arial" w:hAnsi="Arial" w:cs="Arial"/>
          <w:b/>
          <w:bCs/>
          <w:i/>
          <w:iCs/>
          <w:sz w:val="22"/>
          <w:szCs w:val="22"/>
          <w:u w:val="single"/>
          <w:lang w:eastAsia="en-US"/>
        </w:rPr>
      </w:pPr>
      <w:r w:rsidRPr="0021398A">
        <w:rPr>
          <w:rFonts w:ascii="Arial" w:hAnsi="Arial" w:cs="Arial"/>
          <w:b/>
          <w:bCs/>
          <w:i/>
          <w:iCs/>
          <w:sz w:val="22"/>
          <w:szCs w:val="22"/>
          <w:u w:val="single"/>
          <w:lang w:eastAsia="en-US"/>
        </w:rPr>
        <w:t>Variant číslo 2</w:t>
      </w:r>
    </w:p>
    <w:p w14:paraId="7D94B697" w14:textId="0951B261" w:rsidR="008C1CDE" w:rsidRPr="0021398A" w:rsidRDefault="007E5012" w:rsidP="00E166E3">
      <w:pPr>
        <w:pStyle w:val="A-Text11"/>
        <w:ind w:firstLine="0"/>
      </w:pPr>
      <w:r w:rsidRPr="0021398A">
        <w:t>Urbanistické riešenie, </w:t>
      </w:r>
      <w:r w:rsidR="00204071" w:rsidRPr="0021398A">
        <w:t>architektonické</w:t>
      </w:r>
      <w:r w:rsidRPr="0021398A">
        <w:t xml:space="preserve"> riešenie a technická konce</w:t>
      </w:r>
      <w:r w:rsidR="00906217" w:rsidRPr="0021398A">
        <w:t>p</w:t>
      </w:r>
      <w:r w:rsidRPr="0021398A">
        <w:t xml:space="preserve">cia </w:t>
      </w:r>
      <w:r w:rsidR="00083260" w:rsidRPr="0021398A">
        <w:t>je</w:t>
      </w:r>
      <w:r w:rsidRPr="0021398A">
        <w:t xml:space="preserve"> zhodná </w:t>
      </w:r>
      <w:r w:rsidR="008C1CDE" w:rsidRPr="0021398A">
        <w:t>s variantom číslo 1. Variant číslo 2 sa</w:t>
      </w:r>
      <w:r w:rsidR="00E166E3" w:rsidRPr="0021398A">
        <w:t xml:space="preserve"> však</w:t>
      </w:r>
      <w:r w:rsidR="008C1CDE" w:rsidRPr="0021398A">
        <w:t xml:space="preserve"> bude odlišovať v náhradnom zdroji pre vetranie garáží. V tomto variante bude inštalovaný núdzový zdroj elektrickej energie </w:t>
      </w:r>
      <w:r w:rsidR="00E166E3" w:rsidRPr="0021398A">
        <w:t>–</w:t>
      </w:r>
      <w:r w:rsidRPr="0021398A">
        <w:t xml:space="preserve"> </w:t>
      </w:r>
      <w:r w:rsidR="008C1CDE" w:rsidRPr="0021398A">
        <w:t>UPS.</w:t>
      </w:r>
    </w:p>
    <w:p w14:paraId="6BDFB89C" w14:textId="0851DD97" w:rsidR="008C1CDE" w:rsidRPr="0021398A" w:rsidRDefault="008C1CDE" w:rsidP="006D7FA0">
      <w:pPr>
        <w:pStyle w:val="A-Text11"/>
        <w:rPr>
          <w:b/>
          <w:bCs/>
        </w:rPr>
      </w:pPr>
      <w:r w:rsidRPr="0021398A">
        <w:rPr>
          <w:b/>
          <w:bCs/>
        </w:rPr>
        <w:t>UPS</w:t>
      </w:r>
    </w:p>
    <w:p w14:paraId="00BA271F" w14:textId="5DF366F2" w:rsidR="008C1CDE" w:rsidRPr="0021398A" w:rsidRDefault="008C1CDE" w:rsidP="006D7FA0">
      <w:pPr>
        <w:pStyle w:val="A-Text11"/>
      </w:pPr>
      <w:r w:rsidRPr="0021398A">
        <w:t xml:space="preserve">Pre zásobovanie požiarno-technických zariadení s požadovaným 1. stupňom napájania podľa STN341610 bude inštalovaný núdzový zdroj elektrickej energie, ktorého umiestnenie bude v samostatnej miestnosti tvoriacej požiarny úsek spĺňajúci požiadavky na požiarnu odolnosť podľa STN 920203. Vo Variante č. </w:t>
      </w:r>
      <w:r w:rsidR="00376239">
        <w:t xml:space="preserve">2 </w:t>
      </w:r>
      <w:r w:rsidRPr="0021398A">
        <w:t xml:space="preserve">to bude zdroj UPS. </w:t>
      </w:r>
    </w:p>
    <w:p w14:paraId="007B79DA" w14:textId="77777777" w:rsidR="008C1CDE" w:rsidRPr="0021398A" w:rsidRDefault="008C1CDE" w:rsidP="006D7FA0">
      <w:pPr>
        <w:pStyle w:val="A-Text11"/>
        <w:rPr>
          <w:lang w:eastAsia="sk-SK"/>
        </w:rPr>
      </w:pPr>
      <w:r w:rsidRPr="0021398A">
        <w:rPr>
          <w:lang w:eastAsia="sk-SK"/>
        </w:rPr>
        <w:t>CBS a UPS Záložné zdroje zabezpečujú prívod elektrickej energie aj v prípade výpadku hlavného zdroja elektrickej energie. CBS a UPS zabezpečujú prívod energie na niekoľko minúť až hodín.</w:t>
      </w:r>
    </w:p>
    <w:p w14:paraId="1BFE4C68" w14:textId="77777777" w:rsidR="008C1CDE" w:rsidRPr="0021398A" w:rsidRDefault="008C1CDE" w:rsidP="006D7FA0">
      <w:pPr>
        <w:pStyle w:val="A-Text11"/>
        <w:rPr>
          <w:lang w:eastAsia="sk-SK"/>
        </w:rPr>
      </w:pPr>
      <w:r w:rsidRPr="0021398A">
        <w:rPr>
          <w:lang w:eastAsia="sk-SK"/>
        </w:rPr>
        <w:t>Systémy záložných zdrojov s centrálnym napájaním sú navrhované s ohľadom na skutočnosť, že energia pre prípad výpadku je sústredená v jednom mieste.  S ohľadom na zaistenie bezpečnej dodávky i v prípade lokálneho požiaru je nutné, aby zariadenie bolo umiestené vo vlastnej požiaru odolnej miestnosti.</w:t>
      </w:r>
    </w:p>
    <w:p w14:paraId="35C6BCAC" w14:textId="2D3974C0" w:rsidR="009038A3" w:rsidRDefault="008C1CDE" w:rsidP="006D7FA0">
      <w:pPr>
        <w:pStyle w:val="A-Text11"/>
      </w:pPr>
      <w:r w:rsidRPr="0021398A">
        <w:t>Núdzové osvetlenie, EPS a HSP budú mať zároveň svoje vlastné zdroje, ktoré budú umiestené v samostatných požiarnych úsekoch.</w:t>
      </w:r>
    </w:p>
    <w:p w14:paraId="466D498B" w14:textId="7DCBF383" w:rsidR="00E24C5D" w:rsidRPr="00FC5289" w:rsidRDefault="00E24C5D" w:rsidP="008C6F96">
      <w:pPr>
        <w:pStyle w:val="3rovenadpis"/>
      </w:pPr>
      <w:bookmarkStart w:id="112" w:name="_Toc93916814"/>
      <w:bookmarkStart w:id="113" w:name="_Toc495992949"/>
      <w:r w:rsidRPr="00FC5289">
        <w:t>Dopravné riešenie</w:t>
      </w:r>
      <w:bookmarkEnd w:id="112"/>
      <w:r w:rsidRPr="00FC5289">
        <w:t xml:space="preserve"> </w:t>
      </w:r>
      <w:bookmarkEnd w:id="113"/>
    </w:p>
    <w:p w14:paraId="19562301" w14:textId="6327F8D9" w:rsidR="008A71FE" w:rsidRPr="00FC5289" w:rsidRDefault="008A71FE" w:rsidP="00A66147">
      <w:pPr>
        <w:pStyle w:val="A-Text11"/>
        <w:ind w:firstLine="0"/>
        <w:rPr>
          <w:b/>
          <w:bCs/>
        </w:rPr>
      </w:pPr>
      <w:r w:rsidRPr="00FC5289">
        <w:rPr>
          <w:b/>
          <w:bCs/>
        </w:rPr>
        <w:t>Širšie vzťahy</w:t>
      </w:r>
    </w:p>
    <w:p w14:paraId="18898F1E" w14:textId="4050EC53" w:rsidR="008A71FE" w:rsidRPr="00FC5289" w:rsidRDefault="008A71FE" w:rsidP="008A71FE">
      <w:pPr>
        <w:pStyle w:val="A-Text11"/>
      </w:pPr>
      <w:r w:rsidRPr="00FC5289">
        <w:t>Riešené územie sa nachádza v mestskej časti Bratislava – Ružinov. Upravované územie je vyčlenené komunikáciami Galvaniho, Banšelova a Terchovská. Toto územie bude napojené na sieť peších trás – chodníkov a zároveň sa vybuduje v danom priestore nová cyklotrasa v súbehu s komunikáciou Galvaniho. Bude napojená od križovatky s ulicou Rožňavskou až po ulicu Banšelova. Na komunikácii Banšelova dôjde k úprave uličného koridoru – pridajú sa pozdĺžne parkovania, a rovnako dôjde k úprave aj na komunikácii Terchovská z ktorej sa stane ukľudnená ulica – obytná Zóna. Na druhej strane ulice Banšelova (od navrhovaného objektu) sa vytvorí nové parkovisko. Aj v tejto zóne dôjde k úprave dopravného riadenia. (Zjednosmernenie existujúceho vnútrobloku).</w:t>
      </w:r>
    </w:p>
    <w:p w14:paraId="70443CC0" w14:textId="2F8C9C32" w:rsidR="008A71FE" w:rsidRPr="00FC5289" w:rsidRDefault="008A71FE" w:rsidP="00A66147">
      <w:pPr>
        <w:pStyle w:val="A-Text11"/>
        <w:ind w:firstLine="0"/>
        <w:rPr>
          <w:b/>
          <w:bCs/>
        </w:rPr>
      </w:pPr>
      <w:r w:rsidRPr="00FC5289">
        <w:rPr>
          <w:b/>
          <w:bCs/>
        </w:rPr>
        <w:t>Dopravné napojenie</w:t>
      </w:r>
    </w:p>
    <w:p w14:paraId="04DB7D33" w14:textId="77777777" w:rsidR="008A71FE" w:rsidRPr="00FC5289" w:rsidRDefault="008A71FE" w:rsidP="008A71FE">
      <w:pPr>
        <w:pStyle w:val="A-Text11"/>
      </w:pPr>
      <w:r w:rsidRPr="00FC5289">
        <w:t xml:space="preserve">Riešené územie je zložené z hlavného objektu s podzemnou garážou a šiestimi samostatnými objektami, ktorých napojenie bude kombináciou vstupu z ulice Banšelovej a upravenej ulice Terchovskej. Budúci nový objekt obytný súbor Terchovká bude dopravne napojený cez obojsmerný vjazd a výjazd z podzemnej garáže objektu na jestvujúcu miestnu komunikáciu - ulica Banšelova. Rovnako na túto komunikáciu bude napojená stykovou križovatkou aj samostatná vetva – upravená Terchovská ulica, ktorá vytvára podružný prístup do riešeného areálu. Komunikácia Banšelova je napojená priesečnou križovatkou na ulicu Galvaniho, ktorá sa napája na nadradený komunikačný systém – ulicu Rožňavskú (cestu I/61). Nová ukľudnená komunikácia Terchovská bude od križovania s ulicou Krompašskou riešená ako slepá – jednopruhová obojsmerná komunikácia. </w:t>
      </w:r>
    </w:p>
    <w:p w14:paraId="735ED348" w14:textId="77777777" w:rsidR="008A71FE" w:rsidRPr="00FC5289" w:rsidRDefault="008A71FE" w:rsidP="008A71FE">
      <w:pPr>
        <w:pStyle w:val="A-Text11"/>
      </w:pPr>
      <w:r w:rsidRPr="00FC5289">
        <w:lastRenderedPageBreak/>
        <w:t>Okrem hlavného prístupu je riešený aj prístup pre peších a cyklistov. V danom areáli budú budované pešie trasy, ktoré budú na viacerých miestach napojené na upravovaný alebo pôvodný stav. Popri komunikáciách Galvaniho a Banšelova bude riešený súbežný chodník, v súbehu s Galvaniho ulicou je riešený cyklochodník. Cyklochodník bude napojený na existujúcu sieť cyklotrás. Cyklotrasa bude riešená aj cez križovatku Galvaniho-Banšelova-Krajná.</w:t>
      </w:r>
    </w:p>
    <w:p w14:paraId="7F93C121" w14:textId="71073962" w:rsidR="008A71FE" w:rsidRPr="00FC5289" w:rsidRDefault="008A71FE" w:rsidP="00A66147">
      <w:pPr>
        <w:pStyle w:val="A-Text11"/>
        <w:ind w:firstLine="0"/>
        <w:rPr>
          <w:b/>
          <w:bCs/>
        </w:rPr>
      </w:pPr>
      <w:r w:rsidRPr="00FC5289">
        <w:rPr>
          <w:b/>
          <w:bCs/>
        </w:rPr>
        <w:t xml:space="preserve">Výpočet nárokov na statickú dopravu </w:t>
      </w:r>
    </w:p>
    <w:p w14:paraId="6264F9D6" w14:textId="71107EA4" w:rsidR="008A71FE" w:rsidRPr="003152FD" w:rsidRDefault="008A71FE" w:rsidP="00A66147">
      <w:pPr>
        <w:pStyle w:val="A-Text11"/>
        <w:ind w:firstLine="0"/>
        <w:rPr>
          <w:b/>
          <w:bCs/>
        </w:rPr>
      </w:pPr>
      <w:r w:rsidRPr="003152FD">
        <w:rPr>
          <w:b/>
          <w:bCs/>
        </w:rPr>
        <w:t>Základné východiska</w:t>
      </w:r>
    </w:p>
    <w:p w14:paraId="56D1617B" w14:textId="77777777" w:rsidR="008A71FE" w:rsidRPr="003152FD" w:rsidRDefault="008A71FE" w:rsidP="008A71FE">
      <w:pPr>
        <w:pStyle w:val="A-Text11"/>
      </w:pPr>
      <w:r w:rsidRPr="003152FD">
        <w:t>Objekt, ktorý generuje statickú dopravu, je bytový dom. Dotknutá oblasť sa využíva aj na splnenie požiadaviek statickej dopravy.</w:t>
      </w:r>
    </w:p>
    <w:p w14:paraId="39958440" w14:textId="77777777" w:rsidR="008A71FE" w:rsidRPr="003152FD" w:rsidRDefault="008A71FE" w:rsidP="008A71FE">
      <w:pPr>
        <w:pStyle w:val="A-Text11"/>
      </w:pPr>
      <w:r w:rsidRPr="003152FD">
        <w:t xml:space="preserve">Bytový dom Terchovská je zložený z bytových jednotiek, kaviarne a služieb (obchody). V objekte sa predpokladá s výstavbou 85 bytov, v zložení: 31 x 1-izb. + 34 x 2-izb. + 20 x 3-izb. = 85 bytov. Pre obchody je predpokladaný počet zamestnancov 2  a čistá predajná plocha je 68,5 m2. Pre kaviarne (sú navrhované dve) je navrhovaný počet zamestnancov 4 a maximálny počet návštevníkov je 96 (pre obe spolu).  </w:t>
      </w:r>
    </w:p>
    <w:p w14:paraId="37FF598D" w14:textId="20D75D61" w:rsidR="008A71FE" w:rsidRPr="003152FD" w:rsidRDefault="008A71FE" w:rsidP="008A71FE">
      <w:pPr>
        <w:pStyle w:val="A-Text11"/>
      </w:pPr>
      <w:r w:rsidRPr="003152FD">
        <w:t>Normové nároky parkovacích miest:</w:t>
      </w:r>
    </w:p>
    <w:p w14:paraId="5A1B48F1" w14:textId="77777777" w:rsidR="008A71FE" w:rsidRPr="003152FD" w:rsidRDefault="008A71FE" w:rsidP="007D4FB4">
      <w:pPr>
        <w:pStyle w:val="A-Text11"/>
        <w:spacing w:before="0" w:line="240" w:lineRule="auto"/>
        <w:ind w:firstLine="425"/>
      </w:pPr>
      <w:r w:rsidRPr="003152FD">
        <w:t xml:space="preserve">N = 1,1 x Oo + 1,1 x Po x kmp x kd </w:t>
      </w:r>
    </w:p>
    <w:p w14:paraId="63CA33C5" w14:textId="3496865D" w:rsidR="008A71FE" w:rsidRPr="003152FD" w:rsidRDefault="008A71FE" w:rsidP="007D4FB4">
      <w:pPr>
        <w:pStyle w:val="A-Text11"/>
        <w:spacing w:before="0" w:line="240" w:lineRule="auto"/>
        <w:ind w:firstLine="425"/>
      </w:pPr>
      <w:r w:rsidRPr="003152FD">
        <w:t>základný počet odstavných stojísk</w:t>
      </w:r>
      <w:r w:rsidRPr="003152FD">
        <w:tab/>
      </w:r>
      <w:r w:rsidRPr="003152FD">
        <w:tab/>
      </w:r>
      <w:r w:rsidRPr="003152FD">
        <w:tab/>
      </w:r>
      <w:r w:rsidRPr="003152FD">
        <w:tab/>
      </w:r>
      <w:r w:rsidRPr="003152FD">
        <w:tab/>
      </w:r>
      <w:r w:rsidRPr="003152FD">
        <w:tab/>
        <w:t>Oo</w:t>
      </w:r>
    </w:p>
    <w:p w14:paraId="5F30EDD2" w14:textId="77777777" w:rsidR="008A71FE" w:rsidRPr="003152FD" w:rsidRDefault="008A71FE" w:rsidP="007D4FB4">
      <w:pPr>
        <w:pStyle w:val="A-Text11"/>
        <w:spacing w:before="0" w:line="240" w:lineRule="auto"/>
        <w:ind w:firstLine="425"/>
      </w:pPr>
      <w:r w:rsidRPr="003152FD">
        <w:t>základný počet parkovacích stojísk (nepočíta sa pre bývanie)</w:t>
      </w:r>
      <w:r w:rsidRPr="003152FD">
        <w:tab/>
      </w:r>
      <w:r w:rsidRPr="003152FD">
        <w:tab/>
      </w:r>
      <w:r w:rsidRPr="003152FD">
        <w:tab/>
        <w:t>Po</w:t>
      </w:r>
    </w:p>
    <w:p w14:paraId="732088A6" w14:textId="77777777" w:rsidR="008A71FE" w:rsidRPr="003152FD" w:rsidRDefault="008A71FE" w:rsidP="007D4FB4">
      <w:pPr>
        <w:pStyle w:val="A-Text11"/>
        <w:spacing w:before="0" w:line="240" w:lineRule="auto"/>
        <w:ind w:firstLine="425"/>
      </w:pPr>
      <w:r w:rsidRPr="003152FD">
        <w:t>regulačný koeficient mestskej polohy</w:t>
      </w:r>
      <w:r w:rsidRPr="003152FD">
        <w:tab/>
      </w:r>
      <w:r w:rsidRPr="003152FD">
        <w:tab/>
      </w:r>
      <w:r w:rsidRPr="003152FD">
        <w:tab/>
      </w:r>
      <w:r w:rsidRPr="003152FD">
        <w:tab/>
      </w:r>
      <w:r w:rsidRPr="003152FD">
        <w:tab/>
      </w:r>
      <w:r w:rsidRPr="003152FD">
        <w:tab/>
        <w:t>kmp = 1,0</w:t>
      </w:r>
    </w:p>
    <w:p w14:paraId="42272FB5" w14:textId="7C2F53AE" w:rsidR="008A71FE" w:rsidRPr="003152FD" w:rsidRDefault="008A71FE" w:rsidP="007D4FB4">
      <w:pPr>
        <w:pStyle w:val="A-Text11"/>
        <w:spacing w:before="0" w:line="240" w:lineRule="auto"/>
        <w:ind w:firstLine="425"/>
      </w:pPr>
      <w:r w:rsidRPr="003152FD">
        <w:t>koeficient deľby dopravnej práce</w:t>
      </w:r>
      <w:r w:rsidR="00A66147" w:rsidRPr="003152FD">
        <w:t xml:space="preserve"> </w:t>
      </w:r>
      <w:r w:rsidRPr="003152FD">
        <w:t>IAD: ostatná doprava 40% : 60%</w:t>
      </w:r>
      <w:r w:rsidRPr="003152FD">
        <w:tab/>
      </w:r>
      <w:r w:rsidR="00A66147" w:rsidRPr="003152FD">
        <w:tab/>
      </w:r>
      <w:r w:rsidRPr="003152FD">
        <w:t>kd = 1,0</w:t>
      </w:r>
    </w:p>
    <w:p w14:paraId="745DFFB4" w14:textId="77777777" w:rsidR="008A71FE" w:rsidRPr="003152FD" w:rsidRDefault="008A71FE" w:rsidP="008A71FE">
      <w:pPr>
        <w:pStyle w:val="A-Text11"/>
      </w:pPr>
      <w:r w:rsidRPr="003152FD">
        <w:t>Koeficient 1,1 zahŕňa aj 10% rezervu stojísk pre krátkodobé parkovanie návštev verejne prístupných.</w:t>
      </w:r>
    </w:p>
    <w:p w14:paraId="6911832C" w14:textId="5A381550" w:rsidR="008A71FE" w:rsidRPr="003152FD" w:rsidRDefault="008A71FE" w:rsidP="00A66147">
      <w:pPr>
        <w:pStyle w:val="A-Text11"/>
        <w:ind w:firstLine="0"/>
        <w:rPr>
          <w:b/>
          <w:bCs/>
        </w:rPr>
      </w:pPr>
      <w:r w:rsidRPr="003152FD">
        <w:rPr>
          <w:b/>
          <w:bCs/>
        </w:rPr>
        <w:t>Byty a apartmány</w:t>
      </w:r>
    </w:p>
    <w:p w14:paraId="5FE2176F" w14:textId="77777777" w:rsidR="008A71FE" w:rsidRPr="003152FD" w:rsidRDefault="008A71FE" w:rsidP="008A71FE">
      <w:pPr>
        <w:pStyle w:val="A-Text11"/>
      </w:pPr>
      <w:r w:rsidRPr="003152FD">
        <w:t>Počet odstavných státí Oo pre byty a apartmány podľa Tabuľky 20 normy STN 73 6110/Z2 Projektovanie miestnych komunikácií:</w:t>
      </w:r>
    </w:p>
    <w:p w14:paraId="7FA9DF1A" w14:textId="1C9AEB72" w:rsidR="008A71FE" w:rsidRPr="003152FD" w:rsidRDefault="008A71FE" w:rsidP="003152FD">
      <w:pPr>
        <w:pStyle w:val="A-Text11"/>
        <w:spacing w:before="0" w:line="240" w:lineRule="auto"/>
        <w:ind w:left="709" w:firstLine="709"/>
      </w:pPr>
      <w:r w:rsidRPr="003152FD">
        <w:t>65 x byt – do 60m</w:t>
      </w:r>
      <w:r w:rsidRPr="00B23535">
        <w:rPr>
          <w:vertAlign w:val="superscript"/>
        </w:rPr>
        <w:t>2</w:t>
      </w:r>
      <w:r w:rsidRPr="003152FD">
        <w:t xml:space="preserve"> (1 stoj./byt )</w:t>
      </w:r>
      <w:r w:rsidR="00F14714" w:rsidRPr="003152FD">
        <w:tab/>
      </w:r>
      <w:r w:rsidR="00F14714" w:rsidRPr="003152FD">
        <w:tab/>
      </w:r>
      <w:r w:rsidR="00F14714" w:rsidRPr="003152FD">
        <w:tab/>
      </w:r>
      <w:r w:rsidR="00F14714" w:rsidRPr="003152FD">
        <w:tab/>
      </w:r>
      <w:r w:rsidR="00F14714" w:rsidRPr="003152FD">
        <w:tab/>
      </w:r>
      <w:r w:rsidRPr="003152FD">
        <w:t>65 stoj.</w:t>
      </w:r>
    </w:p>
    <w:p w14:paraId="32E0EA39" w14:textId="08B080C3" w:rsidR="008A71FE" w:rsidRPr="003152FD" w:rsidRDefault="008A71FE" w:rsidP="003152FD">
      <w:pPr>
        <w:pStyle w:val="A-Text11"/>
        <w:spacing w:before="0" w:line="240" w:lineRule="auto"/>
        <w:ind w:left="1418" w:firstLine="0"/>
      </w:pPr>
      <w:r w:rsidRPr="003152FD">
        <w:t>20 x byt – od 60 do 90 m</w:t>
      </w:r>
      <w:r w:rsidRPr="00B23535">
        <w:rPr>
          <w:vertAlign w:val="superscript"/>
        </w:rPr>
        <w:t>2</w:t>
      </w:r>
      <w:r w:rsidRPr="003152FD">
        <w:t xml:space="preserve"> (1,5 stoj./byt)</w:t>
      </w:r>
      <w:r w:rsidR="00F14714" w:rsidRPr="003152FD">
        <w:tab/>
      </w:r>
      <w:r w:rsidR="00F14714" w:rsidRPr="003152FD">
        <w:tab/>
      </w:r>
      <w:r w:rsidRPr="003152FD">
        <w:tab/>
      </w:r>
      <w:r w:rsidR="00F14714" w:rsidRPr="003152FD">
        <w:tab/>
      </w:r>
      <w:r w:rsidRPr="003152FD">
        <w:t>30 stoj.</w:t>
      </w:r>
    </w:p>
    <w:p w14:paraId="79865742" w14:textId="10D45C32" w:rsidR="008A71FE" w:rsidRPr="003152FD" w:rsidRDefault="008A71FE" w:rsidP="003152FD">
      <w:pPr>
        <w:pStyle w:val="A-Text11"/>
        <w:spacing w:before="0" w:line="240" w:lineRule="auto"/>
        <w:ind w:left="709" w:firstLine="709"/>
      </w:pPr>
      <w:r w:rsidRPr="003152FD">
        <w:t>0 x byt – nad 90 m</w:t>
      </w:r>
      <w:r w:rsidRPr="00B23535">
        <w:rPr>
          <w:vertAlign w:val="superscript"/>
        </w:rPr>
        <w:t>2</w:t>
      </w:r>
      <w:r w:rsidRPr="003152FD">
        <w:t xml:space="preserve"> (2 stoj./byt – nad 90 m</w:t>
      </w:r>
      <w:r w:rsidRPr="00B23535">
        <w:rPr>
          <w:vertAlign w:val="superscript"/>
        </w:rPr>
        <w:t>2</w:t>
      </w:r>
      <w:r w:rsidRPr="003152FD">
        <w:t>)</w:t>
      </w:r>
      <w:r w:rsidR="00F14714" w:rsidRPr="003152FD">
        <w:tab/>
      </w:r>
      <w:r w:rsidR="00F14714" w:rsidRPr="003152FD">
        <w:tab/>
      </w:r>
      <w:r w:rsidR="00F14714" w:rsidRPr="003152FD">
        <w:tab/>
      </w:r>
      <w:r w:rsidRPr="003152FD">
        <w:t>0 stoj.</w:t>
      </w:r>
    </w:p>
    <w:p w14:paraId="31CE74EA" w14:textId="2943CD4E" w:rsidR="008A71FE" w:rsidRPr="003152FD" w:rsidRDefault="008A71FE" w:rsidP="008A71FE">
      <w:pPr>
        <w:pStyle w:val="A-Text11"/>
      </w:pPr>
      <w:r w:rsidRPr="003152FD">
        <w:t>SPOLU</w:t>
      </w:r>
      <w:r w:rsidRPr="003152FD">
        <w:tab/>
        <w:t xml:space="preserve">85 bytov </w:t>
      </w:r>
      <w:r w:rsidRPr="003152FD">
        <w:tab/>
      </w:r>
      <w:r w:rsidRPr="003152FD">
        <w:tab/>
      </w:r>
      <w:r w:rsidRPr="003152FD">
        <w:tab/>
      </w:r>
      <w:r w:rsidRPr="003152FD">
        <w:tab/>
        <w:t xml:space="preserve">     </w:t>
      </w:r>
      <w:r w:rsidRPr="003152FD">
        <w:tab/>
      </w:r>
      <w:r w:rsidRPr="003152FD">
        <w:tab/>
      </w:r>
      <w:r w:rsidR="00F14714" w:rsidRPr="003152FD">
        <w:tab/>
      </w:r>
      <w:r w:rsidR="00F14714" w:rsidRPr="003152FD">
        <w:tab/>
      </w:r>
      <w:r w:rsidRPr="003152FD">
        <w:t>95 stojísk</w:t>
      </w:r>
    </w:p>
    <w:p w14:paraId="58680B40" w14:textId="77777777" w:rsidR="008A71FE" w:rsidRPr="003152FD" w:rsidRDefault="008A71FE" w:rsidP="008A71FE">
      <w:pPr>
        <w:pStyle w:val="A-Text11"/>
      </w:pPr>
      <w:r w:rsidRPr="003152FD">
        <w:t>Počet parkovacích státí Po pre bytové jednotky  a apartmány je podľa Tabuľky 20 je 0.</w:t>
      </w:r>
    </w:p>
    <w:p w14:paraId="2A8472B7" w14:textId="77777777" w:rsidR="008A71FE" w:rsidRPr="003152FD" w:rsidRDefault="008A71FE" w:rsidP="008A71FE">
      <w:pPr>
        <w:pStyle w:val="A-Text11"/>
      </w:pPr>
      <w:r w:rsidRPr="003152FD">
        <w:t>NB = 1,1 x Oo + 1,1 x Po x kmp x kd = 1,1 x 95 + 0 = 104,5 = 105 stojísk</w:t>
      </w:r>
    </w:p>
    <w:p w14:paraId="36318F80" w14:textId="3DE198FF" w:rsidR="008A71FE" w:rsidRPr="003152FD" w:rsidRDefault="008A71FE" w:rsidP="008A71FE">
      <w:pPr>
        <w:pStyle w:val="A-Text11"/>
      </w:pPr>
      <w:r w:rsidRPr="003152FD">
        <w:t>Pre potreby dopravnej obsluhy bytov v navrhnutom súbore je potrebné vybudovať min. 105 nových parkovacích miest.</w:t>
      </w:r>
    </w:p>
    <w:p w14:paraId="265B041C" w14:textId="754BD6A0" w:rsidR="008A71FE" w:rsidRPr="003152FD" w:rsidRDefault="008A71FE" w:rsidP="00F14714">
      <w:pPr>
        <w:pStyle w:val="A-Text11"/>
        <w:ind w:firstLine="0"/>
        <w:rPr>
          <w:b/>
          <w:bCs/>
        </w:rPr>
      </w:pPr>
      <w:r w:rsidRPr="003152FD">
        <w:rPr>
          <w:b/>
          <w:bCs/>
        </w:rPr>
        <w:t>Služby (Obchody)</w:t>
      </w:r>
    </w:p>
    <w:p w14:paraId="0CB95B26" w14:textId="77777777" w:rsidR="008A71FE" w:rsidRPr="003152FD" w:rsidRDefault="008A71FE" w:rsidP="008A71FE">
      <w:pPr>
        <w:pStyle w:val="A-Text11"/>
      </w:pPr>
      <w:r w:rsidRPr="003152FD">
        <w:t>Počet odstavných státí Oo pre prenajímateľné komerčné priestory podľa Tabuľky 20 normy STN 73 6110/Z2 Projektovanie miestnych komunikácií, podľa počtu zamestnancov:</w:t>
      </w:r>
    </w:p>
    <w:p w14:paraId="3DEA8464" w14:textId="30B2285B" w:rsidR="008A71FE" w:rsidRPr="003152FD" w:rsidRDefault="008A71FE" w:rsidP="00F14714">
      <w:pPr>
        <w:pStyle w:val="A-Text11"/>
        <w:ind w:left="709" w:firstLine="709"/>
      </w:pPr>
      <w:r w:rsidRPr="003152FD">
        <w:t>Počet zamestnancov:</w:t>
      </w:r>
      <w:r w:rsidRPr="003152FD">
        <w:tab/>
      </w:r>
      <w:r w:rsidRPr="003152FD">
        <w:tab/>
      </w:r>
      <w:r w:rsidRPr="003152FD">
        <w:tab/>
      </w:r>
      <w:r w:rsidRPr="003152FD">
        <w:tab/>
      </w:r>
      <w:r w:rsidRPr="003152FD">
        <w:tab/>
      </w:r>
      <w:r w:rsidR="00F14714" w:rsidRPr="003152FD">
        <w:tab/>
      </w:r>
      <w:r w:rsidR="00F14714" w:rsidRPr="003152FD">
        <w:tab/>
      </w:r>
      <w:r w:rsidRPr="003152FD">
        <w:t>25</w:t>
      </w:r>
    </w:p>
    <w:p w14:paraId="68E5C405" w14:textId="7A97A024" w:rsidR="008A71FE" w:rsidRPr="003152FD" w:rsidRDefault="008A71FE" w:rsidP="00F14714">
      <w:pPr>
        <w:pStyle w:val="A-Text11"/>
        <w:ind w:left="709" w:firstLine="709"/>
      </w:pPr>
      <w:r w:rsidRPr="003152FD">
        <w:t>2 / 4 (1 stoj./4 zamestnancov)</w:t>
      </w:r>
      <w:r w:rsidRPr="003152FD">
        <w:tab/>
      </w:r>
      <w:r w:rsidRPr="003152FD">
        <w:tab/>
      </w:r>
      <w:r w:rsidRPr="003152FD">
        <w:tab/>
      </w:r>
      <w:r w:rsidR="00F14714" w:rsidRPr="003152FD">
        <w:tab/>
      </w:r>
      <w:r w:rsidR="00F14714" w:rsidRPr="003152FD">
        <w:tab/>
      </w:r>
      <w:r w:rsidRPr="003152FD">
        <w:t>0,5 stoj.</w:t>
      </w:r>
    </w:p>
    <w:p w14:paraId="519DEFE6" w14:textId="3DE56D6C" w:rsidR="008A71FE" w:rsidRPr="003152FD" w:rsidRDefault="008A71FE" w:rsidP="008A71FE">
      <w:pPr>
        <w:pStyle w:val="A-Text11"/>
      </w:pPr>
      <w:r w:rsidRPr="003152FD">
        <w:t>SPOLU</w:t>
      </w:r>
      <w:r w:rsidRPr="003152FD">
        <w:tab/>
        <w:t>základný počet dlhodobých státí</w:t>
      </w:r>
      <w:r w:rsidRPr="003152FD">
        <w:tab/>
      </w:r>
      <w:r w:rsidRPr="003152FD">
        <w:tab/>
      </w:r>
      <w:r w:rsidRPr="003152FD">
        <w:tab/>
      </w:r>
      <w:r w:rsidR="00F14714" w:rsidRPr="003152FD">
        <w:tab/>
      </w:r>
      <w:r w:rsidR="00F14714" w:rsidRPr="003152FD">
        <w:tab/>
      </w:r>
      <w:r w:rsidRPr="003152FD">
        <w:t>1 stojisko</w:t>
      </w:r>
    </w:p>
    <w:p w14:paraId="33091C9A" w14:textId="77777777" w:rsidR="008A71FE" w:rsidRPr="003152FD" w:rsidRDefault="008A71FE" w:rsidP="008A71FE">
      <w:pPr>
        <w:pStyle w:val="A-Text11"/>
      </w:pPr>
      <w:r w:rsidRPr="003152FD">
        <w:t>Počet parkovacích státí Po pre prenajímateľné komerčné priestory podľa Tabuľky 20 normy STN 73 6110/Z2 Projektovanie miestnych komunikácií, podľa čistej predajnej plochy</w:t>
      </w:r>
    </w:p>
    <w:p w14:paraId="7F9B15CF" w14:textId="0F403F17" w:rsidR="008A71FE" w:rsidRPr="003152FD" w:rsidRDefault="008A71FE" w:rsidP="00F14714">
      <w:pPr>
        <w:pStyle w:val="A-Text11"/>
        <w:ind w:left="709" w:firstLine="709"/>
      </w:pPr>
      <w:r w:rsidRPr="003152FD">
        <w:lastRenderedPageBreak/>
        <w:t>Veľkosť čistej predajnej plochy:</w:t>
      </w:r>
      <w:r w:rsidRPr="003152FD">
        <w:tab/>
      </w:r>
      <w:r w:rsidRPr="003152FD">
        <w:tab/>
      </w:r>
      <w:r w:rsidRPr="003152FD">
        <w:tab/>
      </w:r>
      <w:r w:rsidR="00F14714" w:rsidRPr="003152FD">
        <w:tab/>
      </w:r>
      <w:r w:rsidR="00F14714" w:rsidRPr="003152FD">
        <w:tab/>
      </w:r>
      <w:r w:rsidRPr="003152FD">
        <w:t>1045</w:t>
      </w:r>
    </w:p>
    <w:p w14:paraId="7BA0AC8B" w14:textId="3E8B0468" w:rsidR="008A71FE" w:rsidRPr="003152FD" w:rsidRDefault="008A71FE" w:rsidP="00F14714">
      <w:pPr>
        <w:pStyle w:val="A-Text11"/>
        <w:ind w:left="709" w:firstLine="709"/>
      </w:pPr>
      <w:r w:rsidRPr="003152FD">
        <w:t>68,5 : 25 (1 stoj./25 m2) = 2,74</w:t>
      </w:r>
      <w:r w:rsidRPr="003152FD">
        <w:tab/>
      </w:r>
      <w:r w:rsidRPr="003152FD">
        <w:tab/>
      </w:r>
      <w:r w:rsidRPr="003152FD">
        <w:tab/>
      </w:r>
      <w:r w:rsidR="00F14714" w:rsidRPr="003152FD">
        <w:tab/>
      </w:r>
      <w:r w:rsidR="00F14714" w:rsidRPr="003152FD">
        <w:tab/>
      </w:r>
      <w:r w:rsidRPr="003152FD">
        <w:t>3 stoj.</w:t>
      </w:r>
    </w:p>
    <w:p w14:paraId="5E08448F" w14:textId="14BE6C84" w:rsidR="008A71FE" w:rsidRPr="003152FD" w:rsidRDefault="008A71FE" w:rsidP="008A71FE">
      <w:pPr>
        <w:pStyle w:val="A-Text11"/>
      </w:pPr>
      <w:r w:rsidRPr="003152FD">
        <w:t>SPOLU</w:t>
      </w:r>
      <w:r w:rsidRPr="003152FD">
        <w:tab/>
        <w:t xml:space="preserve">základný počet krátkodobých státí </w:t>
      </w:r>
      <w:r w:rsidRPr="003152FD">
        <w:tab/>
      </w:r>
      <w:r w:rsidRPr="003152FD">
        <w:tab/>
      </w:r>
      <w:r w:rsidR="00F14714" w:rsidRPr="003152FD">
        <w:tab/>
      </w:r>
      <w:r w:rsidR="00F14714" w:rsidRPr="003152FD">
        <w:tab/>
      </w:r>
      <w:r w:rsidR="00F14714" w:rsidRPr="003152FD">
        <w:tab/>
      </w:r>
      <w:r w:rsidRPr="003152FD">
        <w:t>3 stojiská</w:t>
      </w:r>
    </w:p>
    <w:p w14:paraId="7E3B09B9" w14:textId="77777777" w:rsidR="008A71FE" w:rsidRPr="003152FD" w:rsidRDefault="008A71FE" w:rsidP="008A71FE">
      <w:pPr>
        <w:pStyle w:val="A-Text11"/>
      </w:pPr>
      <w:r w:rsidRPr="003152FD">
        <w:t>NS = 1,1 x Oo + 1,1 x Po x kmp x kd = 1,1 x 1 + 1,1 x 3 x 1,0 x 1,0 = 4,4 = 5 stojísk</w:t>
      </w:r>
    </w:p>
    <w:p w14:paraId="39F0EE00" w14:textId="6855BC99" w:rsidR="008A71FE" w:rsidRPr="003152FD" w:rsidRDefault="008A71FE" w:rsidP="008A71FE">
      <w:pPr>
        <w:pStyle w:val="A-Text11"/>
      </w:pPr>
      <w:r w:rsidRPr="003152FD">
        <w:t>Pre potreby dopravnej obsluhy prenajímateľných obchodných priestorov - obchodov, v navrhnutom súbore je potrebné vybudovať 5 nových parkovacích miest.</w:t>
      </w:r>
    </w:p>
    <w:p w14:paraId="0F62D1ED" w14:textId="5E94CA1F" w:rsidR="00C4110E" w:rsidRPr="003152FD" w:rsidRDefault="008A71FE" w:rsidP="00C4110E">
      <w:pPr>
        <w:pStyle w:val="A-Text11"/>
        <w:ind w:firstLine="0"/>
        <w:rPr>
          <w:b/>
          <w:bCs/>
        </w:rPr>
      </w:pPr>
      <w:r w:rsidRPr="003152FD">
        <w:rPr>
          <w:b/>
          <w:bCs/>
        </w:rPr>
        <w:t>Reštaurácia</w:t>
      </w:r>
    </w:p>
    <w:p w14:paraId="46FA3C43" w14:textId="5B816DEC" w:rsidR="008A71FE" w:rsidRPr="003152FD" w:rsidRDefault="008A71FE" w:rsidP="00C4110E">
      <w:pPr>
        <w:pStyle w:val="A-Text11"/>
        <w:ind w:firstLine="0"/>
      </w:pPr>
      <w:r w:rsidRPr="003152FD">
        <w:t>Počet odstavných státí Oo pre stravovacie zariadenia podľa Tabuľky 20 normy STN 73 6110/Z2 Projektovanie miestnych komunikácií, podľa počtu zamestnancov:</w:t>
      </w:r>
    </w:p>
    <w:p w14:paraId="08E69F66" w14:textId="215A5231" w:rsidR="008A71FE" w:rsidRPr="003152FD" w:rsidRDefault="008A71FE" w:rsidP="00F14714">
      <w:pPr>
        <w:pStyle w:val="A-Text11"/>
        <w:ind w:left="709" w:firstLine="709"/>
      </w:pPr>
      <w:r w:rsidRPr="003152FD">
        <w:t>Počet zamestnancov:</w:t>
      </w:r>
      <w:r w:rsidRPr="003152FD">
        <w:tab/>
      </w:r>
      <w:r w:rsidRPr="003152FD">
        <w:tab/>
      </w:r>
      <w:r w:rsidRPr="003152FD">
        <w:tab/>
      </w:r>
      <w:r w:rsidRPr="003152FD">
        <w:tab/>
      </w:r>
      <w:r w:rsidRPr="003152FD">
        <w:tab/>
      </w:r>
      <w:r w:rsidR="00F14714" w:rsidRPr="003152FD">
        <w:tab/>
      </w:r>
      <w:r w:rsidR="00F14714" w:rsidRPr="003152FD">
        <w:tab/>
      </w:r>
      <w:r w:rsidRPr="003152FD">
        <w:t>2</w:t>
      </w:r>
    </w:p>
    <w:p w14:paraId="127DC35B" w14:textId="7B38CB23" w:rsidR="008A71FE" w:rsidRPr="003152FD" w:rsidRDefault="008A71FE" w:rsidP="00F14714">
      <w:pPr>
        <w:pStyle w:val="A-Text11"/>
        <w:ind w:left="709" w:firstLine="709"/>
      </w:pPr>
      <w:r w:rsidRPr="003152FD">
        <w:t>2 : 4 (1 stoj./4 zamestnancov)</w:t>
      </w:r>
      <w:r w:rsidRPr="003152FD">
        <w:tab/>
      </w:r>
      <w:r w:rsidRPr="003152FD">
        <w:tab/>
      </w:r>
      <w:r w:rsidRPr="003152FD">
        <w:tab/>
      </w:r>
      <w:r w:rsidR="00F14714" w:rsidRPr="003152FD">
        <w:tab/>
      </w:r>
      <w:r w:rsidR="00F14714" w:rsidRPr="003152FD">
        <w:tab/>
      </w:r>
      <w:r w:rsidRPr="003152FD">
        <w:t>0,5 stoj.</w:t>
      </w:r>
    </w:p>
    <w:p w14:paraId="7DBC2F7B" w14:textId="487DD1EA" w:rsidR="008A71FE" w:rsidRPr="003152FD" w:rsidRDefault="008A71FE" w:rsidP="008A71FE">
      <w:pPr>
        <w:pStyle w:val="A-Text11"/>
      </w:pPr>
      <w:r w:rsidRPr="003152FD">
        <w:t>SPOLU</w:t>
      </w:r>
      <w:r w:rsidRPr="003152FD">
        <w:tab/>
        <w:t>základný počet dlhodobých státí</w:t>
      </w:r>
      <w:r w:rsidRPr="003152FD">
        <w:tab/>
      </w:r>
      <w:r w:rsidRPr="003152FD">
        <w:tab/>
      </w:r>
      <w:r w:rsidRPr="003152FD">
        <w:tab/>
      </w:r>
      <w:r w:rsidR="00F14714" w:rsidRPr="003152FD">
        <w:tab/>
      </w:r>
      <w:r w:rsidR="00F14714" w:rsidRPr="003152FD">
        <w:tab/>
      </w:r>
      <w:r w:rsidRPr="003152FD">
        <w:t>1 stojisko</w:t>
      </w:r>
    </w:p>
    <w:p w14:paraId="4FE5B35B" w14:textId="77777777" w:rsidR="007D4FB4" w:rsidRDefault="008A71FE" w:rsidP="007D4FB4">
      <w:pPr>
        <w:pStyle w:val="A-Text11"/>
      </w:pPr>
      <w:r w:rsidRPr="003152FD">
        <w:t xml:space="preserve">Počet parkovacích státí Po pre stravovacie zariadenia podľa Tabuľky 20 normy STN 73 6110/Z2 Projektovanie miestnych komunikácií, podľa počtu návštevníkov (max počet stoličiek 96). </w:t>
      </w:r>
    </w:p>
    <w:p w14:paraId="55903399" w14:textId="4F6AD121" w:rsidR="008A71FE" w:rsidRPr="003152FD" w:rsidRDefault="008A71FE" w:rsidP="007D4FB4">
      <w:pPr>
        <w:pStyle w:val="A-Text11"/>
      </w:pPr>
      <w:r w:rsidRPr="003152FD">
        <w:t>Počet návštevníkov</w:t>
      </w:r>
      <w:r w:rsidR="00F14714" w:rsidRPr="003152FD">
        <w:tab/>
      </w:r>
      <w:r w:rsidR="00F14714" w:rsidRPr="003152FD">
        <w:tab/>
      </w:r>
      <w:r w:rsidR="00F14714" w:rsidRPr="003152FD">
        <w:tab/>
      </w:r>
      <w:r w:rsidR="00F14714" w:rsidRPr="003152FD">
        <w:tab/>
      </w:r>
      <w:r w:rsidR="00F14714" w:rsidRPr="003152FD">
        <w:tab/>
      </w:r>
      <w:r w:rsidR="00F14714" w:rsidRPr="003152FD">
        <w:tab/>
      </w:r>
      <w:r w:rsidR="00F14714" w:rsidRPr="003152FD">
        <w:tab/>
      </w:r>
      <w:r w:rsidRPr="003152FD">
        <w:t xml:space="preserve">96 </w:t>
      </w:r>
    </w:p>
    <w:p w14:paraId="18184C8D" w14:textId="22A454BA" w:rsidR="008A71FE" w:rsidRPr="003152FD" w:rsidRDefault="008A71FE" w:rsidP="00F14714">
      <w:pPr>
        <w:pStyle w:val="A-Text11"/>
        <w:ind w:left="709" w:firstLine="709"/>
      </w:pPr>
      <w:r w:rsidRPr="003152FD">
        <w:t xml:space="preserve">96 : 8 (1 stoj./8 návštevníkov) </w:t>
      </w:r>
      <w:r w:rsidRPr="003152FD">
        <w:tab/>
      </w:r>
      <w:r w:rsidRPr="003152FD">
        <w:tab/>
      </w:r>
      <w:r w:rsidR="00F14714" w:rsidRPr="003152FD">
        <w:tab/>
      </w:r>
      <w:r w:rsidR="00F14714" w:rsidRPr="003152FD">
        <w:tab/>
      </w:r>
      <w:r w:rsidR="00F14714" w:rsidRPr="003152FD">
        <w:tab/>
      </w:r>
      <w:r w:rsidRPr="003152FD">
        <w:t>12 stojísk.</w:t>
      </w:r>
    </w:p>
    <w:p w14:paraId="773D7A23" w14:textId="43E191A8" w:rsidR="008A71FE" w:rsidRPr="003152FD" w:rsidRDefault="008A71FE" w:rsidP="00F14714">
      <w:pPr>
        <w:pStyle w:val="A-Text11"/>
      </w:pPr>
      <w:r w:rsidRPr="003152FD">
        <w:t>SPOLU</w:t>
      </w:r>
      <w:r w:rsidRPr="003152FD">
        <w:tab/>
        <w:t>základný počet dlhodobých státí</w:t>
      </w:r>
      <w:r w:rsidRPr="003152FD">
        <w:tab/>
      </w:r>
      <w:r w:rsidRPr="003152FD">
        <w:tab/>
      </w:r>
      <w:r w:rsidR="004B45A7" w:rsidRPr="003152FD">
        <w:tab/>
      </w:r>
      <w:r w:rsidR="004B45A7" w:rsidRPr="003152FD">
        <w:tab/>
      </w:r>
      <w:r w:rsidR="004B45A7" w:rsidRPr="003152FD">
        <w:tab/>
      </w:r>
      <w:r w:rsidRPr="003152FD">
        <w:t>12 stojísk</w:t>
      </w:r>
    </w:p>
    <w:p w14:paraId="0C838468" w14:textId="77777777" w:rsidR="008A71FE" w:rsidRPr="003152FD" w:rsidRDefault="008A71FE" w:rsidP="008A71FE">
      <w:pPr>
        <w:pStyle w:val="A-Text11"/>
      </w:pPr>
      <w:r w:rsidRPr="003152FD">
        <w:t>NK = 1,1 x Oo + 1,1 x Po x kmp x kd = 1,1 x 1 + 12 x 1,0 x 1,0 = 14,3 = 15 stojísk</w:t>
      </w:r>
    </w:p>
    <w:p w14:paraId="2C7B4EA4" w14:textId="77777777" w:rsidR="008A71FE" w:rsidRPr="003152FD" w:rsidRDefault="008A71FE" w:rsidP="008A71FE">
      <w:pPr>
        <w:pStyle w:val="A-Text11"/>
      </w:pPr>
      <w:r w:rsidRPr="003152FD">
        <w:t xml:space="preserve">Pre potreby dopravnej obsluhy  kaviarní v navrhnutom súbore je potrebné vybudovať 15 nových parkovacích miest. </w:t>
      </w:r>
    </w:p>
    <w:p w14:paraId="2CDF5654" w14:textId="76A4BA5E" w:rsidR="008A71FE" w:rsidRPr="003152FD" w:rsidRDefault="008A71FE" w:rsidP="00C4110E">
      <w:pPr>
        <w:pStyle w:val="A-Text11"/>
        <w:ind w:firstLine="0"/>
        <w:rPr>
          <w:b/>
          <w:bCs/>
        </w:rPr>
      </w:pPr>
      <w:r w:rsidRPr="003152FD">
        <w:rPr>
          <w:b/>
          <w:bCs/>
        </w:rPr>
        <w:t xml:space="preserve">Sumarizácia normových nárokov parkovacích miest </w:t>
      </w:r>
    </w:p>
    <w:p w14:paraId="0EFFACEF" w14:textId="77777777" w:rsidR="008A71FE" w:rsidRPr="003152FD" w:rsidRDefault="008A71FE" w:rsidP="008A71FE">
      <w:pPr>
        <w:pStyle w:val="A-Text11"/>
      </w:pPr>
      <w:r w:rsidRPr="003152FD">
        <w:t>Celkovo je potrebné pre navrhovaný súbor Terchovská vytvoriť N = NB + NS + NK   parkovacích stojísk</w:t>
      </w:r>
    </w:p>
    <w:p w14:paraId="019A0D31" w14:textId="77777777" w:rsidR="008A71FE" w:rsidRPr="003152FD" w:rsidRDefault="008A71FE" w:rsidP="008A71FE">
      <w:pPr>
        <w:pStyle w:val="A-Text11"/>
      </w:pPr>
      <w:r w:rsidRPr="003152FD">
        <w:t xml:space="preserve">N = NB + NS + NK = 105 + 5 + 15 = 125 stojísk </w:t>
      </w:r>
    </w:p>
    <w:p w14:paraId="0DF8C567" w14:textId="77777777" w:rsidR="008A71FE" w:rsidRPr="003152FD" w:rsidRDefault="008A71FE" w:rsidP="008A71FE">
      <w:pPr>
        <w:pStyle w:val="A-Text11"/>
      </w:pPr>
      <w:r w:rsidRPr="003152FD">
        <w:t>Podľa Vyhlášky 532/2002 je potrebné vytvoriť 4% stojísk pre imobilných, čo predstavuje 125 * 0,04 = 5 stojísk.</w:t>
      </w:r>
    </w:p>
    <w:p w14:paraId="1BB9C787" w14:textId="77777777" w:rsidR="008A71FE" w:rsidRPr="003152FD" w:rsidRDefault="008A71FE" w:rsidP="008A71FE">
      <w:pPr>
        <w:pStyle w:val="A-Text11"/>
      </w:pPr>
      <w:r w:rsidRPr="003152FD">
        <w:t>Pre riešené územie je potrebné vytvoriť 125 nových PM z toho 5 pre imobilných. Pričom v riešenom území je vytvorených 137 z toho 8 pre imobilných.  V porovnaní 137 PM &gt; ako potrených 125 PM.</w:t>
      </w:r>
    </w:p>
    <w:p w14:paraId="37CAF1D6" w14:textId="491DB96A" w:rsidR="003F0F5D" w:rsidRPr="003152FD" w:rsidRDefault="008A71FE" w:rsidP="008A71FE">
      <w:pPr>
        <w:pStyle w:val="A-Text11"/>
      </w:pPr>
      <w:r w:rsidRPr="003152FD">
        <w:t>Návrh vyhovuje s dostatočnou rezervou.</w:t>
      </w:r>
    </w:p>
    <w:p w14:paraId="08486CD7" w14:textId="172AE95A" w:rsidR="0008460B" w:rsidRPr="003152FD" w:rsidRDefault="0008460B" w:rsidP="0008460B">
      <w:pPr>
        <w:pStyle w:val="A-Text11"/>
        <w:ind w:firstLine="0"/>
        <w:rPr>
          <w:b/>
          <w:bCs/>
        </w:rPr>
      </w:pPr>
      <w:r w:rsidRPr="003152FD">
        <w:rPr>
          <w:b/>
          <w:bCs/>
        </w:rPr>
        <w:t>Návrh ciest, cyklotrás, parkovísk a chodníkov</w:t>
      </w:r>
    </w:p>
    <w:p w14:paraId="5D841D9D" w14:textId="77777777" w:rsidR="0008460B" w:rsidRPr="003152FD" w:rsidRDefault="0008460B" w:rsidP="0008460B">
      <w:pPr>
        <w:pStyle w:val="A-Text11"/>
      </w:pPr>
      <w:r w:rsidRPr="003152FD">
        <w:t>Organizácia dopravy vychádza z existujúcich možností napojenia obytného domu. Systém navrhnutých ciest umožňuje pripojenie garáží, odvoz odpadu a hasenie požiarov.</w:t>
      </w:r>
    </w:p>
    <w:p w14:paraId="30710201" w14:textId="19A7417A" w:rsidR="0008460B" w:rsidRPr="003152FD" w:rsidRDefault="0008460B" w:rsidP="0008460B">
      <w:pPr>
        <w:pStyle w:val="A-Text11"/>
      </w:pPr>
      <w:r w:rsidRPr="003152FD">
        <w:t>Po obvode bytového domu sa navrhuje úprava uličného priestoru v rámci projektu bytového domu i dotknutého územie. Pozdĺž ulice Galvani</w:t>
      </w:r>
      <w:r w:rsidR="00E35200">
        <w:t>ho</w:t>
      </w:r>
      <w:r w:rsidRPr="003152FD">
        <w:t xml:space="preserve"> bude vybudovaná 2,5 m široká cyklotrasa, ktorá sa napojí na budúcu sieť trás. Autobusová zastávka nadväzuje na vstupný </w:t>
      </w:r>
      <w:r w:rsidRPr="003152FD">
        <w:lastRenderedPageBreak/>
        <w:t xml:space="preserve">priestor do územia. Terchovská ulica sa stane obytnou ulicou s upokojeným dopravným režimom s výhybňou pre autá a s prednosťou chodcov. Banšelova ulica bude upravená na štandardný mestský dopravný profil s chodníkmi a parkovacími pruhmi po stranách. Priľahlé parkovisko slúžiace priľahlému sídlisku za Banšelovou ulicou bude reorganizované. </w:t>
      </w:r>
    </w:p>
    <w:p w14:paraId="7A669E67" w14:textId="1D497DFB" w:rsidR="0008460B" w:rsidRPr="003152FD" w:rsidRDefault="0008460B" w:rsidP="0008460B">
      <w:pPr>
        <w:pStyle w:val="A-Text11"/>
      </w:pPr>
      <w:r w:rsidRPr="003152FD">
        <w:t>Podzemné garáže bytového domu budú pripojené zjazdom z Banšelovej ulice, dostatočne vzdialeným od blízkej svetelnej križovatky Galvaniho - Banšelova. Vjazd do podzemnej garáže sa nenachádza na B</w:t>
      </w:r>
      <w:r w:rsidR="00546F7B" w:rsidRPr="003152FD">
        <w:t>a</w:t>
      </w:r>
      <w:r w:rsidRPr="003152FD">
        <w:t>nšelovej ulici, čím sa znižuje zaťaženie okolitých ulíc. Doprava v kľude pre rezidentov je navrhnutá v podzemných garážach, pre návštevníkov na povrchu. Odstavné stojiska pro bicykle na povrchu sa navrhujú pred vchodmi do jednotlivých bytových domov, pod pozdĺžnymi objektmi A1, A2 sú stojiská krytá. Ďalšia infraštruktúra pre odstavenie bicyklov sa navrhuje v 1pp bytového domu.</w:t>
      </w:r>
    </w:p>
    <w:p w14:paraId="2D290FE1" w14:textId="69C182F7" w:rsidR="0008460B" w:rsidRPr="003152FD" w:rsidRDefault="0008460B" w:rsidP="0008460B">
      <w:pPr>
        <w:pStyle w:val="A-Text11"/>
      </w:pPr>
      <w:r w:rsidRPr="003152FD">
        <w:t>Najväčší dôraz sa kladie na priechodnosť pre chodcov. Celým obytným domom preto prechádza sieť poloverejných ciest.</w:t>
      </w:r>
    </w:p>
    <w:p w14:paraId="7B5D2C68" w14:textId="590447A5" w:rsidR="00DC0048" w:rsidRPr="003152FD" w:rsidRDefault="00DC0048" w:rsidP="00DC0048">
      <w:pPr>
        <w:pStyle w:val="A-Text11"/>
        <w:ind w:firstLine="0"/>
        <w:rPr>
          <w:b/>
          <w:bCs/>
        </w:rPr>
      </w:pPr>
      <w:r w:rsidRPr="003152FD">
        <w:rPr>
          <w:b/>
          <w:bCs/>
        </w:rPr>
        <w:t>Celkové dopravné riešenie</w:t>
      </w:r>
    </w:p>
    <w:p w14:paraId="407D914F" w14:textId="7486EFA3" w:rsidR="00DC0048" w:rsidRPr="003152FD" w:rsidRDefault="00DC0048" w:rsidP="00DC0048">
      <w:pPr>
        <w:pStyle w:val="A-Text11"/>
      </w:pPr>
      <w:r w:rsidRPr="003152FD">
        <w:t>Bytový dom je obsluhovaný z komunikácií, ktorých riešenie je súčasťou projektu dotknutého územia.  Projekt bytového domu však zahŕňa systém chodníkov okolo bytového domu a systém chodníkov a spevnených ciest vo vnútrobloku.</w:t>
      </w:r>
    </w:p>
    <w:p w14:paraId="2C3C6389" w14:textId="42BEDCDD" w:rsidR="00DC0048" w:rsidRPr="003152FD" w:rsidRDefault="00DC0048" w:rsidP="00DC0048">
      <w:pPr>
        <w:pStyle w:val="A-Text11"/>
        <w:ind w:firstLine="0"/>
        <w:rPr>
          <w:b/>
          <w:bCs/>
        </w:rPr>
      </w:pPr>
      <w:r w:rsidRPr="003152FD">
        <w:rPr>
          <w:b/>
          <w:bCs/>
        </w:rPr>
        <w:t>Dispozícia komunikácií</w:t>
      </w:r>
      <w:r w:rsidR="00E50B7D" w:rsidRPr="003152FD">
        <w:rPr>
          <w:b/>
          <w:bCs/>
        </w:rPr>
        <w:t>, cy</w:t>
      </w:r>
      <w:r w:rsidR="00C41884" w:rsidRPr="003152FD">
        <w:rPr>
          <w:b/>
          <w:bCs/>
        </w:rPr>
        <w:t>klochodníka a chodníkov</w:t>
      </w:r>
    </w:p>
    <w:p w14:paraId="0C56601D" w14:textId="77777777" w:rsidR="0031211C" w:rsidRPr="003152FD" w:rsidRDefault="0031211C" w:rsidP="0031211C">
      <w:pPr>
        <w:pStyle w:val="A-Text11"/>
      </w:pPr>
      <w:r w:rsidRPr="003152FD">
        <w:t>V dotknutom území dôjde k čiastočnej alebo úplnej úprave existujúcich komunikácií, vytvoreniu nových chodníkov, novej cyklotrasy, nového parkoviska a spevnených plôch v okolí hlavného objektu a súčasne vrátane spätnej úprave chodníkov a dotknutých plôch, či komunikácií, ktoré sa poškodili alebo boli dočasne odstránené počas výstavby.</w:t>
      </w:r>
    </w:p>
    <w:p w14:paraId="68B1E6D7" w14:textId="77777777" w:rsidR="0031211C" w:rsidRPr="003152FD" w:rsidRDefault="0031211C" w:rsidP="0031211C">
      <w:pPr>
        <w:pStyle w:val="A-Text11"/>
      </w:pPr>
      <w:r w:rsidRPr="003152FD">
        <w:t>Komunikácia Banšelova bude aj po úprave riešená ako obojsmerná dvojpruhová komunikácia.  Šírka jazdného pruhu bude 3m, pričom celková šírka komunikácie bude 6m. Po okrajoch komunikácie budú riešené pozdĺžne parkovacie miesta šírky 2,2m a za nimi chodník šírky 2,0m. Medzi parkovacími miestami budú umiestnené stromy. Na pravej strane komunikácie bude riešený vjazd do podzemnej garáže.</w:t>
      </w:r>
    </w:p>
    <w:p w14:paraId="0BF1A9B0" w14:textId="77777777" w:rsidR="0031211C" w:rsidRPr="003152FD" w:rsidRDefault="0031211C" w:rsidP="0031211C">
      <w:pPr>
        <w:pStyle w:val="A-Text11"/>
      </w:pPr>
      <w:r w:rsidRPr="003152FD">
        <w:t xml:space="preserve">Komunikácia Terchovská bude riešená v režime obytnej zóny ale bude prerozdelená na dva úseky. V prvom úseku bude riešená ako dvojpruhová obojsmerná komunikácia so šírkou pruhu 3,0m až po križovanie s ulicami Krompašská a Klatovská. V druhom úseku bude riešená ako jednopruhová obojsmerná komunikácia s pozdĺžnymi parkovacími miestami na pravej strane komunikácie. Táto časť ulice Terchovskej je zaslepená, pričom otoč bude riešený na konci plánovanej zástavby vnútrobloku. Pre osobné autá bude možnosť otočenia na konci ulice v rámci navrhovaných parkovacích miest. Vedľa </w:t>
      </w:r>
      <w:r w:rsidRPr="004112EA">
        <w:t>otoča</w:t>
      </w:r>
      <w:r w:rsidRPr="003152FD">
        <w:t xml:space="preserve"> bude vybudovaná spevnená oddychová zóna so zeleňou a lavičkami. Táto bude oddelená od komunikácie Terchovská vyvýšeným obrubníkom. V prípade miest kde bude plocha a komunikácia v jednej úrovni budú osadené ochranné stĺpiky.</w:t>
      </w:r>
    </w:p>
    <w:p w14:paraId="510787C6" w14:textId="77777777" w:rsidR="0031211C" w:rsidRPr="003152FD" w:rsidRDefault="0031211C" w:rsidP="0031211C">
      <w:pPr>
        <w:pStyle w:val="A-Text11"/>
      </w:pPr>
      <w:r w:rsidRPr="003152FD">
        <w:t xml:space="preserve">Na ulici Galvaniho dôjde k úprave existujúceho chodníka, pričom sa vytvorí cyklochodník šírky 2,5m a zároveň nový chodník v šírke 2m, pričom sa doplní chodník ku všetkým vstupom do objektu a napojí sa na existujúci stav chodníkov. Obe komunikácie budú napojené na existujúce chodníky či cyklokomunikácie. V súbehu s komunikáciami budú mať chodníky šírku minimálne 2m. Chodníky sú výškovo odsadené od komunikácií s presahom 12 cm. </w:t>
      </w:r>
      <w:r w:rsidRPr="003152FD">
        <w:lastRenderedPageBreak/>
        <w:t>Cyklochodník bude riešený cez križovatku Galvaniho-Banšelova-Krajná formou cyklopriechodov, ktoré budú zatiaľ napojené na existujúci, resp. upravený chodník.</w:t>
      </w:r>
    </w:p>
    <w:p w14:paraId="28F091AB" w14:textId="77777777" w:rsidR="0031211C" w:rsidRPr="003152FD" w:rsidRDefault="0031211C" w:rsidP="0031211C">
      <w:pPr>
        <w:pStyle w:val="A-Text11"/>
      </w:pPr>
      <w:r w:rsidRPr="003152FD">
        <w:t xml:space="preserve">Šírka parkovacích miest je navrhovaná 2,5 x 5,3m v prípade kolmých a 2,2 x 6,5m v prípade pozdĺžnych komunikácií. Všetky okolité plochy či zeleň budú ohraničené od parkovacích miest zvýšeným kamenným obrubníkom výšky 10 cm. </w:t>
      </w:r>
    </w:p>
    <w:p w14:paraId="301125B0" w14:textId="77777777" w:rsidR="0031211C" w:rsidRPr="003152FD" w:rsidRDefault="0031211C" w:rsidP="0031211C">
      <w:pPr>
        <w:pStyle w:val="A-Text11"/>
      </w:pPr>
      <w:r w:rsidRPr="003152FD">
        <w:t>Základný priečny sklon chodníkov a spevnených plôch je navrhnutý jednostranný 2%, ale v mieste napojenia na existujúce plochy sa upraví podľa potreby. Pri vchodoch a priechodoch pre chodcov sa vytvorí bezbariérová úprava. Základný priečny sklon komunikácií bude 2%, rovnako aj parkovísk. Priečny sklon zemnej pláne je 3% smerom do pozdĺžnej drenáže. Pozdĺžna drenáž je zaústená do odtokových častí odvodňovacích zariadení.</w:t>
      </w:r>
    </w:p>
    <w:p w14:paraId="1CDF9F3D" w14:textId="77777777" w:rsidR="0031211C" w:rsidRPr="003152FD" w:rsidRDefault="0031211C" w:rsidP="0031211C">
      <w:pPr>
        <w:pStyle w:val="A-Text11"/>
      </w:pPr>
      <w:r w:rsidRPr="003152FD">
        <w:t>Pre pohyb chodcov v riešenom území sú navrhnuté chodníky a spevnené plochy šírky od 1,5 až cca 6m s asfaltovou úpravou alebo povrchovou úpravou zo zámkovej dlažby.</w:t>
      </w:r>
    </w:p>
    <w:p w14:paraId="49ECB9E1" w14:textId="77777777" w:rsidR="0031211C" w:rsidRPr="003152FD" w:rsidRDefault="0031211C" w:rsidP="0031211C">
      <w:pPr>
        <w:pStyle w:val="A-Text11"/>
      </w:pPr>
      <w:r w:rsidRPr="003152FD">
        <w:t>Súčasťou riešeného územia bude aj umiestnenie novej zastávky – zastávkovej hrany v dĺžke podľa možností a šírke 3m. Na novej ploche zastávke bude umiestený nový prístrešok a označník.</w:t>
      </w:r>
    </w:p>
    <w:p w14:paraId="7EAC27F5" w14:textId="2B39873C" w:rsidR="0031211C" w:rsidRPr="003152FD" w:rsidRDefault="0031211C" w:rsidP="00681FDA">
      <w:pPr>
        <w:pStyle w:val="A-Text11"/>
      </w:pPr>
      <w:r w:rsidRPr="003152FD">
        <w:t xml:space="preserve">Všetky spevnené plochy a chodníky budú osvetlené vonkajším osvetlením na stožiaroch. </w:t>
      </w:r>
    </w:p>
    <w:p w14:paraId="0D329135" w14:textId="301E39DC" w:rsidR="00DC0048" w:rsidRPr="003152FD" w:rsidRDefault="00DC0048" w:rsidP="00DC0048">
      <w:pPr>
        <w:pStyle w:val="A-Text11"/>
        <w:ind w:firstLine="0"/>
        <w:rPr>
          <w:b/>
          <w:bCs/>
        </w:rPr>
      </w:pPr>
      <w:r w:rsidRPr="003152FD">
        <w:rPr>
          <w:b/>
          <w:bCs/>
        </w:rPr>
        <w:t>Konštrukcia</w:t>
      </w:r>
      <w:r w:rsidR="00F7527E" w:rsidRPr="003152FD">
        <w:rPr>
          <w:b/>
          <w:bCs/>
        </w:rPr>
        <w:t xml:space="preserve"> komunikácií,</w:t>
      </w:r>
      <w:r w:rsidRPr="003152FD">
        <w:rPr>
          <w:b/>
          <w:bCs/>
        </w:rPr>
        <w:t xml:space="preserve"> chodníkov a spevnených plôch</w:t>
      </w:r>
    </w:p>
    <w:p w14:paraId="7AFBD7DC" w14:textId="77777777" w:rsidR="00B97AFA" w:rsidRPr="003152FD" w:rsidRDefault="00B97AFA" w:rsidP="00B97AFA">
      <w:pPr>
        <w:pStyle w:val="A-Text11"/>
      </w:pPr>
      <w:r w:rsidRPr="003152FD">
        <w:t xml:space="preserve">Pre návrh konštrukcie vozovky sa uvažuje s deformačným modulom min. Edef2 = 60 MPa, pre ostatné spevnené plochy a chodníky či cyklochodník je postačujúci modul min. Edef2 = 30 MPa.    </w:t>
      </w:r>
    </w:p>
    <w:p w14:paraId="2A2086D3" w14:textId="5F9FDCC6" w:rsidR="001F5CCD" w:rsidRPr="003152FD" w:rsidRDefault="001F5CCD" w:rsidP="001F5CCD">
      <w:pPr>
        <w:pStyle w:val="A-Text11"/>
      </w:pPr>
      <w:r w:rsidRPr="003152FD">
        <w:t xml:space="preserve">Navrhované skladby konštrukcií pre jednotlivé spevnené plochy, komunikácie, chodníky či parkoviská </w:t>
      </w:r>
      <w:r w:rsidR="00BA2E88" w:rsidRPr="003152FD">
        <w:t>sú</w:t>
      </w:r>
      <w:r w:rsidRPr="003152FD">
        <w:t xml:space="preserve"> nasledovn</w:t>
      </w:r>
      <w:r w:rsidR="00BA2E88" w:rsidRPr="003152FD">
        <w:t>é</w:t>
      </w:r>
      <w:r w:rsidRPr="003152FD">
        <w:t>:</w:t>
      </w:r>
    </w:p>
    <w:p w14:paraId="73E1ACE0" w14:textId="77777777" w:rsidR="00DC0048" w:rsidRPr="003152FD" w:rsidRDefault="00DC0048" w:rsidP="003152FD">
      <w:pPr>
        <w:pStyle w:val="A-Text11"/>
        <w:spacing w:before="0" w:line="240" w:lineRule="auto"/>
        <w:ind w:firstLine="425"/>
      </w:pPr>
      <w:r w:rsidRPr="003152FD">
        <w:t>Konštrukcia chodníka v súbehu s komunikáciami je nasledovná:</w:t>
      </w:r>
    </w:p>
    <w:p w14:paraId="33B20A48" w14:textId="77777777" w:rsidR="00DC0048" w:rsidRPr="003152FD" w:rsidRDefault="00DC0048" w:rsidP="003152FD">
      <w:pPr>
        <w:pStyle w:val="A-Text11"/>
        <w:spacing w:before="0" w:line="240" w:lineRule="auto"/>
        <w:ind w:firstLine="425"/>
      </w:pPr>
      <w:r w:rsidRPr="003152FD">
        <w:t>Ušľachtilá bet. dlažba (20x20)</w:t>
      </w:r>
      <w:r w:rsidRPr="003152FD">
        <w:tab/>
        <w:t>DL</w:t>
      </w:r>
      <w:r w:rsidRPr="003152FD">
        <w:tab/>
      </w:r>
      <w:r w:rsidRPr="003152FD">
        <w:tab/>
      </w:r>
      <w:r w:rsidRPr="003152FD">
        <w:tab/>
        <w:t>60 mm</w:t>
      </w:r>
      <w:r w:rsidRPr="003152FD">
        <w:tab/>
      </w:r>
      <w:r w:rsidRPr="003152FD">
        <w:tab/>
        <w:t>STN 736131-1</w:t>
      </w:r>
    </w:p>
    <w:p w14:paraId="50413E34" w14:textId="77777777" w:rsidR="00DC0048" w:rsidRPr="003152FD" w:rsidRDefault="00DC0048" w:rsidP="003152FD">
      <w:pPr>
        <w:pStyle w:val="A-Text11"/>
        <w:spacing w:before="0" w:line="240" w:lineRule="auto"/>
        <w:ind w:firstLine="425"/>
      </w:pPr>
      <w:r w:rsidRPr="003152FD">
        <w:t>Drvené kamenivo fr. 4-8</w:t>
      </w:r>
      <w:r w:rsidRPr="003152FD">
        <w:tab/>
      </w:r>
      <w:r w:rsidRPr="003152FD">
        <w:tab/>
        <w:t>DK</w:t>
      </w:r>
      <w:r w:rsidRPr="003152FD">
        <w:tab/>
      </w:r>
      <w:r w:rsidRPr="003152FD">
        <w:tab/>
      </w:r>
      <w:r w:rsidRPr="003152FD">
        <w:tab/>
        <w:t>40 mm</w:t>
      </w:r>
      <w:r w:rsidRPr="003152FD">
        <w:tab/>
      </w:r>
      <w:r w:rsidRPr="003152FD">
        <w:tab/>
        <w:t>STN 736126</w:t>
      </w:r>
    </w:p>
    <w:p w14:paraId="71FC26C1" w14:textId="1E14CCC8" w:rsidR="00DC0048" w:rsidRPr="003152FD" w:rsidRDefault="00DC0048" w:rsidP="003152FD">
      <w:pPr>
        <w:pStyle w:val="A-Text11"/>
        <w:spacing w:before="0" w:line="240" w:lineRule="auto"/>
        <w:ind w:firstLine="425"/>
      </w:pPr>
      <w:r w:rsidRPr="003152FD">
        <w:t>Štrkodrvina fr.0-63</w:t>
      </w:r>
      <w:r w:rsidRPr="003152FD">
        <w:tab/>
      </w:r>
      <w:r w:rsidRPr="003152FD">
        <w:tab/>
        <w:t>ŠD</w:t>
      </w:r>
      <w:r w:rsidRPr="003152FD">
        <w:tab/>
      </w:r>
      <w:r w:rsidRPr="003152FD">
        <w:tab/>
      </w:r>
      <w:r w:rsidRPr="003152FD">
        <w:tab/>
        <w:t>200 mm</w:t>
      </w:r>
      <w:r w:rsidRPr="003152FD">
        <w:tab/>
        <w:t>STN 736126</w:t>
      </w:r>
    </w:p>
    <w:p w14:paraId="7167C075" w14:textId="491370E7" w:rsidR="00DC0048" w:rsidRPr="003152FD" w:rsidRDefault="00DC0048" w:rsidP="00DC0048">
      <w:pPr>
        <w:pStyle w:val="A-Text11"/>
      </w:pPr>
      <w:r w:rsidRPr="003152FD">
        <w:t>Spolu:</w:t>
      </w:r>
      <w:r w:rsidRPr="003152FD">
        <w:tab/>
      </w:r>
      <w:r w:rsidRPr="003152FD">
        <w:tab/>
      </w:r>
      <w:r w:rsidRPr="003152FD">
        <w:tab/>
      </w:r>
      <w:r w:rsidRPr="003152FD">
        <w:tab/>
      </w:r>
      <w:r w:rsidRPr="003152FD">
        <w:tab/>
      </w:r>
      <w:r w:rsidRPr="003152FD">
        <w:tab/>
      </w:r>
      <w:r w:rsidRPr="003152FD">
        <w:tab/>
        <w:t>300 mm</w:t>
      </w:r>
    </w:p>
    <w:p w14:paraId="344F3C92" w14:textId="77777777" w:rsidR="00DC0048" w:rsidRPr="003152FD" w:rsidRDefault="00DC0048" w:rsidP="00DC0048">
      <w:pPr>
        <w:pStyle w:val="A-Text11"/>
      </w:pPr>
      <w:r w:rsidRPr="003152FD">
        <w:t>Konštrukcia chodníka pre spevnené plochy v rámci vnútrobloku je nasledovná:</w:t>
      </w:r>
    </w:p>
    <w:p w14:paraId="5ED36E73" w14:textId="77777777" w:rsidR="00DC0048" w:rsidRPr="003152FD" w:rsidRDefault="00DC0048" w:rsidP="003152FD">
      <w:pPr>
        <w:pStyle w:val="A-Text11"/>
        <w:spacing w:before="0" w:line="240" w:lineRule="auto"/>
        <w:ind w:firstLine="425"/>
      </w:pPr>
      <w:r w:rsidRPr="003152FD">
        <w:t>Liaty Betón s povrchovou úpravou</w:t>
      </w:r>
      <w:r w:rsidRPr="003152FD">
        <w:tab/>
        <w:t>C20/25</w:t>
      </w:r>
      <w:r w:rsidRPr="003152FD">
        <w:tab/>
      </w:r>
      <w:r w:rsidRPr="003152FD">
        <w:tab/>
        <w:t>120 mm</w:t>
      </w:r>
      <w:r w:rsidRPr="003152FD">
        <w:tab/>
        <w:t>STN 736124</w:t>
      </w:r>
    </w:p>
    <w:p w14:paraId="70412191" w14:textId="77777777" w:rsidR="00DC0048" w:rsidRPr="003152FD" w:rsidRDefault="00DC0048" w:rsidP="003152FD">
      <w:pPr>
        <w:pStyle w:val="A-Text11"/>
        <w:spacing w:before="0" w:line="240" w:lineRule="auto"/>
        <w:ind w:firstLine="425"/>
      </w:pPr>
      <w:r w:rsidRPr="003152FD">
        <w:t>Štrkodrvina fr.0-63</w:t>
      </w:r>
      <w:r w:rsidRPr="003152FD">
        <w:tab/>
      </w:r>
      <w:r w:rsidRPr="003152FD">
        <w:tab/>
      </w:r>
      <w:r w:rsidRPr="003152FD">
        <w:tab/>
        <w:t>ŠD</w:t>
      </w:r>
      <w:r w:rsidRPr="003152FD">
        <w:tab/>
      </w:r>
      <w:r w:rsidRPr="003152FD">
        <w:tab/>
      </w:r>
      <w:r w:rsidRPr="003152FD">
        <w:tab/>
        <w:t>180 mm</w:t>
      </w:r>
      <w:r w:rsidRPr="003152FD">
        <w:tab/>
        <w:t>STN 736126</w:t>
      </w:r>
    </w:p>
    <w:p w14:paraId="0DB1B82E" w14:textId="52CE3196" w:rsidR="00DC0048" w:rsidRPr="003152FD" w:rsidRDefault="00DC0048" w:rsidP="00DC0048">
      <w:pPr>
        <w:pStyle w:val="A-Text11"/>
      </w:pPr>
      <w:r w:rsidRPr="003152FD">
        <w:t>Spolu:</w:t>
      </w:r>
      <w:r w:rsidRPr="003152FD">
        <w:tab/>
      </w:r>
      <w:r w:rsidRPr="003152FD">
        <w:tab/>
      </w:r>
      <w:r w:rsidRPr="003152FD">
        <w:tab/>
      </w:r>
      <w:r w:rsidRPr="003152FD">
        <w:tab/>
      </w:r>
      <w:r w:rsidRPr="003152FD">
        <w:tab/>
      </w:r>
      <w:r w:rsidRPr="003152FD">
        <w:tab/>
      </w:r>
      <w:r w:rsidRPr="003152FD">
        <w:tab/>
      </w:r>
      <w:r w:rsidRPr="003152FD">
        <w:tab/>
        <w:t>300 mm</w:t>
      </w:r>
    </w:p>
    <w:p w14:paraId="75F383F7" w14:textId="77777777" w:rsidR="00DC0048" w:rsidRPr="003152FD" w:rsidRDefault="00DC0048" w:rsidP="00DC0048">
      <w:pPr>
        <w:pStyle w:val="A-Text11"/>
      </w:pPr>
      <w:r w:rsidRPr="003152FD">
        <w:t>Konštrukcia parkovísk je nasledovná:</w:t>
      </w:r>
    </w:p>
    <w:p w14:paraId="1A1A90F8" w14:textId="6E85152A" w:rsidR="00DC0048" w:rsidRPr="003152FD" w:rsidRDefault="00DC0048" w:rsidP="007A76C0">
      <w:pPr>
        <w:pStyle w:val="A-Text11"/>
        <w:tabs>
          <w:tab w:val="left" w:pos="6379"/>
          <w:tab w:val="right" w:pos="9072"/>
        </w:tabs>
      </w:pPr>
      <w:r w:rsidRPr="003152FD">
        <w:t>Zatrávňovacie tvárnice (vyplnená substrátom)</w:t>
      </w:r>
      <w:r w:rsidR="007A76C0" w:rsidRPr="003152FD">
        <w:tab/>
      </w:r>
      <w:r w:rsidRPr="003152FD">
        <w:t>80mm</w:t>
      </w:r>
      <w:r w:rsidRPr="003152FD">
        <w:tab/>
        <w:t>STN</w:t>
      </w:r>
      <w:r w:rsidR="007A76C0" w:rsidRPr="003152FD">
        <w:t xml:space="preserve"> </w:t>
      </w:r>
      <w:r w:rsidRPr="003152FD">
        <w:t>736131-1</w:t>
      </w:r>
    </w:p>
    <w:p w14:paraId="083845DA" w14:textId="2CE66976" w:rsidR="00DC0048" w:rsidRPr="003152FD" w:rsidRDefault="00DC0048" w:rsidP="003152FD">
      <w:pPr>
        <w:pStyle w:val="A-Text11"/>
        <w:spacing w:before="0" w:line="240" w:lineRule="auto"/>
        <w:ind w:firstLine="425"/>
      </w:pPr>
      <w:r w:rsidRPr="003152FD">
        <w:t>Drvené kamenivo fr. 4-8 s prímesou zeminy DK+Z</w:t>
      </w:r>
      <w:r w:rsidRPr="003152FD">
        <w:tab/>
      </w:r>
      <w:r w:rsidR="007A76C0" w:rsidRPr="003152FD">
        <w:tab/>
      </w:r>
      <w:r w:rsidRPr="003152FD">
        <w:t>40 mm</w:t>
      </w:r>
      <w:r w:rsidRPr="003152FD">
        <w:tab/>
      </w:r>
      <w:r w:rsidRPr="003152FD">
        <w:tab/>
        <w:t>STN 736126</w:t>
      </w:r>
    </w:p>
    <w:p w14:paraId="71DC61CE" w14:textId="7E4EB799" w:rsidR="00DC0048" w:rsidRPr="003152FD" w:rsidRDefault="00DC0048" w:rsidP="003152FD">
      <w:pPr>
        <w:pStyle w:val="A-Text11"/>
        <w:spacing w:before="0" w:line="240" w:lineRule="auto"/>
        <w:ind w:firstLine="425"/>
      </w:pPr>
      <w:r w:rsidRPr="003152FD">
        <w:t>Mechanicky spevnené kamenivo</w:t>
      </w:r>
      <w:r w:rsidR="007A76C0" w:rsidRPr="003152FD">
        <w:t xml:space="preserve"> </w:t>
      </w:r>
      <w:r w:rsidR="007A76C0" w:rsidRPr="003152FD">
        <w:tab/>
      </w:r>
      <w:r w:rsidRPr="003152FD">
        <w:t>MSK 31,5 - GB</w:t>
      </w:r>
      <w:r w:rsidRPr="003152FD">
        <w:tab/>
        <w:t>150 mm</w:t>
      </w:r>
      <w:r w:rsidRPr="003152FD">
        <w:tab/>
        <w:t>STN 736126</w:t>
      </w:r>
    </w:p>
    <w:p w14:paraId="2EA12315" w14:textId="3132A0C7" w:rsidR="00DC0048" w:rsidRPr="003152FD" w:rsidRDefault="00DC0048" w:rsidP="003152FD">
      <w:pPr>
        <w:pStyle w:val="A-Text11"/>
        <w:spacing w:before="0" w:line="240" w:lineRule="auto"/>
        <w:ind w:firstLine="425"/>
      </w:pPr>
      <w:r w:rsidRPr="003152FD">
        <w:t>Štrkodrvina fr.8-63</w:t>
      </w:r>
      <w:r w:rsidR="007A76C0" w:rsidRPr="003152FD">
        <w:t xml:space="preserve"> </w:t>
      </w:r>
      <w:r w:rsidR="007A76C0" w:rsidRPr="003152FD">
        <w:tab/>
      </w:r>
      <w:r w:rsidR="007A76C0" w:rsidRPr="003152FD">
        <w:tab/>
      </w:r>
      <w:r w:rsidR="007A76C0" w:rsidRPr="003152FD">
        <w:tab/>
      </w:r>
      <w:r w:rsidRPr="003152FD">
        <w:t>ŠD</w:t>
      </w:r>
      <w:r w:rsidRPr="003152FD">
        <w:tab/>
      </w:r>
      <w:r w:rsidRPr="003152FD">
        <w:tab/>
      </w:r>
      <w:r w:rsidRPr="003152FD">
        <w:tab/>
        <w:t>200 mm</w:t>
      </w:r>
      <w:r w:rsidRPr="003152FD">
        <w:tab/>
        <w:t>STN 736126</w:t>
      </w:r>
    </w:p>
    <w:p w14:paraId="76CBB138" w14:textId="77777777" w:rsidR="00DC0048" w:rsidRPr="003152FD" w:rsidRDefault="00DC0048" w:rsidP="003152FD">
      <w:pPr>
        <w:pStyle w:val="A-Text11"/>
        <w:spacing w:before="0" w:line="240" w:lineRule="auto"/>
        <w:ind w:firstLine="425"/>
      </w:pPr>
      <w:r w:rsidRPr="003152FD">
        <w:t>Protiropná fólia - uložená na zemnej pláni s vyspádovaním</w:t>
      </w:r>
    </w:p>
    <w:p w14:paraId="7F5AB451" w14:textId="77777777" w:rsidR="00DC0048" w:rsidRPr="003152FD" w:rsidRDefault="00DC0048" w:rsidP="00DC0048">
      <w:pPr>
        <w:pStyle w:val="A-Text11"/>
      </w:pPr>
      <w:r w:rsidRPr="003152FD">
        <w:t>Spolu:</w:t>
      </w:r>
      <w:r w:rsidRPr="003152FD">
        <w:tab/>
      </w:r>
      <w:r w:rsidRPr="003152FD">
        <w:tab/>
      </w:r>
      <w:r w:rsidRPr="003152FD">
        <w:tab/>
      </w:r>
      <w:r w:rsidRPr="003152FD">
        <w:tab/>
      </w:r>
      <w:r w:rsidRPr="003152FD">
        <w:tab/>
      </w:r>
      <w:r w:rsidRPr="003152FD">
        <w:tab/>
      </w:r>
      <w:r w:rsidRPr="003152FD">
        <w:tab/>
      </w:r>
      <w:r w:rsidRPr="003152FD">
        <w:tab/>
        <w:t>470 mm</w:t>
      </w:r>
    </w:p>
    <w:p w14:paraId="613E54D5" w14:textId="77777777" w:rsidR="00810DFA" w:rsidRPr="003152FD" w:rsidRDefault="00810DFA" w:rsidP="00810DFA">
      <w:pPr>
        <w:pStyle w:val="A-Text11"/>
      </w:pPr>
      <w:r w:rsidRPr="003152FD">
        <w:t>Modul deformácie na úrovni podložia musí byť E</w:t>
      </w:r>
      <w:r w:rsidRPr="003152FD">
        <w:rPr>
          <w:vertAlign w:val="subscript"/>
        </w:rPr>
        <w:t>def,2</w:t>
      </w:r>
      <w:r w:rsidRPr="003152FD">
        <w:t>&gt;30 MPa zároveň musí byť dodržaný pomer hodnôt E</w:t>
      </w:r>
      <w:r w:rsidRPr="003152FD">
        <w:rPr>
          <w:vertAlign w:val="subscript"/>
        </w:rPr>
        <w:t>def,2</w:t>
      </w:r>
      <w:r w:rsidRPr="003152FD">
        <w:t>/E</w:t>
      </w:r>
      <w:r w:rsidRPr="003152FD">
        <w:rPr>
          <w:vertAlign w:val="subscript"/>
        </w:rPr>
        <w:t>def,1</w:t>
      </w:r>
      <w:r w:rsidRPr="003152FD">
        <w:t>&lt;3,0 podľa STN 73 6133 a STN 73 6190.</w:t>
      </w:r>
    </w:p>
    <w:p w14:paraId="2F4948B2" w14:textId="77777777" w:rsidR="00810DFA" w:rsidRPr="003152FD" w:rsidRDefault="00810DFA" w:rsidP="00810DFA">
      <w:pPr>
        <w:pStyle w:val="A-Text11"/>
      </w:pPr>
      <w:r w:rsidRPr="003152FD">
        <w:t>Modul deformácie na hornej hrane vrstvy štrkodrviny ŠD musí byť E</w:t>
      </w:r>
      <w:r w:rsidRPr="003152FD">
        <w:rPr>
          <w:vertAlign w:val="subscript"/>
        </w:rPr>
        <w:t>def,2</w:t>
      </w:r>
      <w:r w:rsidRPr="003152FD">
        <w:t>&gt;50 MPa zároveň musí byť dodržaný pomer hodnôt E</w:t>
      </w:r>
      <w:r w:rsidRPr="003152FD">
        <w:rPr>
          <w:vertAlign w:val="subscript"/>
        </w:rPr>
        <w:t>def,2</w:t>
      </w:r>
      <w:r w:rsidRPr="003152FD">
        <w:t>/E</w:t>
      </w:r>
      <w:r w:rsidRPr="003152FD">
        <w:rPr>
          <w:vertAlign w:val="subscript"/>
        </w:rPr>
        <w:t>def,1</w:t>
      </w:r>
      <w:r w:rsidRPr="003152FD">
        <w:t>&lt;3,0 podľa STN 73 6126.</w:t>
      </w:r>
    </w:p>
    <w:p w14:paraId="29769BEC" w14:textId="77777777" w:rsidR="00810DFA" w:rsidRPr="003152FD" w:rsidRDefault="00810DFA" w:rsidP="00810DFA">
      <w:pPr>
        <w:pStyle w:val="A-Text11"/>
      </w:pPr>
      <w:r w:rsidRPr="003152FD">
        <w:lastRenderedPageBreak/>
        <w:t>Modul deformácie na hornej hrane cementom stmelená zmes CBGM  musí byť E</w:t>
      </w:r>
      <w:r w:rsidRPr="003152FD">
        <w:rPr>
          <w:vertAlign w:val="subscript"/>
        </w:rPr>
        <w:t>def,2</w:t>
      </w:r>
      <w:r w:rsidRPr="003152FD">
        <w:t>&gt;100 MPa zároveň musí byť dodržaný pomer hodnôt E</w:t>
      </w:r>
      <w:r w:rsidRPr="003152FD">
        <w:rPr>
          <w:vertAlign w:val="subscript"/>
        </w:rPr>
        <w:t>def,2</w:t>
      </w:r>
      <w:r w:rsidRPr="003152FD">
        <w:t>/E</w:t>
      </w:r>
      <w:r w:rsidRPr="003152FD">
        <w:rPr>
          <w:vertAlign w:val="subscript"/>
        </w:rPr>
        <w:t>def,1</w:t>
      </w:r>
      <w:r w:rsidRPr="003152FD">
        <w:t>&lt;2,5 podľa STN 73 6124-1.</w:t>
      </w:r>
    </w:p>
    <w:p w14:paraId="46487C9C" w14:textId="77777777" w:rsidR="00810DFA" w:rsidRPr="003152FD" w:rsidRDefault="00810DFA" w:rsidP="00810DFA">
      <w:pPr>
        <w:pStyle w:val="A-Text11"/>
      </w:pPr>
      <w:r w:rsidRPr="003152FD">
        <w:t>Pri budovaní  vrstvy je potrebné ju hutniť po vrstvách na mieru zhutnenia ID = 98%</w:t>
      </w:r>
    </w:p>
    <w:p w14:paraId="65E13846" w14:textId="77777777" w:rsidR="00810DFA" w:rsidRPr="003152FD" w:rsidRDefault="00810DFA" w:rsidP="00810DFA">
      <w:pPr>
        <w:pStyle w:val="A-Text11"/>
      </w:pPr>
      <w:r w:rsidRPr="003152FD">
        <w:t>Pre konštrukčnú vrstvu MSK (mrazuvzdornú) sú nasledovné požadované parametre:</w:t>
      </w:r>
    </w:p>
    <w:p w14:paraId="0C38B9D6" w14:textId="77777777" w:rsidR="00810DFA" w:rsidRPr="003152FD" w:rsidRDefault="00810DFA" w:rsidP="00810DFA">
      <w:pPr>
        <w:pStyle w:val="A-Text11"/>
      </w:pPr>
      <w:r w:rsidRPr="003152FD">
        <w:t>Na hotovej vrstve MSK musí byť dosiahnutá únosnosť E</w:t>
      </w:r>
      <w:r w:rsidRPr="003152FD">
        <w:rPr>
          <w:vertAlign w:val="subscript"/>
        </w:rPr>
        <w:t>def2</w:t>
      </w:r>
      <w:r w:rsidRPr="003152FD">
        <w:t xml:space="preserve"> ≥ 60 MPa a pomer E</w:t>
      </w:r>
      <w:r w:rsidRPr="003152FD">
        <w:rPr>
          <w:vertAlign w:val="subscript"/>
        </w:rPr>
        <w:t>def2</w:t>
      </w:r>
      <w:r w:rsidRPr="003152FD">
        <w:t>/ E</w:t>
      </w:r>
      <w:r w:rsidRPr="003152FD">
        <w:rPr>
          <w:vertAlign w:val="subscript"/>
        </w:rPr>
        <w:t xml:space="preserve">def1 </w:t>
      </w:r>
      <w:r w:rsidRPr="003152FD">
        <w:t>≤ 2,5.</w:t>
      </w:r>
    </w:p>
    <w:p w14:paraId="773E0980" w14:textId="77777777" w:rsidR="00810DFA" w:rsidRPr="003152FD" w:rsidRDefault="00810DFA" w:rsidP="00810DFA">
      <w:pPr>
        <w:pStyle w:val="A-Text11"/>
      </w:pPr>
      <w:r w:rsidRPr="003152FD">
        <w:t>Pri budovaní  vrstvy je potrebné ju hutniť po vrstvách na mieru zhutnenia ID = 98%</w:t>
      </w:r>
    </w:p>
    <w:p w14:paraId="21FF6DA3" w14:textId="77777777" w:rsidR="00810DFA" w:rsidRPr="003152FD" w:rsidRDefault="00810DFA" w:rsidP="00810DFA">
      <w:pPr>
        <w:pStyle w:val="A-Text11"/>
      </w:pPr>
      <w:r w:rsidRPr="003152FD">
        <w:t>V línii styku pôvodnej a novej konštrukcie vozovky sa pred rozoberaním pôvodnej prevedie rez kotúčovou pílou na celú hrúbku asfaltových vrstiev. Cestná pláň pod novou vozovkou pri styčnej škáre  musí vykazovať hodnotu rázového modulu pružnosti M</w:t>
      </w:r>
      <w:r w:rsidRPr="003152FD">
        <w:rPr>
          <w:vertAlign w:val="subscript"/>
        </w:rPr>
        <w:t>vd</w:t>
      </w:r>
      <w:r w:rsidRPr="003152FD">
        <w:t xml:space="preserve"> meraného v zmysle STN 73 6192 aspoň 1,2-násobku M</w:t>
      </w:r>
      <w:r w:rsidRPr="003152FD">
        <w:rPr>
          <w:vertAlign w:val="subscript"/>
        </w:rPr>
        <w:t>vd</w:t>
      </w:r>
      <w:r w:rsidRPr="003152FD">
        <w:t xml:space="preserve"> zisteného na pláni pôvodnej vozovky pri styčnej škáre. </w:t>
      </w:r>
    </w:p>
    <w:p w14:paraId="5F1DBCB0" w14:textId="77777777" w:rsidR="00810DFA" w:rsidRPr="003152FD" w:rsidRDefault="00810DFA" w:rsidP="00810DFA">
      <w:pPr>
        <w:pStyle w:val="A-Text11"/>
      </w:pPr>
      <w:r w:rsidRPr="003152FD">
        <w:t xml:space="preserve">V mieste napojenia komunikácie na existujúcu cestu sa odstránia vrstvy existujúcej komunikácie až hĺbky 0,4 m. Vo vrchnej časti existujúcej komunikácie sa odstránia horné vrstvy v šírke 0,5m od miesta napojenia. Osadí sa cestný obrubník do betónového lôžka. Lôžko bude vysoké až 0,2m pod hranou existujúcej vozovky. Zvyšný vzniknutý priestor sa dobetónuje. </w:t>
      </w:r>
    </w:p>
    <w:p w14:paraId="12DC87CD" w14:textId="77777777" w:rsidR="00810DFA" w:rsidRPr="003152FD" w:rsidRDefault="00810DFA" w:rsidP="00810DFA">
      <w:pPr>
        <w:pStyle w:val="A-Text11"/>
      </w:pPr>
      <w:r w:rsidRPr="003152FD">
        <w:t>Okolo komunikácií a spevnených plôch sa osadí cestný obrubník s prevýšením 12 cm do betónového lôžka z betónu C12/15. Okolo chodníkov trasovaných cez zelené plochy je umiestnený záhonový obrubník uložený do betónu  s prevýšením voči chodníku min. 3 cm. a nad zeleňou min. 2 cm.</w:t>
      </w:r>
    </w:p>
    <w:p w14:paraId="31529179" w14:textId="77777777" w:rsidR="00810DFA" w:rsidRPr="003152FD" w:rsidRDefault="00810DFA" w:rsidP="00810DFA">
      <w:pPr>
        <w:pStyle w:val="A-Text11"/>
      </w:pPr>
      <w:r w:rsidRPr="003152FD">
        <w:t>V mieste prechodov sa vyhotoví bezbariérová úprava a vybudujú sa signálne pásy. Bezbariérová úprava sa urobí v šírke prechodu alebo min. 2m. Dĺžka úpravy bude 1,5m. Na zníženie obrubníkov na úroveň komunikácie sa použijú prechodové obrubníky.</w:t>
      </w:r>
    </w:p>
    <w:p w14:paraId="47A3AC2B" w14:textId="77777777" w:rsidR="00810DFA" w:rsidRPr="003152FD" w:rsidRDefault="00810DFA" w:rsidP="00810DFA">
      <w:pPr>
        <w:pStyle w:val="A-Text11"/>
      </w:pPr>
      <w:r w:rsidRPr="003152FD">
        <w:t>Na chodníkoch a spevnených plochách musí byť zabezpečený bezpečný pohyb a preto je stanovený súčiniteľ šmykového trenia min 0,6 pre plochy a 0,6*tgα pre rampy podľa STN 734130.</w:t>
      </w:r>
    </w:p>
    <w:p w14:paraId="77E6CBC3" w14:textId="63807170" w:rsidR="00674AF2" w:rsidRPr="003152FD" w:rsidRDefault="00674AF2" w:rsidP="00674AF2">
      <w:pPr>
        <w:pStyle w:val="A-Text11"/>
        <w:ind w:left="576" w:firstLine="0"/>
        <w:rPr>
          <w:b/>
          <w:bCs/>
        </w:rPr>
      </w:pPr>
      <w:bookmarkStart w:id="114" w:name="_Toc91148327"/>
      <w:r w:rsidRPr="003152FD">
        <w:rPr>
          <w:b/>
          <w:bCs/>
        </w:rPr>
        <w:t>Odvodnenie spevnených plôch a komunikácie</w:t>
      </w:r>
      <w:bookmarkEnd w:id="114"/>
    </w:p>
    <w:p w14:paraId="6C23F711" w14:textId="77777777" w:rsidR="00674AF2" w:rsidRPr="003152FD" w:rsidRDefault="00674AF2" w:rsidP="00674AF2">
      <w:pPr>
        <w:pStyle w:val="A-Text11"/>
      </w:pPr>
      <w:r w:rsidRPr="003152FD">
        <w:t>Odvodnenie komunikácie, parkovísk, spevnených plôch, cyklotrasy a chodníkov je navrhnuté priečnym a pozdĺžnym sklonom do navrhovaných odvodňovacích zariadení: vpustov alebo betónových žľabov alebo sú niektoré riešené priamym vsakom cez drenážnu dlažbu alebo zatrávňovacie tvárnice. V takom prípade bude voda zachytávaná na úrovni zemnej pláne pomocou protiropnej fólie a cez zabezpečenú drenáž odvedená do odlučovača a následne do vsaku. Niektoré chodníky sú vyspádované do zelene. Použitie a rozmiestnenie odvodňovacích zariadení je navrhnuté v súlade s STN 73 6713. Všetka zachytená voda z odvodňovacích zariadení sa bude po prečistení cez odlučovač púšťať do vsakovacích zariadení.</w:t>
      </w:r>
    </w:p>
    <w:p w14:paraId="3ACA3180" w14:textId="77777777" w:rsidR="00674AF2" w:rsidRPr="003152FD" w:rsidRDefault="00674AF2" w:rsidP="00674AF2">
      <w:pPr>
        <w:pStyle w:val="A-Text11"/>
      </w:pPr>
      <w:r w:rsidRPr="003152FD">
        <w:t xml:space="preserve">Na odvodnenie cestnej pláne je navrhovaný jednostranný pozdĺžny trativod z poloperforovaných drenážnych rúrok DN 160. Trativodná ryha bude pokrytá geotextíliou proti zaneseniu. Pod drenážou sa vytvorí nepriepustná ílovitá vrstva. Drenáž z rúrky DN 160 mm bude zaústená do existujúcich vpustov napojením nad úrovňou výtoku min.10 cm. Pozdĺžny sklon drenáže je minimálny a je smerovaný k najbližšiemu vpustu. </w:t>
      </w:r>
    </w:p>
    <w:p w14:paraId="20D89EBB" w14:textId="77777777" w:rsidR="00475BAD" w:rsidRDefault="00475BAD" w:rsidP="004C332D">
      <w:pPr>
        <w:pStyle w:val="A-Text11"/>
        <w:rPr>
          <w:b/>
          <w:bCs/>
        </w:rPr>
      </w:pPr>
      <w:bookmarkStart w:id="115" w:name="_Toc91148328"/>
    </w:p>
    <w:p w14:paraId="336A4CD5" w14:textId="48C3F69C" w:rsidR="00674AF2" w:rsidRPr="003152FD" w:rsidRDefault="00674AF2" w:rsidP="004C332D">
      <w:pPr>
        <w:pStyle w:val="A-Text11"/>
        <w:rPr>
          <w:b/>
          <w:bCs/>
        </w:rPr>
      </w:pPr>
      <w:r w:rsidRPr="003152FD">
        <w:rPr>
          <w:b/>
          <w:bCs/>
        </w:rPr>
        <w:lastRenderedPageBreak/>
        <w:t>Trvalé dopravné značenie</w:t>
      </w:r>
      <w:bookmarkEnd w:id="115"/>
    </w:p>
    <w:p w14:paraId="10125755" w14:textId="77777777" w:rsidR="00674AF2" w:rsidRPr="003152FD" w:rsidRDefault="00674AF2" w:rsidP="00674AF2">
      <w:pPr>
        <w:pStyle w:val="A-Text11"/>
      </w:pPr>
      <w:r w:rsidRPr="003152FD">
        <w:t xml:space="preserve">Novovytvorené križovatky sa doplnia o potrebné zvislé a vodorovné DZ. Jednotlivé priechody a parkoviská sa doplnia príslušným dopravným značením a to ako vodorovným tak aj zvislým. Všetky nadväzné úpravy sa opatria príslušným dopravným značením. Pred vstupom do podzemnej garáže sa osadia (na fasádu nad vjazdom) príslušné dopravné značky 253 – 30km/h, 272, a značka 243 (s príslušnou hodnotou výšky). </w:t>
      </w:r>
    </w:p>
    <w:p w14:paraId="2AAD0417" w14:textId="77777777" w:rsidR="00674AF2" w:rsidRPr="003152FD" w:rsidRDefault="00674AF2" w:rsidP="00674AF2">
      <w:pPr>
        <w:pStyle w:val="A-Text11"/>
      </w:pPr>
      <w:r w:rsidRPr="003152FD">
        <w:t>Vodorovné dopravné značenie sa zriadi v bielej farbe na všetkých komunikáciách a aj v podzemnej garáži, kde sa vyhotoví nástrekom pre parkovacie státia alebo čiary, či plochy.</w:t>
      </w:r>
    </w:p>
    <w:p w14:paraId="4A82A046" w14:textId="77777777" w:rsidR="00674AF2" w:rsidRPr="003152FD" w:rsidRDefault="00674AF2" w:rsidP="00674AF2">
      <w:pPr>
        <w:pStyle w:val="A-Text11"/>
      </w:pPr>
      <w:r w:rsidRPr="003152FD">
        <w:t>Podrobnejší návrh TDZ bude riešený v ďalšom stupni PD.</w:t>
      </w:r>
    </w:p>
    <w:p w14:paraId="6C8D6ED2" w14:textId="1FC5E64B" w:rsidR="00DC0048" w:rsidRPr="004B45A7" w:rsidRDefault="00674AF2" w:rsidP="0008460B">
      <w:pPr>
        <w:pStyle w:val="A-Text11"/>
        <w:rPr>
          <w:color w:val="538135" w:themeColor="accent6" w:themeShade="BF"/>
        </w:rPr>
      </w:pPr>
      <w:r w:rsidRPr="003152FD">
        <w:t>Dopravné značenie bude osadené v súlade s platnými predpismi a nariadeniami platnými pre premávku na pozemných komunikáciách – vyhláška č. 30/2020 Z.z. a zákona č. 8/2009 Z.z. o premávke na pozemných komunikáciách</w:t>
      </w:r>
      <w:r w:rsidRPr="00674AF2">
        <w:rPr>
          <w:color w:val="538135" w:themeColor="accent6" w:themeShade="BF"/>
        </w:rPr>
        <w:t>.</w:t>
      </w:r>
    </w:p>
    <w:p w14:paraId="4F8B8BDB" w14:textId="6706DEFF" w:rsidR="00E24C5D" w:rsidRPr="00E6371C" w:rsidRDefault="00E24C5D" w:rsidP="008C6F96">
      <w:pPr>
        <w:pStyle w:val="Nadpis2"/>
      </w:pPr>
      <w:bookmarkStart w:id="116" w:name="_Toc495992950"/>
      <w:bookmarkStart w:id="117" w:name="_Toc93916815"/>
      <w:r w:rsidRPr="00E6371C">
        <w:t>Zdôvodnenie potreby navrhovanej činnosti v danej lokalite</w:t>
      </w:r>
      <w:bookmarkEnd w:id="116"/>
      <w:bookmarkEnd w:id="117"/>
    </w:p>
    <w:p w14:paraId="74041D3A" w14:textId="4E63351E" w:rsidR="00496837" w:rsidRPr="00E6371C" w:rsidRDefault="008E6A7E" w:rsidP="00496837">
      <w:pPr>
        <w:pStyle w:val="A-Text11"/>
      </w:pPr>
      <w:bookmarkStart w:id="118" w:name="_Toc80536518"/>
      <w:bookmarkStart w:id="119" w:name="_Toc132078667"/>
      <w:r w:rsidRPr="00E6371C">
        <w:rPr>
          <w:rFonts w:eastAsia="Calibri"/>
        </w:rPr>
        <w:t>S</w:t>
      </w:r>
      <w:r w:rsidR="00DE4386" w:rsidRPr="00E6371C">
        <w:rPr>
          <w:rFonts w:eastAsia="Calibri"/>
        </w:rPr>
        <w:t>účasný stav</w:t>
      </w:r>
      <w:r w:rsidR="00856BBF" w:rsidRPr="00E6371C">
        <w:rPr>
          <w:rFonts w:eastAsia="Calibri"/>
        </w:rPr>
        <w:t xml:space="preserve"> záujmovej</w:t>
      </w:r>
      <w:r w:rsidR="00DE4386" w:rsidRPr="00E6371C">
        <w:rPr>
          <w:rFonts w:eastAsia="Calibri"/>
        </w:rPr>
        <w:t xml:space="preserve"> lokality</w:t>
      </w:r>
      <w:r w:rsidR="008D03D2" w:rsidRPr="00E6371C">
        <w:rPr>
          <w:rFonts w:eastAsia="Calibri"/>
        </w:rPr>
        <w:t xml:space="preserve"> neumožňuj</w:t>
      </w:r>
      <w:r w:rsidR="00DE4386" w:rsidRPr="00E6371C">
        <w:rPr>
          <w:rFonts w:eastAsia="Calibri"/>
        </w:rPr>
        <w:t xml:space="preserve">e </w:t>
      </w:r>
      <w:r w:rsidR="00C018DA" w:rsidRPr="00E6371C">
        <w:rPr>
          <w:rFonts w:eastAsia="Calibri"/>
        </w:rPr>
        <w:t xml:space="preserve">jej </w:t>
      </w:r>
      <w:r w:rsidR="008D03D2" w:rsidRPr="00E6371C">
        <w:rPr>
          <w:rFonts w:eastAsia="Calibri"/>
        </w:rPr>
        <w:t>efektívne využívanie</w:t>
      </w:r>
      <w:r w:rsidR="00C018DA" w:rsidRPr="00E6371C">
        <w:rPr>
          <w:rFonts w:eastAsia="Calibri"/>
        </w:rPr>
        <w:t xml:space="preserve"> z hľadiska plného potenciálu</w:t>
      </w:r>
      <w:r w:rsidR="004B1D4F" w:rsidRPr="00E6371C">
        <w:rPr>
          <w:rFonts w:eastAsia="Calibri"/>
        </w:rPr>
        <w:t>. N</w:t>
      </w:r>
      <w:r w:rsidR="00856BBF" w:rsidRPr="00E6371C">
        <w:rPr>
          <w:rFonts w:eastAsia="Calibri"/>
        </w:rPr>
        <w:t>avrhovaná činnosť sa dá pre lokalitu považovať ako potrebná. Aktuálne č</w:t>
      </w:r>
      <w:r w:rsidR="008D03D2" w:rsidRPr="00E6371C">
        <w:rPr>
          <w:rFonts w:eastAsia="Calibri"/>
        </w:rPr>
        <w:t>asť</w:t>
      </w:r>
      <w:r w:rsidR="00352BAE" w:rsidRPr="00E6371C">
        <w:rPr>
          <w:rFonts w:eastAsia="Calibri"/>
        </w:rPr>
        <w:t xml:space="preserve"> záujmového</w:t>
      </w:r>
      <w:r w:rsidR="008D03D2" w:rsidRPr="00E6371C">
        <w:rPr>
          <w:rFonts w:eastAsia="Calibri"/>
        </w:rPr>
        <w:t xml:space="preserve"> územia slúži ako povrchové parkovacie plochy</w:t>
      </w:r>
      <w:r w:rsidR="00D50354" w:rsidRPr="00E6371C">
        <w:rPr>
          <w:rFonts w:eastAsia="Calibri"/>
        </w:rPr>
        <w:t xml:space="preserve"> na spevnených a nespevnených povrchoch</w:t>
      </w:r>
      <w:r w:rsidR="008D03D2" w:rsidRPr="00E6371C">
        <w:rPr>
          <w:rFonts w:eastAsia="Calibri"/>
        </w:rPr>
        <w:t>.</w:t>
      </w:r>
      <w:r w:rsidR="00D50354" w:rsidRPr="00E6371C">
        <w:rPr>
          <w:rFonts w:eastAsia="Calibri"/>
        </w:rPr>
        <w:t xml:space="preserve"> V území sú prítomné rôzne druhy voľne pohodeného odpadu.</w:t>
      </w:r>
      <w:r w:rsidR="008D03D2" w:rsidRPr="00E6371C">
        <w:rPr>
          <w:rFonts w:eastAsia="Calibri"/>
        </w:rPr>
        <w:t xml:space="preserve"> </w:t>
      </w:r>
      <w:r w:rsidR="00DE4386" w:rsidRPr="00E6371C">
        <w:rPr>
          <w:rFonts w:eastAsia="Calibri"/>
        </w:rPr>
        <w:t xml:space="preserve">Reklamné plochy spolu s nevyužívaným areálom bývalého autobazáru </w:t>
      </w:r>
      <w:r w:rsidR="001442C9" w:rsidRPr="00E6371C">
        <w:rPr>
          <w:rFonts w:eastAsia="Calibri"/>
        </w:rPr>
        <w:t>pôsobia z estetickej stránky</w:t>
      </w:r>
      <w:r w:rsidR="00DE4386" w:rsidRPr="00E6371C">
        <w:rPr>
          <w:rFonts w:eastAsia="Calibri"/>
        </w:rPr>
        <w:t xml:space="preserve"> v území </w:t>
      </w:r>
      <w:r w:rsidR="001442C9" w:rsidRPr="00E6371C">
        <w:rPr>
          <w:rFonts w:eastAsia="Calibri"/>
        </w:rPr>
        <w:t>negatívnym dojmom</w:t>
      </w:r>
      <w:r w:rsidR="00DE4386" w:rsidRPr="00E6371C">
        <w:rPr>
          <w:rFonts w:eastAsia="Calibri"/>
        </w:rPr>
        <w:t xml:space="preserve">. </w:t>
      </w:r>
      <w:r w:rsidR="00856BBF" w:rsidRPr="00E6371C">
        <w:rPr>
          <w:rFonts w:eastAsia="Calibri"/>
        </w:rPr>
        <w:t>Do lokality je v súlade s územno-plánovacou dokumentáciou potrebné vniesť koncepčne plánované riešenie, akým je predkladaná navrhovaná činnosť.</w:t>
      </w:r>
      <w:r w:rsidR="001442C9" w:rsidRPr="00E6371C">
        <w:rPr>
          <w:rFonts w:eastAsia="Calibri"/>
        </w:rPr>
        <w:t xml:space="preserve"> Na základe</w:t>
      </w:r>
      <w:r w:rsidR="00CD4685" w:rsidRPr="00E6371C">
        <w:rPr>
          <w:rFonts w:eastAsia="Calibri"/>
        </w:rPr>
        <w:t xml:space="preserve"> spoločnej sprievodnej správy a súhrnných technických správ</w:t>
      </w:r>
      <w:r w:rsidR="001442C9" w:rsidRPr="00E6371C">
        <w:rPr>
          <w:rFonts w:eastAsia="Calibri"/>
        </w:rPr>
        <w:t xml:space="preserve"> dokumentácie územného rozhodnutia je možné zhodnotiť, že n</w:t>
      </w:r>
      <w:r w:rsidR="001442C9" w:rsidRPr="00E6371C">
        <w:t>avrhovaný bytový dom využije existujúci územnotechnický potenciál predmetnej lokality.</w:t>
      </w:r>
      <w:r w:rsidR="00AF4702" w:rsidRPr="00E6371C">
        <w:t xml:space="preserve"> Poloha navrhovanej činnosti v zastavanom územ</w:t>
      </w:r>
      <w:r w:rsidR="004A792B" w:rsidRPr="00E6371C">
        <w:t>í</w:t>
      </w:r>
      <w:r w:rsidR="00AF4702" w:rsidRPr="00E6371C">
        <w:t xml:space="preserve"> obce zaručuje efektívne využitie existujúcej infraštruktúry.</w:t>
      </w:r>
      <w:r w:rsidR="00D50354" w:rsidRPr="00E6371C">
        <w:t xml:space="preserve"> </w:t>
      </w:r>
      <w:r w:rsidR="00AF4702" w:rsidRPr="00E6371C">
        <w:t xml:space="preserve">Architektonické riešenie bytového domu zohľadňuje súčasné požiadavky na bývanie ako </w:t>
      </w:r>
      <w:r w:rsidR="007876B6" w:rsidRPr="00E6371C">
        <w:t>aj</w:t>
      </w:r>
      <w:r w:rsidR="00AF4702" w:rsidRPr="00E6371C">
        <w:t xml:space="preserve"> environmentálne požiadavky na stavby a ich okolie. </w:t>
      </w:r>
      <w:r w:rsidR="008D03D2" w:rsidRPr="00E6371C">
        <w:rPr>
          <w:rFonts w:eastAsia="Calibri"/>
          <w:lang w:eastAsia="sk-SK"/>
        </w:rPr>
        <w:t>Realizáci</w:t>
      </w:r>
      <w:r w:rsidR="00D50354" w:rsidRPr="00E6371C">
        <w:rPr>
          <w:rFonts w:eastAsia="Calibri"/>
          <w:lang w:eastAsia="sk-SK"/>
        </w:rPr>
        <w:t>ou</w:t>
      </w:r>
      <w:r w:rsidR="008D03D2" w:rsidRPr="00E6371C">
        <w:rPr>
          <w:rFonts w:eastAsia="Calibri"/>
          <w:lang w:eastAsia="sk-SK"/>
        </w:rPr>
        <w:t xml:space="preserve"> navrhovanej činnosti</w:t>
      </w:r>
      <w:r w:rsidR="00D50354" w:rsidRPr="00E6371C">
        <w:rPr>
          <w:rFonts w:eastAsia="Calibri"/>
          <w:lang w:eastAsia="sk-SK"/>
        </w:rPr>
        <w:t xml:space="preserve"> sa zároveň prispeje k zlepšeniu nepriaznivého </w:t>
      </w:r>
      <w:r w:rsidR="00496837" w:rsidRPr="00E6371C">
        <w:rPr>
          <w:rFonts w:eastAsia="Calibri"/>
          <w:lang w:eastAsia="sk-SK"/>
        </w:rPr>
        <w:t>stavu</w:t>
      </w:r>
      <w:r w:rsidR="00D50354" w:rsidRPr="00E6371C">
        <w:rPr>
          <w:rFonts w:eastAsia="Calibri"/>
          <w:lang w:eastAsia="sk-SK"/>
        </w:rPr>
        <w:t xml:space="preserve"> nedostatku bytových priestorov, ktorý je akútny v rámci celého územia Bratislavy.</w:t>
      </w:r>
      <w:r w:rsidR="00496837" w:rsidRPr="00E6371C">
        <w:t xml:space="preserve"> </w:t>
      </w:r>
    </w:p>
    <w:p w14:paraId="3A1CFAE2" w14:textId="130803A6" w:rsidR="00E24C5D" w:rsidRPr="00E6371C" w:rsidRDefault="00E24C5D" w:rsidP="008C6F96">
      <w:pPr>
        <w:pStyle w:val="Nadpis2"/>
      </w:pPr>
      <w:r w:rsidRPr="00E6371C">
        <w:t xml:space="preserve">   </w:t>
      </w:r>
      <w:bookmarkStart w:id="120" w:name="_Toc495992951"/>
      <w:bookmarkStart w:id="121" w:name="_Toc93916816"/>
      <w:r w:rsidRPr="00E6371C">
        <w:t>Celkové náklady</w:t>
      </w:r>
      <w:bookmarkEnd w:id="118"/>
      <w:r w:rsidRPr="00E6371C">
        <w:t xml:space="preserve"> (orientačné)</w:t>
      </w:r>
      <w:bookmarkEnd w:id="119"/>
      <w:bookmarkEnd w:id="120"/>
      <w:bookmarkEnd w:id="121"/>
    </w:p>
    <w:p w14:paraId="04D18B5E" w14:textId="2267E272" w:rsidR="00E24C5D" w:rsidRPr="00E6371C" w:rsidRDefault="00E24C5D" w:rsidP="00FD0265">
      <w:pPr>
        <w:widowControl/>
        <w:spacing w:before="120"/>
        <w:ind w:firstLine="426"/>
        <w:jc w:val="both"/>
        <w:rPr>
          <w:rFonts w:ascii="Arial" w:hAnsi="Arial" w:cs="Arial"/>
          <w:sz w:val="22"/>
          <w:szCs w:val="24"/>
          <w:lang w:eastAsia="en-US"/>
        </w:rPr>
      </w:pPr>
      <w:r w:rsidRPr="00FD0265">
        <w:rPr>
          <w:rStyle w:val="A-Text11Char"/>
        </w:rPr>
        <w:t xml:space="preserve">Celkové náklady na realizáciu stavby odhadované v obidvoch navrhovaných variantoch  </w:t>
      </w:r>
      <w:r w:rsidRPr="004112EA">
        <w:rPr>
          <w:rStyle w:val="A-Text11Char"/>
        </w:rPr>
        <w:t xml:space="preserve">na úrovni asi </w:t>
      </w:r>
      <w:r w:rsidR="00DC5C04" w:rsidRPr="004112EA">
        <w:rPr>
          <w:rStyle w:val="A-Text11Char"/>
        </w:rPr>
        <w:t>9</w:t>
      </w:r>
      <w:r w:rsidR="001C1251" w:rsidRPr="004112EA">
        <w:rPr>
          <w:rStyle w:val="A-Text11Char"/>
        </w:rPr>
        <w:t> 298 500</w:t>
      </w:r>
      <w:r w:rsidR="00F82639" w:rsidRPr="004112EA">
        <w:rPr>
          <w:rStyle w:val="A-Text11Char"/>
        </w:rPr>
        <w:t xml:space="preserve"> </w:t>
      </w:r>
      <w:r w:rsidRPr="004112EA">
        <w:rPr>
          <w:rStyle w:val="A-Text11Char"/>
        </w:rPr>
        <w:t>EUR</w:t>
      </w:r>
      <w:r w:rsidRPr="004112EA">
        <w:rPr>
          <w:rFonts w:ascii="Arial" w:hAnsi="Arial" w:cs="Arial"/>
          <w:sz w:val="22"/>
          <w:szCs w:val="24"/>
          <w:lang w:eastAsia="en-US"/>
        </w:rPr>
        <w:t>.</w:t>
      </w:r>
      <w:r w:rsidRPr="00E6371C">
        <w:rPr>
          <w:rFonts w:ascii="Arial" w:hAnsi="Arial" w:cs="Arial"/>
          <w:sz w:val="22"/>
          <w:szCs w:val="24"/>
          <w:lang w:eastAsia="en-US"/>
        </w:rPr>
        <w:t xml:space="preserve"> </w:t>
      </w:r>
    </w:p>
    <w:p w14:paraId="75DC51C3" w14:textId="77777777" w:rsidR="00E24C5D" w:rsidRPr="00EE4079" w:rsidRDefault="00E24C5D" w:rsidP="008C6F96">
      <w:pPr>
        <w:pStyle w:val="Nadpis2"/>
      </w:pPr>
      <w:bookmarkStart w:id="122" w:name="_Toc80536519"/>
      <w:bookmarkStart w:id="123" w:name="_Toc132078668"/>
      <w:bookmarkStart w:id="124" w:name="_Hlk497291255"/>
      <w:r w:rsidRPr="00EE4079">
        <w:t xml:space="preserve">   </w:t>
      </w:r>
      <w:bookmarkStart w:id="125" w:name="_Toc495992952"/>
      <w:bookmarkStart w:id="126" w:name="_Toc93916817"/>
      <w:r w:rsidRPr="00EE4079">
        <w:t>Dotknutá ob</w:t>
      </w:r>
      <w:bookmarkEnd w:id="122"/>
      <w:r w:rsidRPr="00EE4079">
        <w:t>ec</w:t>
      </w:r>
      <w:bookmarkEnd w:id="123"/>
      <w:bookmarkEnd w:id="125"/>
      <w:bookmarkEnd w:id="126"/>
    </w:p>
    <w:p w14:paraId="2039A405" w14:textId="437FD2D1" w:rsidR="00E24C5D" w:rsidRPr="00EE4079" w:rsidRDefault="00E24C5D" w:rsidP="00125BA2">
      <w:pPr>
        <w:pStyle w:val="A-Text11"/>
      </w:pPr>
      <w:r w:rsidRPr="00EE4079">
        <w:t xml:space="preserve">Priamo dotknutou obcou je mesto Bratislava. Priamo výstavbou bude dotknutá  mestská časť Bratislava – </w:t>
      </w:r>
      <w:r w:rsidR="0008129A" w:rsidRPr="00EE4079">
        <w:t>Ružinov</w:t>
      </w:r>
      <w:r w:rsidRPr="00EE4079">
        <w:t>.</w:t>
      </w:r>
    </w:p>
    <w:p w14:paraId="5E562929" w14:textId="77777777" w:rsidR="00E24C5D" w:rsidRPr="004A7717" w:rsidRDefault="00E24C5D" w:rsidP="008C6F96">
      <w:pPr>
        <w:pStyle w:val="Nadpis2"/>
      </w:pPr>
      <w:bookmarkStart w:id="127" w:name="_Toc132078669"/>
      <w:r w:rsidRPr="004A7717">
        <w:t xml:space="preserve">   </w:t>
      </w:r>
      <w:bookmarkStart w:id="128" w:name="_Toc495992953"/>
      <w:bookmarkStart w:id="129" w:name="_Toc93916818"/>
      <w:r w:rsidRPr="004A7717">
        <w:t>Dotknutý samosprávny kraj</w:t>
      </w:r>
      <w:bookmarkEnd w:id="127"/>
      <w:bookmarkEnd w:id="128"/>
      <w:bookmarkEnd w:id="129"/>
    </w:p>
    <w:p w14:paraId="2A75DF77" w14:textId="58A137C8" w:rsidR="00E24C5D" w:rsidRPr="00EE4079" w:rsidRDefault="00E24C5D" w:rsidP="00AB4844">
      <w:pPr>
        <w:pStyle w:val="A-Text11"/>
      </w:pPr>
      <w:r w:rsidRPr="00EE4079">
        <w:t xml:space="preserve">Priamo dotknutý samosprávny kraj je: </w:t>
      </w:r>
      <w:r w:rsidRPr="00EE4079">
        <w:rPr>
          <w:b/>
          <w:i/>
        </w:rPr>
        <w:t>Bratislavský</w:t>
      </w:r>
      <w:r w:rsidRPr="00EE4079">
        <w:t>.</w:t>
      </w:r>
    </w:p>
    <w:p w14:paraId="070A9C58" w14:textId="77777777" w:rsidR="00E24C5D" w:rsidRPr="004A7717" w:rsidRDefault="00E24C5D" w:rsidP="008C6F96">
      <w:pPr>
        <w:pStyle w:val="Nadpis2"/>
      </w:pPr>
      <w:bookmarkStart w:id="130" w:name="_Toc80536520"/>
      <w:bookmarkStart w:id="131" w:name="_Toc132078670"/>
      <w:r w:rsidRPr="004A7717">
        <w:t xml:space="preserve">   </w:t>
      </w:r>
      <w:bookmarkStart w:id="132" w:name="_Toc495992954"/>
      <w:bookmarkStart w:id="133" w:name="_Toc93916819"/>
      <w:r w:rsidRPr="004A7717">
        <w:t>Dotknuté orgán</w:t>
      </w:r>
      <w:bookmarkEnd w:id="130"/>
      <w:r w:rsidRPr="004A7717">
        <w:t>y</w:t>
      </w:r>
      <w:bookmarkEnd w:id="131"/>
      <w:bookmarkEnd w:id="132"/>
      <w:bookmarkEnd w:id="133"/>
    </w:p>
    <w:p w14:paraId="3D1C93B7" w14:textId="77777777" w:rsidR="00E24C5D" w:rsidRPr="00EE4079" w:rsidRDefault="00E24C5D" w:rsidP="00125BA2">
      <w:pPr>
        <w:pStyle w:val="A-Text11"/>
      </w:pPr>
      <w:bookmarkStart w:id="134" w:name="_Toc64293278"/>
      <w:r w:rsidRPr="00EE4079">
        <w:rPr>
          <w:szCs w:val="24"/>
        </w:rPr>
        <w:t>Dotknutým orgánom</w:t>
      </w:r>
      <w:r w:rsidRPr="00EE4079">
        <w:t>, v zmysle zákona č. 24/2006 Z.z. o posudzovaní vplyvov na životné prostredie, je orgán verejnej správy, ktorého záväzný posudok, súhlas, stanovisko, rozhodnutie  alebo vyjadrenie, vydávané podľa osobitných predpisov, podmieňujú povolenie navrhovanej činnosti.</w:t>
      </w:r>
    </w:p>
    <w:p w14:paraId="0C5BB2B8" w14:textId="77777777" w:rsidR="00E24C5D" w:rsidRPr="00B356FD" w:rsidRDefault="00E24C5D" w:rsidP="00125BA2">
      <w:pPr>
        <w:widowControl/>
        <w:spacing w:before="120" w:line="276" w:lineRule="auto"/>
        <w:jc w:val="both"/>
        <w:rPr>
          <w:rFonts w:ascii="Arial" w:hAnsi="Arial" w:cs="Arial"/>
          <w:sz w:val="22"/>
          <w:szCs w:val="24"/>
          <w:lang w:eastAsia="en-US"/>
        </w:rPr>
      </w:pPr>
      <w:r w:rsidRPr="00B356FD">
        <w:rPr>
          <w:rFonts w:ascii="Arial" w:hAnsi="Arial" w:cs="Arial"/>
          <w:sz w:val="22"/>
          <w:szCs w:val="24"/>
          <w:lang w:eastAsia="en-US"/>
        </w:rPr>
        <w:lastRenderedPageBreak/>
        <w:t>V tejto súvislosti je to:</w:t>
      </w:r>
    </w:p>
    <w:p w14:paraId="34E3EB27" w14:textId="77777777" w:rsidR="00E24C5D" w:rsidRPr="00B356FD" w:rsidRDefault="00E24C5D" w:rsidP="00125BA2">
      <w:pPr>
        <w:widowControl/>
        <w:numPr>
          <w:ilvl w:val="0"/>
          <w:numId w:val="3"/>
        </w:numPr>
        <w:spacing w:line="276" w:lineRule="auto"/>
        <w:ind w:left="714" w:hanging="357"/>
        <w:jc w:val="both"/>
        <w:rPr>
          <w:rFonts w:ascii="Arial" w:hAnsi="Arial" w:cs="Arial"/>
          <w:i/>
          <w:iCs/>
          <w:sz w:val="22"/>
          <w:szCs w:val="24"/>
          <w:lang w:eastAsia="en-US"/>
        </w:rPr>
      </w:pPr>
      <w:bookmarkStart w:id="135" w:name="_Toc80536521"/>
      <w:bookmarkStart w:id="136" w:name="_Toc132078671"/>
      <w:bookmarkEnd w:id="134"/>
      <w:r w:rsidRPr="00B356FD">
        <w:rPr>
          <w:rFonts w:ascii="Arial" w:hAnsi="Arial" w:cs="Arial"/>
          <w:i/>
          <w:iCs/>
          <w:sz w:val="22"/>
          <w:szCs w:val="24"/>
          <w:lang w:eastAsia="en-US"/>
        </w:rPr>
        <w:t>Ministerstvo obrany SR,</w:t>
      </w:r>
    </w:p>
    <w:p w14:paraId="536C3CCD" w14:textId="77777777" w:rsidR="00E24C5D" w:rsidRPr="00B356FD" w:rsidRDefault="00E24C5D" w:rsidP="00125BA2">
      <w:pPr>
        <w:widowControl/>
        <w:numPr>
          <w:ilvl w:val="0"/>
          <w:numId w:val="3"/>
        </w:numPr>
        <w:spacing w:line="276" w:lineRule="auto"/>
        <w:ind w:left="714" w:hanging="357"/>
        <w:jc w:val="both"/>
        <w:rPr>
          <w:rFonts w:ascii="Arial" w:hAnsi="Arial" w:cs="Arial"/>
          <w:i/>
          <w:iCs/>
          <w:sz w:val="22"/>
          <w:szCs w:val="24"/>
          <w:lang w:eastAsia="en-US"/>
        </w:rPr>
      </w:pPr>
      <w:r w:rsidRPr="00B356FD">
        <w:rPr>
          <w:rFonts w:ascii="Arial" w:hAnsi="Arial" w:cs="Arial"/>
          <w:i/>
          <w:iCs/>
          <w:sz w:val="22"/>
          <w:szCs w:val="24"/>
          <w:lang w:eastAsia="en-US"/>
        </w:rPr>
        <w:t>Krajský pamiatkový úrad, Bratislava,</w:t>
      </w:r>
    </w:p>
    <w:p w14:paraId="7A655F35" w14:textId="77777777" w:rsidR="00E24C5D" w:rsidRPr="00B356FD" w:rsidRDefault="00E24C5D" w:rsidP="00125BA2">
      <w:pPr>
        <w:widowControl/>
        <w:numPr>
          <w:ilvl w:val="0"/>
          <w:numId w:val="3"/>
        </w:numPr>
        <w:spacing w:line="276" w:lineRule="auto"/>
        <w:ind w:left="714" w:hanging="357"/>
        <w:jc w:val="both"/>
        <w:rPr>
          <w:rFonts w:ascii="Arial" w:hAnsi="Arial" w:cs="Arial"/>
          <w:i/>
          <w:iCs/>
          <w:sz w:val="22"/>
          <w:szCs w:val="24"/>
          <w:lang w:eastAsia="en-US"/>
        </w:rPr>
      </w:pPr>
      <w:r w:rsidRPr="00B356FD">
        <w:rPr>
          <w:rFonts w:ascii="Arial" w:hAnsi="Arial" w:cs="Arial"/>
          <w:i/>
          <w:iCs/>
          <w:sz w:val="22"/>
          <w:szCs w:val="24"/>
          <w:lang w:eastAsia="en-US"/>
        </w:rPr>
        <w:t xml:space="preserve">Okresný úrad </w:t>
      </w:r>
      <w:r w:rsidRPr="00B356FD">
        <w:rPr>
          <w:rFonts w:ascii="Arial" w:hAnsi="Arial" w:cs="Arial"/>
          <w:bCs/>
          <w:i/>
          <w:iCs/>
          <w:sz w:val="22"/>
          <w:szCs w:val="24"/>
          <w:lang w:eastAsia="en-US"/>
        </w:rPr>
        <w:t>Bratislava</w:t>
      </w:r>
      <w:r w:rsidRPr="00B356FD">
        <w:rPr>
          <w:rFonts w:ascii="Arial" w:hAnsi="Arial" w:cs="Arial"/>
          <w:i/>
          <w:iCs/>
          <w:sz w:val="22"/>
          <w:szCs w:val="24"/>
          <w:lang w:eastAsia="en-US"/>
        </w:rPr>
        <w:t>, Odbor starostlivosti o životné prostredie, ako orgán štátnej správy pre tvorbu a ochranu životného prostredia v zmysle zákona č. 525/2003 Z.z. o štátnej správe starostlivosti o životné prostredie a o zmene a doplnení niektorých zákonov,</w:t>
      </w:r>
    </w:p>
    <w:p w14:paraId="1E02732F" w14:textId="77777777" w:rsidR="00E24C5D" w:rsidRPr="00B356FD" w:rsidRDefault="00E24C5D" w:rsidP="00125BA2">
      <w:pPr>
        <w:widowControl/>
        <w:numPr>
          <w:ilvl w:val="0"/>
          <w:numId w:val="3"/>
        </w:numPr>
        <w:spacing w:line="276" w:lineRule="auto"/>
        <w:ind w:left="714" w:hanging="357"/>
        <w:jc w:val="both"/>
        <w:rPr>
          <w:rFonts w:ascii="Arial" w:hAnsi="Arial" w:cs="Arial"/>
          <w:i/>
          <w:iCs/>
          <w:sz w:val="22"/>
          <w:szCs w:val="24"/>
          <w:lang w:eastAsia="en-US"/>
        </w:rPr>
      </w:pPr>
      <w:r w:rsidRPr="00B356FD">
        <w:rPr>
          <w:rFonts w:ascii="Arial" w:hAnsi="Arial" w:cs="Arial"/>
          <w:i/>
          <w:iCs/>
          <w:sz w:val="22"/>
          <w:szCs w:val="24"/>
          <w:lang w:eastAsia="en-US"/>
        </w:rPr>
        <w:t xml:space="preserve">Okresný úrad </w:t>
      </w:r>
      <w:r w:rsidRPr="00B356FD">
        <w:rPr>
          <w:rFonts w:ascii="Arial" w:hAnsi="Arial" w:cs="Arial"/>
          <w:bCs/>
          <w:i/>
          <w:iCs/>
          <w:sz w:val="22"/>
          <w:szCs w:val="24"/>
          <w:lang w:eastAsia="en-US"/>
        </w:rPr>
        <w:t>Bratislava</w:t>
      </w:r>
      <w:r w:rsidRPr="00B356FD">
        <w:rPr>
          <w:rFonts w:ascii="Arial" w:hAnsi="Arial" w:cs="Arial"/>
          <w:i/>
          <w:iCs/>
          <w:sz w:val="22"/>
          <w:szCs w:val="24"/>
          <w:lang w:eastAsia="en-US"/>
        </w:rPr>
        <w:t>, Odbor cestnej dopravy a pozemných komunikácií,</w:t>
      </w:r>
    </w:p>
    <w:p w14:paraId="5F09A086" w14:textId="77777777" w:rsidR="00E24C5D" w:rsidRPr="00B356FD" w:rsidRDefault="00E24C5D" w:rsidP="00125BA2">
      <w:pPr>
        <w:widowControl/>
        <w:numPr>
          <w:ilvl w:val="0"/>
          <w:numId w:val="3"/>
        </w:numPr>
        <w:spacing w:line="276" w:lineRule="auto"/>
        <w:ind w:left="714" w:hanging="357"/>
        <w:jc w:val="both"/>
        <w:rPr>
          <w:rFonts w:ascii="Arial" w:hAnsi="Arial" w:cs="Arial"/>
          <w:i/>
          <w:iCs/>
          <w:sz w:val="22"/>
          <w:szCs w:val="24"/>
          <w:lang w:eastAsia="en-US"/>
        </w:rPr>
      </w:pPr>
      <w:r w:rsidRPr="00B356FD">
        <w:rPr>
          <w:rFonts w:ascii="Arial" w:hAnsi="Arial" w:cs="Arial"/>
          <w:i/>
          <w:iCs/>
          <w:sz w:val="22"/>
          <w:szCs w:val="24"/>
          <w:lang w:eastAsia="en-US"/>
        </w:rPr>
        <w:t xml:space="preserve">Okresný úrad </w:t>
      </w:r>
      <w:r w:rsidRPr="00B356FD">
        <w:rPr>
          <w:rFonts w:ascii="Arial" w:hAnsi="Arial" w:cs="Arial"/>
          <w:bCs/>
          <w:i/>
          <w:iCs/>
          <w:sz w:val="22"/>
          <w:szCs w:val="24"/>
          <w:lang w:eastAsia="en-US"/>
        </w:rPr>
        <w:t>Bratislava</w:t>
      </w:r>
      <w:r w:rsidRPr="00B356FD">
        <w:rPr>
          <w:rFonts w:ascii="Arial" w:hAnsi="Arial" w:cs="Arial"/>
          <w:i/>
          <w:iCs/>
          <w:sz w:val="22"/>
          <w:szCs w:val="24"/>
          <w:lang w:eastAsia="en-US"/>
        </w:rPr>
        <w:t>, Odbor krízového riadenia,</w:t>
      </w:r>
    </w:p>
    <w:p w14:paraId="0F601557" w14:textId="77777777" w:rsidR="00E24C5D" w:rsidRPr="00B356FD" w:rsidRDefault="00E24C5D" w:rsidP="00125BA2">
      <w:pPr>
        <w:widowControl/>
        <w:numPr>
          <w:ilvl w:val="0"/>
          <w:numId w:val="3"/>
        </w:numPr>
        <w:spacing w:line="276" w:lineRule="auto"/>
        <w:ind w:left="714" w:hanging="357"/>
        <w:jc w:val="both"/>
        <w:rPr>
          <w:rFonts w:ascii="Arial" w:hAnsi="Arial" w:cs="Arial"/>
          <w:i/>
          <w:iCs/>
          <w:sz w:val="22"/>
          <w:szCs w:val="24"/>
          <w:lang w:eastAsia="en-US"/>
        </w:rPr>
      </w:pPr>
      <w:r w:rsidRPr="00B356FD">
        <w:rPr>
          <w:rFonts w:ascii="Arial" w:hAnsi="Arial" w:cs="Arial"/>
          <w:i/>
          <w:iCs/>
          <w:sz w:val="22"/>
          <w:szCs w:val="24"/>
          <w:lang w:eastAsia="en-US"/>
        </w:rPr>
        <w:t xml:space="preserve">Regionálny úrad verejného zdravotníctva, </w:t>
      </w:r>
      <w:r w:rsidRPr="00B356FD">
        <w:rPr>
          <w:rFonts w:ascii="Arial" w:hAnsi="Arial" w:cs="Arial"/>
          <w:bCs/>
          <w:i/>
          <w:iCs/>
          <w:sz w:val="22"/>
          <w:szCs w:val="24"/>
          <w:lang w:eastAsia="en-US"/>
        </w:rPr>
        <w:t>Bratislava,</w:t>
      </w:r>
    </w:p>
    <w:p w14:paraId="741F6A37" w14:textId="03191708" w:rsidR="00E24C5D" w:rsidRPr="00B356FD" w:rsidRDefault="00E24C5D" w:rsidP="00125BA2">
      <w:pPr>
        <w:widowControl/>
        <w:numPr>
          <w:ilvl w:val="0"/>
          <w:numId w:val="3"/>
        </w:numPr>
        <w:spacing w:line="276" w:lineRule="auto"/>
        <w:jc w:val="both"/>
        <w:rPr>
          <w:rFonts w:ascii="Arial" w:hAnsi="Arial" w:cs="Arial"/>
          <w:i/>
          <w:iCs/>
          <w:sz w:val="22"/>
          <w:szCs w:val="22"/>
          <w:lang w:eastAsia="en-US"/>
        </w:rPr>
      </w:pPr>
      <w:r w:rsidRPr="00B356FD">
        <w:rPr>
          <w:rFonts w:ascii="Arial" w:hAnsi="Arial" w:cs="Arial"/>
          <w:bCs/>
          <w:i/>
          <w:iCs/>
          <w:sz w:val="22"/>
          <w:szCs w:val="22"/>
          <w:lang w:eastAsia="en-US"/>
        </w:rPr>
        <w:t>Dopravný úrad, oddelenie ochrany letísk a leteckých pozemných zariadení,</w:t>
      </w:r>
    </w:p>
    <w:p w14:paraId="1FABABF8" w14:textId="77777777" w:rsidR="00125BA2" w:rsidRPr="00B356FD" w:rsidRDefault="00125BA2" w:rsidP="00125BA2">
      <w:pPr>
        <w:widowControl/>
        <w:numPr>
          <w:ilvl w:val="0"/>
          <w:numId w:val="3"/>
        </w:numPr>
        <w:spacing w:line="276" w:lineRule="auto"/>
        <w:ind w:left="714" w:hanging="357"/>
        <w:jc w:val="both"/>
        <w:rPr>
          <w:rFonts w:ascii="Arial" w:hAnsi="Arial" w:cs="Arial"/>
          <w:bCs/>
          <w:i/>
          <w:iCs/>
          <w:sz w:val="22"/>
          <w:szCs w:val="24"/>
          <w:lang w:eastAsia="en-US"/>
        </w:rPr>
      </w:pPr>
      <w:r w:rsidRPr="00B356FD">
        <w:rPr>
          <w:rFonts w:ascii="Arial" w:hAnsi="Arial" w:cs="Arial"/>
          <w:bCs/>
          <w:i/>
          <w:iCs/>
          <w:sz w:val="22"/>
          <w:szCs w:val="24"/>
          <w:lang w:eastAsia="en-US"/>
        </w:rPr>
        <w:t>Krajské riaditeľstvo Policajného zboru v Bratislave,</w:t>
      </w:r>
    </w:p>
    <w:p w14:paraId="56607127" w14:textId="77777777" w:rsidR="00125BA2" w:rsidRPr="00B356FD" w:rsidRDefault="00125BA2" w:rsidP="00125BA2">
      <w:pPr>
        <w:pStyle w:val="Odsekzoznamu"/>
        <w:numPr>
          <w:ilvl w:val="0"/>
          <w:numId w:val="3"/>
        </w:numPr>
        <w:rPr>
          <w:rFonts w:ascii="Arial" w:hAnsi="Arial" w:cs="Arial"/>
          <w:i/>
          <w:iCs/>
          <w:sz w:val="22"/>
          <w:szCs w:val="22"/>
        </w:rPr>
      </w:pPr>
      <w:r w:rsidRPr="00B356FD">
        <w:rPr>
          <w:rFonts w:ascii="Arial" w:hAnsi="Arial" w:cs="Arial"/>
          <w:i/>
          <w:iCs/>
          <w:sz w:val="22"/>
          <w:szCs w:val="22"/>
        </w:rPr>
        <w:t>Krajské riaditeľstvo Hasičského a záchranného zboru, Bratislava.</w:t>
      </w:r>
    </w:p>
    <w:p w14:paraId="39E43AEF" w14:textId="77777777" w:rsidR="00E24C5D" w:rsidRPr="004A7717" w:rsidRDefault="00E24C5D" w:rsidP="008C6F96">
      <w:pPr>
        <w:pStyle w:val="Nadpis2"/>
      </w:pPr>
      <w:r w:rsidRPr="004A7717">
        <w:t xml:space="preserve">   </w:t>
      </w:r>
      <w:bookmarkStart w:id="137" w:name="_Toc495992955"/>
      <w:bookmarkStart w:id="138" w:name="_Toc93916820"/>
      <w:r w:rsidRPr="004A7717">
        <w:t>Povoľujúci orgán</w:t>
      </w:r>
      <w:bookmarkEnd w:id="135"/>
      <w:bookmarkEnd w:id="136"/>
      <w:bookmarkEnd w:id="137"/>
      <w:bookmarkEnd w:id="138"/>
    </w:p>
    <w:p w14:paraId="03B5BA7F" w14:textId="77777777" w:rsidR="00E24C5D" w:rsidRPr="005012F1" w:rsidRDefault="00E24C5D" w:rsidP="00723ECA">
      <w:pPr>
        <w:pStyle w:val="A-Text11"/>
      </w:pPr>
      <w:r w:rsidRPr="005012F1">
        <w:t xml:space="preserve">Povoľujúcim orgánom, v zmysle zákona č. 24/2006 Z.z. o posudzovaní vplyvov na životné prostredie, je obec alebo orgán štátnej správy príslušný na rozhodovanie v povoľovacom konaní.   </w:t>
      </w:r>
    </w:p>
    <w:p w14:paraId="6DC03B2D" w14:textId="77777777" w:rsidR="00E24C5D" w:rsidRPr="005012F1" w:rsidRDefault="00E24C5D" w:rsidP="00723ECA">
      <w:pPr>
        <w:pStyle w:val="A-Text11"/>
      </w:pPr>
      <w:r w:rsidRPr="005012F1">
        <w:t xml:space="preserve">V zmysle zákona č. 50/1976 Zb. o územnom plánovaní a stavebnom poriadku </w:t>
      </w:r>
      <w:r w:rsidRPr="005012F1">
        <w:rPr>
          <w:i/>
          <w:iCs/>
        </w:rPr>
        <w:t>(stavebný zákon)</w:t>
      </w:r>
      <w:r w:rsidRPr="005012F1">
        <w:t xml:space="preserve"> v znení neskorších predpisov sa pripravovaná stavba môže realizovať iba podľa stavebného povolenia stavebného úradu. </w:t>
      </w:r>
    </w:p>
    <w:p w14:paraId="02AB3186" w14:textId="0C7F5723" w:rsidR="00E24C5D" w:rsidRPr="005012F1" w:rsidRDefault="00E24C5D" w:rsidP="00723ECA">
      <w:pPr>
        <w:pStyle w:val="A-Text11"/>
        <w:rPr>
          <w:szCs w:val="24"/>
        </w:rPr>
      </w:pPr>
      <w:r w:rsidRPr="005012F1">
        <w:rPr>
          <w:szCs w:val="24"/>
        </w:rPr>
        <w:t xml:space="preserve">Stavebným úradom podľa zákona č. 103/2003 Z. z., ktorým sa mení a dopĺňa zákon č.  50/1976 Zb. (117, ods. 1) je obec. Mestské zastupiteľstvo prenieslo kompetencie stavebného úradu na mestské časti – </w:t>
      </w:r>
      <w:r w:rsidRPr="005012F1">
        <w:rPr>
          <w:b/>
          <w:bCs/>
          <w:i/>
          <w:iCs/>
          <w:szCs w:val="24"/>
        </w:rPr>
        <w:t xml:space="preserve">stavebným úradom je  Mestská časť Bratislava – </w:t>
      </w:r>
      <w:r w:rsidR="00723ECA" w:rsidRPr="005012F1">
        <w:rPr>
          <w:b/>
          <w:bCs/>
          <w:i/>
          <w:iCs/>
          <w:szCs w:val="24"/>
        </w:rPr>
        <w:t>Ružinov</w:t>
      </w:r>
      <w:r w:rsidRPr="005012F1">
        <w:rPr>
          <w:b/>
          <w:bCs/>
          <w:i/>
          <w:iCs/>
          <w:szCs w:val="24"/>
        </w:rPr>
        <w:t>.</w:t>
      </w:r>
      <w:r w:rsidRPr="005012F1">
        <w:rPr>
          <w:szCs w:val="24"/>
        </w:rPr>
        <w:t xml:space="preserve"> </w:t>
      </w:r>
    </w:p>
    <w:p w14:paraId="7C97A509" w14:textId="5BE020B0" w:rsidR="00E24C5D" w:rsidRPr="005012F1" w:rsidRDefault="00E24C5D" w:rsidP="00723ECA">
      <w:pPr>
        <w:pStyle w:val="A-Text11"/>
        <w:rPr>
          <w:szCs w:val="24"/>
        </w:rPr>
      </w:pPr>
      <w:r w:rsidRPr="005012F1">
        <w:rPr>
          <w:szCs w:val="24"/>
        </w:rPr>
        <w:t xml:space="preserve">Zákon č. 364 z 13.mája 2004 o vodách a o zmene zákona Slovenskej národnej rady č. 372/1990 Zb. o priestupkoch v znení neskorších predpisov </w:t>
      </w:r>
      <w:r w:rsidRPr="005012F1">
        <w:rPr>
          <w:i/>
          <w:iCs/>
          <w:szCs w:val="24"/>
        </w:rPr>
        <w:t>(vodný zákon)</w:t>
      </w:r>
      <w:r w:rsidRPr="005012F1">
        <w:rPr>
          <w:szCs w:val="24"/>
        </w:rPr>
        <w:t xml:space="preserve"> v §61 písm. c) určuje, že špeciálnym stavebným úradom  vo veciach vodných stavieb je </w:t>
      </w:r>
      <w:r w:rsidRPr="005012F1">
        <w:rPr>
          <w:b/>
          <w:i/>
          <w:szCs w:val="24"/>
        </w:rPr>
        <w:t>Okresný  úrad Bratislava, Odbor starostlivosti o životné prostredie</w:t>
      </w:r>
      <w:r w:rsidRPr="005012F1">
        <w:rPr>
          <w:szCs w:val="24"/>
        </w:rPr>
        <w:t xml:space="preserve">. </w:t>
      </w:r>
    </w:p>
    <w:p w14:paraId="60A355C9" w14:textId="77777777" w:rsidR="00E24C5D" w:rsidRPr="004A7717" w:rsidRDefault="00E24C5D" w:rsidP="008C6F96">
      <w:pPr>
        <w:pStyle w:val="Nadpis2"/>
      </w:pPr>
      <w:bookmarkStart w:id="139" w:name="_Toc80536522"/>
      <w:bookmarkStart w:id="140" w:name="_Toc132078672"/>
      <w:r w:rsidRPr="004A7717">
        <w:t xml:space="preserve">   </w:t>
      </w:r>
      <w:bookmarkStart w:id="141" w:name="_Toc495992956"/>
      <w:bookmarkStart w:id="142" w:name="_Toc93916821"/>
      <w:r w:rsidRPr="004A7717">
        <w:t>Rezortný orgán</w:t>
      </w:r>
      <w:bookmarkEnd w:id="139"/>
      <w:bookmarkEnd w:id="140"/>
      <w:bookmarkEnd w:id="141"/>
      <w:bookmarkEnd w:id="142"/>
    </w:p>
    <w:p w14:paraId="751EF92D" w14:textId="77777777" w:rsidR="00E24C5D" w:rsidRPr="005012F1" w:rsidRDefault="00E24C5D" w:rsidP="00E24C5D">
      <w:pPr>
        <w:widowControl/>
        <w:spacing w:before="120"/>
        <w:jc w:val="both"/>
        <w:rPr>
          <w:rFonts w:ascii="Arial" w:hAnsi="Arial" w:cs="Arial"/>
          <w:sz w:val="22"/>
          <w:szCs w:val="24"/>
          <w:lang w:eastAsia="en-US"/>
        </w:rPr>
      </w:pPr>
      <w:bookmarkStart w:id="143" w:name="_Toc132078673"/>
      <w:r w:rsidRPr="005012F1">
        <w:rPr>
          <w:rFonts w:ascii="Arial" w:hAnsi="Arial" w:cs="Arial"/>
          <w:sz w:val="22"/>
          <w:szCs w:val="24"/>
          <w:lang w:eastAsia="en-US"/>
        </w:rPr>
        <w:t>Rezortným orgánom je v zmysle zákona NR SR č. 24/2006 Z. z. je ústredný orgán štátnej správy, do ktorého pôsobnosti patrí navrhovaná činnosť.</w:t>
      </w:r>
    </w:p>
    <w:p w14:paraId="5EB8D478" w14:textId="13BDA0D7" w:rsidR="00E570DD" w:rsidRPr="005012F1" w:rsidRDefault="00E570DD" w:rsidP="00E570DD">
      <w:pPr>
        <w:widowControl/>
        <w:spacing w:before="120"/>
        <w:jc w:val="both"/>
        <w:rPr>
          <w:rFonts w:ascii="Arial" w:hAnsi="Arial" w:cs="Arial"/>
          <w:sz w:val="22"/>
          <w:szCs w:val="22"/>
          <w:lang w:eastAsia="en-US"/>
        </w:rPr>
      </w:pPr>
      <w:r w:rsidRPr="005012F1">
        <w:rPr>
          <w:rFonts w:ascii="Arial" w:hAnsi="Arial" w:cs="Arial"/>
          <w:sz w:val="22"/>
          <w:szCs w:val="22"/>
          <w:lang w:eastAsia="en-US"/>
        </w:rPr>
        <w:t xml:space="preserve">Navrhovaná činnosť je zaradená vo väzbe na  prílohu č. 8 k zákonu č. 24/2006 Z.z. o posudzovaní vplyvov na životné prostredie do  kapitoly  č. 2, položka č. 14, kapitola č. 9,  položky  16a) a 16b). Vzhľadom na prekročenie prahovej hodnoty  počtu  parkovacích stojísk v položke  9/16b) v časti </w:t>
      </w:r>
      <w:r w:rsidR="00723ECA" w:rsidRPr="005012F1">
        <w:rPr>
          <w:rFonts w:ascii="Arial" w:hAnsi="Arial" w:cs="Arial"/>
          <w:sz w:val="22"/>
          <w:szCs w:val="22"/>
          <w:lang w:eastAsia="en-US"/>
        </w:rPr>
        <w:t>B</w:t>
      </w:r>
      <w:r w:rsidRPr="005012F1">
        <w:rPr>
          <w:rFonts w:ascii="Arial" w:hAnsi="Arial" w:cs="Arial"/>
          <w:sz w:val="22"/>
          <w:szCs w:val="22"/>
          <w:lang w:eastAsia="en-US"/>
        </w:rPr>
        <w:t xml:space="preserve">  je potrebné absolvovať </w:t>
      </w:r>
      <w:r w:rsidR="00723ECA" w:rsidRPr="005012F1">
        <w:rPr>
          <w:rFonts w:ascii="Arial" w:hAnsi="Arial" w:cs="Arial"/>
          <w:sz w:val="22"/>
          <w:szCs w:val="22"/>
          <w:lang w:eastAsia="en-US"/>
        </w:rPr>
        <w:t>zisťovacie konanie</w:t>
      </w:r>
      <w:r w:rsidRPr="005012F1">
        <w:rPr>
          <w:rFonts w:ascii="Arial" w:hAnsi="Arial" w:cs="Arial"/>
          <w:sz w:val="22"/>
          <w:szCs w:val="22"/>
          <w:lang w:eastAsia="en-US"/>
        </w:rPr>
        <w:t xml:space="preserve">. </w:t>
      </w:r>
    </w:p>
    <w:p w14:paraId="7801ECE7" w14:textId="15C3B1AF" w:rsidR="00E24C5D" w:rsidRPr="005012F1" w:rsidRDefault="00E24C5D" w:rsidP="00E24C5D">
      <w:pPr>
        <w:pStyle w:val="NormalArial"/>
        <w:spacing w:before="120"/>
        <w:rPr>
          <w:szCs w:val="24"/>
        </w:rPr>
      </w:pPr>
      <w:r w:rsidRPr="005012F1">
        <w:rPr>
          <w:szCs w:val="24"/>
        </w:rPr>
        <w:t xml:space="preserve">Pre tieto činnosti sú rezortnými orgánmi:  </w:t>
      </w:r>
    </w:p>
    <w:p w14:paraId="7CEA51A6" w14:textId="77777777" w:rsidR="00E24C5D" w:rsidRPr="005012F1" w:rsidRDefault="00E24C5D" w:rsidP="00E24C5D">
      <w:pPr>
        <w:pStyle w:val="NormalArial"/>
        <w:ind w:left="3119" w:hanging="851"/>
        <w:rPr>
          <w:b/>
          <w:bCs/>
          <w:i/>
          <w:iCs/>
          <w:szCs w:val="24"/>
        </w:rPr>
      </w:pPr>
      <w:r w:rsidRPr="005012F1">
        <w:rPr>
          <w:b/>
          <w:bCs/>
          <w:i/>
          <w:iCs/>
          <w:szCs w:val="24"/>
        </w:rPr>
        <w:t xml:space="preserve">Ministerstvo hospodárstva SR </w:t>
      </w:r>
    </w:p>
    <w:p w14:paraId="444B57B3" w14:textId="6CD0226F" w:rsidR="00E24C5D" w:rsidRPr="005012F1" w:rsidRDefault="00E24C5D" w:rsidP="00E24C5D">
      <w:pPr>
        <w:pStyle w:val="NormalArial"/>
        <w:ind w:left="3060" w:hanging="792"/>
        <w:jc w:val="left"/>
        <w:rPr>
          <w:b/>
          <w:bCs/>
          <w:i/>
          <w:iCs/>
          <w:szCs w:val="24"/>
        </w:rPr>
      </w:pPr>
      <w:r w:rsidRPr="005012F1">
        <w:rPr>
          <w:b/>
          <w:bCs/>
          <w:i/>
          <w:iCs/>
          <w:szCs w:val="24"/>
        </w:rPr>
        <w:t>Ministerstvo dopravy a  výstavby SR</w:t>
      </w:r>
    </w:p>
    <w:p w14:paraId="07C5DD5C" w14:textId="77777777" w:rsidR="00723ECA" w:rsidRPr="004A7717" w:rsidRDefault="00723ECA" w:rsidP="00E24C5D">
      <w:pPr>
        <w:pStyle w:val="NormalArial"/>
        <w:ind w:left="3060" w:hanging="792"/>
        <w:jc w:val="left"/>
        <w:rPr>
          <w:b/>
          <w:bCs/>
          <w:i/>
          <w:iCs/>
          <w:color w:val="FF0000"/>
          <w:szCs w:val="24"/>
        </w:rPr>
      </w:pPr>
    </w:p>
    <w:bookmarkEnd w:id="124"/>
    <w:p w14:paraId="19703463" w14:textId="53C425C8" w:rsidR="00E24C5D" w:rsidRPr="004A7717" w:rsidRDefault="00E24C5D" w:rsidP="008C6F96">
      <w:pPr>
        <w:pStyle w:val="Nadpis2"/>
      </w:pPr>
      <w:r w:rsidRPr="004A7717">
        <w:t xml:space="preserve">   </w:t>
      </w:r>
      <w:bookmarkStart w:id="144" w:name="_Toc495992957"/>
      <w:bookmarkStart w:id="145" w:name="_Toc93916822"/>
      <w:r w:rsidRPr="004A7717">
        <w:t>Druh požadovaného povolenia navrhovanej činnosti podľa osobitných predpisov</w:t>
      </w:r>
      <w:bookmarkEnd w:id="143"/>
      <w:bookmarkEnd w:id="144"/>
      <w:bookmarkEnd w:id="145"/>
    </w:p>
    <w:p w14:paraId="009682F3" w14:textId="76FB140F" w:rsidR="00E24C5D" w:rsidRPr="008A60D4" w:rsidRDefault="00E24C5D" w:rsidP="00723ECA">
      <w:pPr>
        <w:pStyle w:val="A-Text11"/>
      </w:pPr>
      <w:r w:rsidRPr="008A60D4">
        <w:t xml:space="preserve">Prvým povolením, ktoré bude potrebné pre realizáciu navrhovanej činnosti je územné rozhodnutie o umiestnení stavby  v zmysle zákona č. 50/1976 Zb. o územnom plánovaní </w:t>
      </w:r>
      <w:r w:rsidRPr="008A60D4">
        <w:lastRenderedPageBreak/>
        <w:t xml:space="preserve">a stavebnom poriadku </w:t>
      </w:r>
      <w:r w:rsidRPr="008A60D4">
        <w:rPr>
          <w:i/>
          <w:iCs/>
        </w:rPr>
        <w:t>(stavebný zákon)</w:t>
      </w:r>
      <w:r w:rsidRPr="008A60D4">
        <w:t xml:space="preserve"> v znení neskorších predpisov. Stavby podľa §48 stavebného zákona možno uskutočňovať len v súlade s overeným projektom a stavebným povolením a musia spĺňať základné požiadavky na stavby.</w:t>
      </w:r>
    </w:p>
    <w:p w14:paraId="292A549C" w14:textId="77777777" w:rsidR="00E24C5D" w:rsidRPr="004A7717" w:rsidRDefault="00E24C5D" w:rsidP="008C6F96">
      <w:pPr>
        <w:pStyle w:val="Nadpis2"/>
      </w:pPr>
      <w:bookmarkStart w:id="146" w:name="_Toc80536523"/>
      <w:bookmarkStart w:id="147" w:name="_Toc132078674"/>
      <w:r w:rsidRPr="004A7717">
        <w:t xml:space="preserve">   </w:t>
      </w:r>
      <w:bookmarkStart w:id="148" w:name="_Toc495992958"/>
      <w:bookmarkStart w:id="149" w:name="_Toc93916823"/>
      <w:r w:rsidRPr="004A7717">
        <w:t>Vyjadrenie o vplyvoch navrhovanej činnosti presahujúcich štátne hranice</w:t>
      </w:r>
      <w:bookmarkEnd w:id="146"/>
      <w:bookmarkEnd w:id="147"/>
      <w:bookmarkEnd w:id="148"/>
      <w:bookmarkEnd w:id="149"/>
    </w:p>
    <w:p w14:paraId="1F9AB808" w14:textId="77777777" w:rsidR="00475BAD" w:rsidRDefault="00E24C5D" w:rsidP="003D1EEE">
      <w:pPr>
        <w:pStyle w:val="A-Text11"/>
      </w:pPr>
      <w:r w:rsidRPr="008A60D4">
        <w:t xml:space="preserve">Zákon č. 24/2006 Z.z. o posudzovaní vplyvov na životné prostredie v znení neskorších predpisov v Prílohe č. 13 uvádza zoznam činností podliehajúcich medzinárodnému posudzovaniu z hľadiska ich vplyvov na životné prostredie, presahujúce štátne hranice.  Navrhovaná činnosť nie je uvedená v Prílohe č. 13 a nie je charakterom ani rozsahom taká, aby jej vplyv na životné prostredie mohol presahovať štátne hranice. </w:t>
      </w:r>
      <w:bookmarkStart w:id="150" w:name="_Toc80536524"/>
      <w:bookmarkStart w:id="151" w:name="_Toc132078675"/>
      <w:bookmarkStart w:id="152" w:name="_Toc495992959"/>
    </w:p>
    <w:p w14:paraId="368DC6C3" w14:textId="755A2DC4" w:rsidR="00723ECA" w:rsidRPr="004A7717" w:rsidRDefault="00723ECA" w:rsidP="003D1EEE">
      <w:pPr>
        <w:pStyle w:val="A-Text11"/>
        <w:rPr>
          <w:b/>
          <w:bCs/>
          <w:color w:val="FF0000"/>
          <w:kern w:val="32"/>
          <w:sz w:val="32"/>
          <w:szCs w:val="32"/>
        </w:rPr>
      </w:pPr>
      <w:r w:rsidRPr="004A7717">
        <w:rPr>
          <w:color w:val="FF0000"/>
        </w:rPr>
        <w:br w:type="page"/>
      </w:r>
    </w:p>
    <w:p w14:paraId="4EAEDDFC" w14:textId="63F12E65" w:rsidR="00E65CA9" w:rsidRPr="0094519E" w:rsidRDefault="00E65CA9" w:rsidP="006D764F">
      <w:pPr>
        <w:pStyle w:val="Nadpis1"/>
        <w:shd w:val="clear" w:color="auto" w:fill="auto"/>
        <w:spacing w:before="120" w:after="0"/>
        <w:ind w:left="720" w:hanging="720"/>
        <w:jc w:val="left"/>
        <w:rPr>
          <w:lang w:val="sk-SK"/>
        </w:rPr>
      </w:pPr>
      <w:bookmarkStart w:id="153" w:name="_Toc93916824"/>
      <w:r w:rsidRPr="0094519E">
        <w:rPr>
          <w:lang w:val="sk-SK"/>
        </w:rPr>
        <w:lastRenderedPageBreak/>
        <w:t>Základné  informácie  o súčasnom stave životného prostredia dotknutého územia</w:t>
      </w:r>
      <w:bookmarkEnd w:id="150"/>
      <w:bookmarkEnd w:id="151"/>
      <w:bookmarkEnd w:id="152"/>
      <w:bookmarkEnd w:id="153"/>
    </w:p>
    <w:p w14:paraId="5F33A7DD" w14:textId="27F4EFCF" w:rsidR="00FA68C0" w:rsidRPr="0094519E" w:rsidRDefault="00FA68C0" w:rsidP="00DC5792">
      <w:pPr>
        <w:pStyle w:val="A-Text11"/>
        <w:rPr>
          <w:b/>
          <w:bCs/>
        </w:rPr>
      </w:pPr>
      <w:r w:rsidRPr="0094519E">
        <w:t>Širšie dotknuté územie predstavuje územie hlavného mesta Slovenskej republiky, Bratislavy</w:t>
      </w:r>
      <w:r w:rsidR="00700292" w:rsidRPr="0094519E">
        <w:t xml:space="preserve"> a bližšie </w:t>
      </w:r>
      <w:r w:rsidRPr="0094519E">
        <w:t xml:space="preserve">Mestská časť Bratislava – </w:t>
      </w:r>
      <w:r w:rsidR="00DC5792" w:rsidRPr="0094519E">
        <w:t>Ružinov</w:t>
      </w:r>
      <w:r w:rsidRPr="0094519E">
        <w:t xml:space="preserve">. Celkový stav životného prostredia je priamo úmerný prírodným danostiam  a súčasnému stavu socioekonomického rozvoja mesta.  </w:t>
      </w:r>
    </w:p>
    <w:p w14:paraId="5BBBC1EB" w14:textId="682F7C4D" w:rsidR="00FA68C0" w:rsidRPr="0094519E" w:rsidRDefault="00FA68C0" w:rsidP="00DC5792">
      <w:pPr>
        <w:pStyle w:val="A-Text11"/>
        <w:rPr>
          <w:b/>
          <w:bCs/>
        </w:rPr>
      </w:pPr>
      <w:r w:rsidRPr="0094519E">
        <w:t xml:space="preserve">Priamo dotknuté územie výstavbou je lokalita výstavby definovaná dotknutými parcelami. </w:t>
      </w:r>
    </w:p>
    <w:p w14:paraId="4D0B3F25" w14:textId="54C54296" w:rsidR="00FA68C0" w:rsidRPr="0094519E" w:rsidRDefault="00FA68C0" w:rsidP="00DC5792">
      <w:pPr>
        <w:pStyle w:val="A-Text11"/>
      </w:pPr>
      <w:r w:rsidRPr="0094519E">
        <w:t xml:space="preserve">Súčasťou </w:t>
      </w:r>
      <w:r w:rsidR="008A60D4" w:rsidRPr="0094519E">
        <w:t xml:space="preserve"> predkladaného zámeru </w:t>
      </w:r>
      <w:r w:rsidR="00BF07B3" w:rsidRPr="0094519E">
        <w:t xml:space="preserve">sú </w:t>
      </w:r>
      <w:r w:rsidRPr="0094519E">
        <w:t xml:space="preserve">expertízne posudky – štúdie, ktoré </w:t>
      </w:r>
      <w:r w:rsidR="00BF07B3" w:rsidRPr="0094519E">
        <w:t>s</w:t>
      </w:r>
      <w:r w:rsidRPr="0094519E">
        <w:t>ú priložené k</w:t>
      </w:r>
      <w:r w:rsidR="00BF07B3" w:rsidRPr="0094519E">
        <w:t> zámeru pre zisťovacie konanie</w:t>
      </w:r>
      <w:r w:rsidRPr="0094519E">
        <w:t>. Každá zo štúdií hodnot</w:t>
      </w:r>
      <w:r w:rsidR="00BF07B3" w:rsidRPr="0094519E">
        <w:t>í</w:t>
      </w:r>
      <w:r w:rsidRPr="0094519E">
        <w:t xml:space="preserve"> predpokladané </w:t>
      </w:r>
      <w:r w:rsidR="00566433" w:rsidRPr="0094519E">
        <w:t xml:space="preserve">kumulatívne </w:t>
      </w:r>
      <w:r w:rsidRPr="0094519E">
        <w:t>vplyvy navrhovanej činnosti zo svojho pohľadu a vymedz</w:t>
      </w:r>
      <w:r w:rsidR="0094519E" w:rsidRPr="0094519E">
        <w:t>uje</w:t>
      </w:r>
      <w:r w:rsidRPr="0094519E">
        <w:t xml:space="preserve"> predpokladaný dosah hodnoteného vplyvu, teda dotknuté územie navrhovanou činnosťou.  </w:t>
      </w:r>
    </w:p>
    <w:p w14:paraId="4571BC6B" w14:textId="4F06CEA3" w:rsidR="00E65CA9" w:rsidRPr="0094519E" w:rsidRDefault="00E65CA9" w:rsidP="008C6F96">
      <w:pPr>
        <w:pStyle w:val="Nadpis2"/>
      </w:pPr>
      <w:bookmarkStart w:id="154" w:name="_Toc80536525"/>
      <w:bookmarkStart w:id="155" w:name="_Toc132078676"/>
      <w:bookmarkStart w:id="156" w:name="_Toc488343979"/>
      <w:bookmarkStart w:id="157" w:name="_Toc495992960"/>
      <w:bookmarkStart w:id="158" w:name="_Toc93916825"/>
      <w:bookmarkStart w:id="159" w:name="_Toc80536530"/>
      <w:bookmarkStart w:id="160" w:name="_Toc132078681"/>
      <w:bookmarkStart w:id="161" w:name="_Toc80536529"/>
      <w:bookmarkStart w:id="162" w:name="_Toc132078680"/>
      <w:bookmarkStart w:id="163" w:name="_Toc80536528"/>
      <w:bookmarkStart w:id="164" w:name="_Toc132078679"/>
      <w:bookmarkStart w:id="165" w:name="_Toc197699543"/>
      <w:bookmarkStart w:id="166" w:name="_Toc205740671"/>
      <w:r w:rsidRPr="0094519E">
        <w:t>Charakteristika prírodného prostredia vrátane chránených území</w:t>
      </w:r>
      <w:bookmarkEnd w:id="154"/>
      <w:bookmarkEnd w:id="155"/>
      <w:bookmarkEnd w:id="156"/>
      <w:bookmarkEnd w:id="157"/>
      <w:bookmarkEnd w:id="158"/>
    </w:p>
    <w:p w14:paraId="1A9DD3BB" w14:textId="77777777" w:rsidR="00DC5792" w:rsidRPr="0094519E" w:rsidRDefault="00DC5792" w:rsidP="00DC5792">
      <w:pPr>
        <w:spacing w:before="120"/>
        <w:rPr>
          <w:rFonts w:ascii="Arial" w:hAnsi="Arial" w:cs="Arial"/>
          <w:b/>
          <w:iCs/>
          <w:sz w:val="22"/>
          <w:szCs w:val="22"/>
        </w:rPr>
      </w:pPr>
      <w:r w:rsidRPr="0094519E">
        <w:rPr>
          <w:rFonts w:ascii="Arial" w:hAnsi="Arial" w:cs="Arial"/>
          <w:b/>
          <w:iCs/>
          <w:sz w:val="22"/>
          <w:szCs w:val="22"/>
        </w:rPr>
        <w:t xml:space="preserve">Reliéf a horninové prostredie </w:t>
      </w:r>
    </w:p>
    <w:p w14:paraId="33D07398" w14:textId="77777777" w:rsidR="00DC5792" w:rsidRPr="0094519E" w:rsidRDefault="00DC5792" w:rsidP="00105784">
      <w:pPr>
        <w:pStyle w:val="A-Text11"/>
        <w:rPr>
          <w:i/>
          <w:iCs/>
          <w:u w:val="single"/>
        </w:rPr>
      </w:pPr>
      <w:r w:rsidRPr="0094519E">
        <w:rPr>
          <w:i/>
          <w:iCs/>
          <w:u w:val="single"/>
        </w:rPr>
        <w:t>Geomorfologické pomery</w:t>
      </w:r>
    </w:p>
    <w:p w14:paraId="5EEF4CB5" w14:textId="77777777" w:rsidR="00DC5792" w:rsidRPr="0094519E" w:rsidRDefault="00DC5792" w:rsidP="00105784">
      <w:pPr>
        <w:pStyle w:val="A-Text11"/>
        <w:rPr>
          <w:spacing w:val="2"/>
        </w:rPr>
      </w:pPr>
      <w:r w:rsidRPr="0094519E">
        <w:rPr>
          <w:spacing w:val="2"/>
        </w:rPr>
        <w:t>Záujmové územie sa nachádza v meste Bratislava a jeho časti situovanej v Podunajskej rovine. Podľa geomorfologického členenia SR (Mazúr, E., Lukniš, M., in Atlas krajiny SR, 2002) sa záujmové územie nachádza v sústave Alpsko-Himalájskej, podsústave Panónska panva, provincii Západopanónska panva, subprovincii Malá Dunajská kotlina, oblasti Podunajská nížina a celku Podunajská rovina.</w:t>
      </w:r>
    </w:p>
    <w:p w14:paraId="72B33A42" w14:textId="3C6FCC3F" w:rsidR="00DC5792" w:rsidRPr="0094519E" w:rsidRDefault="00DC5792" w:rsidP="00DC5792">
      <w:pPr>
        <w:spacing w:before="120"/>
        <w:jc w:val="center"/>
        <w:rPr>
          <w:rFonts w:ascii="Arial" w:hAnsi="Arial" w:cs="Arial"/>
          <w:spacing w:val="2"/>
          <w:sz w:val="22"/>
          <w:szCs w:val="22"/>
        </w:rPr>
      </w:pPr>
      <w:r w:rsidRPr="0094519E">
        <w:rPr>
          <w:rFonts w:ascii="Arial" w:hAnsi="Arial" w:cs="Arial"/>
          <w:noProof/>
          <w:spacing w:val="2"/>
          <w:sz w:val="22"/>
          <w:szCs w:val="22"/>
        </w:rPr>
        <w:drawing>
          <wp:inline distT="0" distB="0" distL="0" distR="0" wp14:anchorId="769DB10A" wp14:editId="563DFC3D">
            <wp:extent cx="5759653" cy="3805411"/>
            <wp:effectExtent l="19050" t="19050" r="12700" b="24130"/>
            <wp:docPr id="18" name="Obrázo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9397" cy="3811849"/>
                    </a:xfrm>
                    <a:prstGeom prst="rect">
                      <a:avLst/>
                    </a:prstGeom>
                    <a:noFill/>
                    <a:ln w="12700">
                      <a:solidFill>
                        <a:schemeClr val="tx1"/>
                      </a:solidFill>
                    </a:ln>
                  </pic:spPr>
                </pic:pic>
              </a:graphicData>
            </a:graphic>
          </wp:inline>
        </w:drawing>
      </w:r>
    </w:p>
    <w:p w14:paraId="581CE09D" w14:textId="7E72FBA9" w:rsidR="00105784" w:rsidRPr="00AA047F" w:rsidRDefault="00105784" w:rsidP="00105784">
      <w:pPr>
        <w:pStyle w:val="A-Text11"/>
        <w:jc w:val="center"/>
        <w:rPr>
          <w:spacing w:val="2"/>
          <w:sz w:val="18"/>
          <w:szCs w:val="18"/>
        </w:rPr>
      </w:pPr>
      <w:r w:rsidRPr="00AA047F">
        <w:rPr>
          <w:spacing w:val="2"/>
          <w:sz w:val="18"/>
          <w:szCs w:val="18"/>
        </w:rPr>
        <w:t>Obr. III.1.1: Geomorfologické členenie v záujmovom území Bratislava</w:t>
      </w:r>
    </w:p>
    <w:p w14:paraId="60CEEA30" w14:textId="0BE80F60" w:rsidR="00DC5792" w:rsidRPr="0094519E" w:rsidRDefault="00DC5792" w:rsidP="0094519E">
      <w:pPr>
        <w:pStyle w:val="A-Text11"/>
        <w:spacing w:before="0" w:line="240" w:lineRule="auto"/>
        <w:ind w:firstLine="0"/>
        <w:jc w:val="center"/>
        <w:rPr>
          <w:i/>
          <w:iCs/>
          <w:spacing w:val="2"/>
          <w:sz w:val="18"/>
          <w:szCs w:val="18"/>
        </w:rPr>
      </w:pPr>
      <w:r w:rsidRPr="0094519E">
        <w:rPr>
          <w:i/>
          <w:iCs/>
          <w:spacing w:val="2"/>
          <w:sz w:val="18"/>
          <w:szCs w:val="18"/>
        </w:rPr>
        <w:t>Zdroj: Mapa geomorfologického členenia Slovenska, M 1:500 000, Mazúr, Lukniš, 1986, in Atlas krajiny SR, 2002</w:t>
      </w:r>
    </w:p>
    <w:p w14:paraId="1296182A" w14:textId="77777777" w:rsidR="0094519E" w:rsidRPr="0094519E" w:rsidRDefault="0094519E" w:rsidP="0094519E">
      <w:pPr>
        <w:pStyle w:val="A-Text11"/>
        <w:rPr>
          <w:spacing w:val="2"/>
        </w:rPr>
      </w:pPr>
      <w:r w:rsidRPr="0094519E">
        <w:lastRenderedPageBreak/>
        <w:t xml:space="preserve">Predmetná lokalita patrí do Podunajskej roviny, pričom toto územie má charakter reliéfu </w:t>
      </w:r>
      <w:r w:rsidRPr="0094519E">
        <w:rPr>
          <w:spacing w:val="2"/>
        </w:rPr>
        <w:t>rovinný, plochý reliéf, s nepatrným uplatnením litológie a s priemernou nadmorskou výškou cca 132 m n. m. V rámci širšieho územia malo dlhodobo na charakter reliéfu územia významný vplyv pôsobenie toku Dunaj, ktorý modeloval sedimentárnu stavbu územia. Záujmové územie sa nachádza v území fluviálnych sedimentov nív.</w:t>
      </w:r>
    </w:p>
    <w:p w14:paraId="032A4FD7" w14:textId="77777777" w:rsidR="0094519E" w:rsidRPr="0094519E" w:rsidRDefault="0094519E" w:rsidP="0094519E">
      <w:pPr>
        <w:pStyle w:val="A-Text11"/>
        <w:rPr>
          <w:bCs/>
        </w:rPr>
      </w:pPr>
      <w:r w:rsidRPr="0094519E">
        <w:rPr>
          <w:bCs/>
        </w:rPr>
        <w:t xml:space="preserve">Podľa </w:t>
      </w:r>
      <w:r w:rsidRPr="0094519E">
        <w:rPr>
          <w:spacing w:val="2"/>
        </w:rPr>
        <w:t xml:space="preserve">základného geomorfologického rozdelenia SR záujmové územie patrí do negatívnej morfoštruktúry Panónskej panvy, kam patria mladé, poklesávajúce morfoštruktúry s agradáciou. </w:t>
      </w:r>
      <w:r w:rsidRPr="0094519E">
        <w:rPr>
          <w:bCs/>
        </w:rPr>
        <w:t>Podľa základných typov erózno-denudačného reliéfu ide v záujmovom území o reliéf rovín a nív. Širšie záujmové územie sa nachádza v mieste vybraných tvarov reliéfu, ktorými sú recentné agradačné valy.</w:t>
      </w:r>
    </w:p>
    <w:p w14:paraId="2E29A9B9" w14:textId="77777777" w:rsidR="00DC5792" w:rsidRPr="0094519E" w:rsidRDefault="00DC5792" w:rsidP="00105784">
      <w:pPr>
        <w:pStyle w:val="A-Text11"/>
        <w:rPr>
          <w:i/>
          <w:iCs/>
          <w:u w:val="single"/>
        </w:rPr>
      </w:pPr>
      <w:r w:rsidRPr="0094519E">
        <w:rPr>
          <w:i/>
          <w:iCs/>
          <w:u w:val="single"/>
        </w:rPr>
        <w:t>Geologická charakteristika</w:t>
      </w:r>
    </w:p>
    <w:p w14:paraId="0F60F9FF" w14:textId="77777777" w:rsidR="00DC5792" w:rsidRPr="0094519E" w:rsidRDefault="00DC5792" w:rsidP="00105784">
      <w:pPr>
        <w:pStyle w:val="A-Text11"/>
      </w:pPr>
      <w:r w:rsidRPr="0094519E">
        <w:t>Na základe geologickej stavby záujmového územia Podunajskej nížiny, Podunajskej roviny predmetnej časti Bratislavy, sa záujmové územie nachádza v I. rád – Vnútrohorské panvy a kotliny, II. rád – Podunajská panva a III. rád – Gabčíkovská panva (Regionálne geologické členenie Slovenska, D. Vass et al., M 1:500000, 1988). Podľa Prehľadnej geologickej mapy kvartéru Slovenskej republiky (J. Maglay et al., M 1:200000, 2011) predmetnú lokalitu tvoria fluviálne sedimenty – hliny, piesčité hliny, hlinité piesky až piesčité, hlinité štrky v nivách riek a potokov (holocén) o mocnosti 15 až 20 metrov. Základnú geologickú stavbu záujmového územia tak tvoria na povrchu sedimenty kvartéru a v podloží sedimenty neogénu.</w:t>
      </w:r>
    </w:p>
    <w:p w14:paraId="4ED54211" w14:textId="49A6FF4C" w:rsidR="00DC5792" w:rsidRPr="0094519E" w:rsidRDefault="00DC5792" w:rsidP="00DC5792">
      <w:pPr>
        <w:spacing w:before="120"/>
        <w:jc w:val="center"/>
        <w:rPr>
          <w:rFonts w:ascii="Arial" w:hAnsi="Arial" w:cs="Arial"/>
          <w:bCs/>
          <w:iCs/>
          <w:sz w:val="22"/>
          <w:szCs w:val="22"/>
        </w:rPr>
      </w:pPr>
      <w:r w:rsidRPr="0094519E">
        <w:rPr>
          <w:rFonts w:ascii="Arial" w:hAnsi="Arial" w:cs="Arial"/>
          <w:bCs/>
          <w:iCs/>
          <w:noProof/>
          <w:sz w:val="22"/>
          <w:szCs w:val="22"/>
        </w:rPr>
        <w:drawing>
          <wp:inline distT="0" distB="0" distL="0" distR="0" wp14:anchorId="30C91B50" wp14:editId="6DF498DB">
            <wp:extent cx="5760720" cy="3938901"/>
            <wp:effectExtent l="19050" t="19050" r="11430" b="24130"/>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5610" cy="3942245"/>
                    </a:xfrm>
                    <a:prstGeom prst="rect">
                      <a:avLst/>
                    </a:prstGeom>
                    <a:noFill/>
                    <a:ln w="12700">
                      <a:solidFill>
                        <a:schemeClr val="tx1"/>
                      </a:solidFill>
                    </a:ln>
                  </pic:spPr>
                </pic:pic>
              </a:graphicData>
            </a:graphic>
          </wp:inline>
        </w:drawing>
      </w:r>
    </w:p>
    <w:p w14:paraId="16F1B85F" w14:textId="13B5D58D" w:rsidR="00105784" w:rsidRPr="00AA047F" w:rsidRDefault="00105784" w:rsidP="00105784">
      <w:pPr>
        <w:pStyle w:val="A-Text11"/>
        <w:jc w:val="center"/>
        <w:rPr>
          <w:i/>
          <w:iCs/>
          <w:spacing w:val="2"/>
          <w:sz w:val="18"/>
          <w:szCs w:val="18"/>
        </w:rPr>
      </w:pPr>
      <w:r w:rsidRPr="00AA047F">
        <w:rPr>
          <w:i/>
          <w:iCs/>
          <w:spacing w:val="2"/>
          <w:sz w:val="18"/>
          <w:szCs w:val="18"/>
        </w:rPr>
        <w:t>Obr. III.1.2: Geologická stavba v záujmovom území Bratislava</w:t>
      </w:r>
    </w:p>
    <w:p w14:paraId="20089907" w14:textId="77777777" w:rsidR="00105784" w:rsidRPr="0094519E" w:rsidRDefault="00105784" w:rsidP="0094519E">
      <w:pPr>
        <w:pStyle w:val="A-Text11"/>
        <w:spacing w:before="0" w:line="240" w:lineRule="auto"/>
        <w:ind w:firstLine="425"/>
        <w:jc w:val="center"/>
        <w:rPr>
          <w:i/>
          <w:iCs/>
          <w:spacing w:val="2"/>
          <w:sz w:val="18"/>
          <w:szCs w:val="18"/>
        </w:rPr>
      </w:pPr>
      <w:r w:rsidRPr="0094519E">
        <w:rPr>
          <w:i/>
          <w:iCs/>
          <w:spacing w:val="2"/>
          <w:sz w:val="18"/>
          <w:szCs w:val="18"/>
        </w:rPr>
        <w:t>Zdroj: Mapa regionálneho geologického členenia Slovenska, M 1:500 000, Vass et al, 1988, in Atlas krajiny SR, 2002</w:t>
      </w:r>
    </w:p>
    <w:p w14:paraId="6EE30989" w14:textId="77777777" w:rsidR="00105784" w:rsidRPr="0094519E" w:rsidRDefault="00105784" w:rsidP="00105784">
      <w:pPr>
        <w:rPr>
          <w:lang w:eastAsia="en-US"/>
        </w:rPr>
      </w:pPr>
    </w:p>
    <w:p w14:paraId="4FD73566" w14:textId="39447C3F" w:rsidR="00DC5792" w:rsidRPr="0094519E" w:rsidRDefault="00DC5792" w:rsidP="00105784">
      <w:pPr>
        <w:pStyle w:val="A-Text11"/>
        <w:ind w:firstLine="0"/>
      </w:pPr>
      <w:r w:rsidRPr="0094519E">
        <w:lastRenderedPageBreak/>
        <w:t xml:space="preserve">Vysvetlivky: </w:t>
      </w:r>
    </w:p>
    <w:p w14:paraId="0E2861A6" w14:textId="77777777" w:rsidR="00DC5792" w:rsidRPr="0094519E" w:rsidRDefault="00DC5792" w:rsidP="0094519E">
      <w:pPr>
        <w:pStyle w:val="A-Text11"/>
        <w:spacing w:before="0" w:line="240" w:lineRule="auto"/>
        <w:ind w:firstLine="0"/>
        <w:rPr>
          <w:i/>
          <w:iCs/>
          <w:sz w:val="20"/>
          <w:szCs w:val="20"/>
        </w:rPr>
      </w:pPr>
      <w:r w:rsidRPr="0094519E">
        <w:rPr>
          <w:i/>
          <w:iCs/>
          <w:sz w:val="20"/>
          <w:szCs w:val="20"/>
        </w:rPr>
        <w:t>2</w:t>
      </w:r>
      <w:r w:rsidRPr="0094519E">
        <w:rPr>
          <w:i/>
          <w:iCs/>
          <w:sz w:val="20"/>
          <w:szCs w:val="20"/>
        </w:rPr>
        <w:tab/>
        <w:t>Neogén - sivé pestré íly, prachy, piesky, štrky, slojky lignitu, sladkovodné vápence a polohy tufitov, dák-roman</w:t>
      </w:r>
    </w:p>
    <w:p w14:paraId="3E36DDBE" w14:textId="77777777" w:rsidR="00DC5792" w:rsidRPr="0094519E" w:rsidRDefault="00DC5792" w:rsidP="0094519E">
      <w:pPr>
        <w:pStyle w:val="A-Text11"/>
        <w:spacing w:before="0" w:line="240" w:lineRule="auto"/>
        <w:ind w:firstLine="0"/>
        <w:rPr>
          <w:i/>
          <w:iCs/>
          <w:sz w:val="20"/>
          <w:szCs w:val="20"/>
        </w:rPr>
      </w:pPr>
      <w:r w:rsidRPr="0094519E">
        <w:rPr>
          <w:i/>
          <w:iCs/>
          <w:sz w:val="20"/>
          <w:szCs w:val="20"/>
        </w:rPr>
        <w:t>5</w:t>
      </w:r>
      <w:r w:rsidRPr="0094519E">
        <w:rPr>
          <w:i/>
          <w:iCs/>
          <w:sz w:val="20"/>
          <w:szCs w:val="20"/>
        </w:rPr>
        <w:tab/>
        <w:t xml:space="preserve">Neogén - sivé, prevažne vápnité íly, prachy, piesky, štrky, sloje lignitu </w:t>
      </w:r>
    </w:p>
    <w:p w14:paraId="59E5A3F4" w14:textId="77777777" w:rsidR="00DC5792" w:rsidRPr="0094519E" w:rsidRDefault="00DC5792" w:rsidP="0094519E">
      <w:pPr>
        <w:pStyle w:val="A-Text11"/>
        <w:spacing w:before="0" w:line="240" w:lineRule="auto"/>
        <w:ind w:firstLine="0"/>
        <w:rPr>
          <w:i/>
          <w:iCs/>
          <w:sz w:val="20"/>
          <w:szCs w:val="20"/>
        </w:rPr>
      </w:pPr>
      <w:r w:rsidRPr="0094519E">
        <w:rPr>
          <w:i/>
          <w:iCs/>
          <w:sz w:val="20"/>
          <w:szCs w:val="20"/>
        </w:rPr>
        <w:tab/>
        <w:t>a polohy sladkovodných vápencov, panón-pont</w:t>
      </w:r>
    </w:p>
    <w:p w14:paraId="59CFB0FD" w14:textId="77777777" w:rsidR="00DC5792" w:rsidRPr="0094519E" w:rsidRDefault="00DC5792" w:rsidP="0094519E">
      <w:pPr>
        <w:pStyle w:val="A-Text11"/>
        <w:spacing w:before="0" w:line="240" w:lineRule="auto"/>
        <w:ind w:firstLine="0"/>
        <w:rPr>
          <w:i/>
          <w:iCs/>
          <w:sz w:val="20"/>
          <w:szCs w:val="20"/>
        </w:rPr>
      </w:pPr>
      <w:r w:rsidRPr="0094519E">
        <w:rPr>
          <w:i/>
          <w:iCs/>
          <w:sz w:val="20"/>
          <w:szCs w:val="20"/>
        </w:rPr>
        <w:t>127</w:t>
      </w:r>
      <w:r w:rsidRPr="0094519E">
        <w:rPr>
          <w:i/>
          <w:iCs/>
          <w:sz w:val="20"/>
          <w:szCs w:val="20"/>
        </w:rPr>
        <w:tab/>
        <w:t>Paleozoikum - amfibolity, amfibolické ruly</w:t>
      </w:r>
    </w:p>
    <w:p w14:paraId="0FC5C297" w14:textId="61E89C47" w:rsidR="00DC5792" w:rsidRPr="0094519E" w:rsidRDefault="00DC5792" w:rsidP="0094519E">
      <w:pPr>
        <w:pStyle w:val="A-Text11"/>
        <w:spacing w:before="0" w:line="240" w:lineRule="auto"/>
        <w:ind w:firstLine="0"/>
        <w:rPr>
          <w:i/>
          <w:iCs/>
          <w:sz w:val="20"/>
          <w:szCs w:val="20"/>
        </w:rPr>
      </w:pPr>
      <w:r w:rsidRPr="0094519E">
        <w:rPr>
          <w:i/>
          <w:iCs/>
          <w:sz w:val="20"/>
          <w:szCs w:val="20"/>
        </w:rPr>
        <w:t>130</w:t>
      </w:r>
      <w:r w:rsidRPr="0094519E">
        <w:rPr>
          <w:i/>
          <w:iCs/>
          <w:sz w:val="20"/>
          <w:szCs w:val="20"/>
        </w:rPr>
        <w:tab/>
        <w:t>Paleozoikum - dvojslúdne biotitické granity až granodiority</w:t>
      </w:r>
    </w:p>
    <w:p w14:paraId="6E493AAD" w14:textId="77777777" w:rsidR="0094519E" w:rsidRPr="0094519E" w:rsidRDefault="0094519E" w:rsidP="0094519E">
      <w:pPr>
        <w:pStyle w:val="A-Text11"/>
      </w:pPr>
      <w:r w:rsidRPr="0094519E">
        <w:t>Podľa základného tektonického členenia záujmové územie patrí do Vnútorných Západných Karpát, tektonickej etapy Neoalpínske tektonické štruktúry Západných Karpát. Skupiny naložených formácií sú formácie vnútorných Západných Karpát naložené na paleoalpínsku príkrovovú sústavu a ide o formácie sedimentárne panvy s neogénnou a kvartérnou výplňou.</w:t>
      </w:r>
    </w:p>
    <w:p w14:paraId="0A5CF0AB" w14:textId="77777777" w:rsidR="0094519E" w:rsidRPr="0094519E" w:rsidRDefault="0094519E" w:rsidP="0094519E">
      <w:pPr>
        <w:pStyle w:val="A-Text11"/>
      </w:pPr>
      <w:r w:rsidRPr="0094519E">
        <w:t>Neogénne podložie predstavuje v Podunajskej nížine nepriepustné podložie kvartéru. Litologicky ide o íly, vápnité íly, piesky, ktoré nevystupujú na povrch.</w:t>
      </w:r>
    </w:p>
    <w:p w14:paraId="2A89804D" w14:textId="77777777" w:rsidR="0094519E" w:rsidRPr="00394EB6" w:rsidRDefault="0094519E" w:rsidP="0094519E">
      <w:pPr>
        <w:pStyle w:val="A-Text11"/>
      </w:pPr>
      <w:r w:rsidRPr="0094519E">
        <w:t xml:space="preserve">Kvartérne sedimenty sú zastúpené fluviálnymi sedimentmi nív – piesčité hliny, hliny, hlinité piesky, piesčité štrky a hlinité štrky. Fluviálne sedimenty tvoria v podstate väčšinu územia Podunajskej nížiny a aj územia mesta Bratislava s lokálnymi územne menšími zmenami. Predmetné územie celé spadá do fluviálnych sedimentov, ktoré sú v záujmovom území reprezentované na povrchu hlinami prachovitými, hlinami piesčitými až piesku hlinitého, pričom v hĺbkach okolo 2 metrov prechádzajú tieto sedimenty do štrkov s prímesou piesku, </w:t>
      </w:r>
      <w:r w:rsidRPr="00394EB6">
        <w:t>štrkov piesčitých v mocnosti do 20 metrov.</w:t>
      </w:r>
    </w:p>
    <w:p w14:paraId="309342CF" w14:textId="77777777" w:rsidR="00F56995" w:rsidRPr="00394EB6" w:rsidRDefault="00F56995" w:rsidP="00105784">
      <w:pPr>
        <w:pStyle w:val="A-Text11"/>
        <w:rPr>
          <w:i/>
          <w:iCs/>
          <w:u w:val="single"/>
        </w:rPr>
      </w:pPr>
      <w:bookmarkStart w:id="167" w:name="_Toc197699542"/>
      <w:bookmarkStart w:id="168" w:name="_Toc205740670"/>
      <w:r w:rsidRPr="00394EB6">
        <w:rPr>
          <w:i/>
          <w:iCs/>
          <w:u w:val="single"/>
        </w:rPr>
        <w:t>Inžinierska geológia</w:t>
      </w:r>
    </w:p>
    <w:p w14:paraId="1C76BEBE" w14:textId="77777777" w:rsidR="00F56995" w:rsidRPr="00394EB6" w:rsidRDefault="00F56995" w:rsidP="00105784">
      <w:pPr>
        <w:pStyle w:val="A-Text11"/>
      </w:pPr>
      <w:r w:rsidRPr="00394EB6">
        <w:t>Záujmové územie je súčasťou regiónu tektonických depresií, subregiónu s neogénnym podkladom. Podľa Inžinierskogeologickej rajonizácie Slovenska (Atlas krajiny SR 2002) je dotknuté územie súčasťou regiónu tektonických depresií, subregiónu s neogénnym podkladom a nachádza sa v rajóne údolných riečnych náplavov (F). Podľa Mapy inžinierskogeologických rajónov Slovenska (M. Hrašna, A. Klukanová, Atlas krajiny SR, 2002, M 1: 50000 a P. Liška, M 1:50000, 2017) sa predmetné územie nachádza vo formácii kvartérnych sedimentov, v rajóne pleistocénnych riečnych terás (Ft).</w:t>
      </w:r>
    </w:p>
    <w:p w14:paraId="128033B3" w14:textId="77777777" w:rsidR="00F56995" w:rsidRPr="00394EB6" w:rsidRDefault="00F56995" w:rsidP="00105784">
      <w:pPr>
        <w:pStyle w:val="A-Text11"/>
      </w:pPr>
      <w:r w:rsidRPr="00394EB6">
        <w:t>Podľa archívnych prieskumov širšieho záujmového územia stavbu predmetnej lokality tvoria na povrchu sedimentárne vrstvy hlín humusových, hnedých, tuhých, no najmä hlín prachovitých, hnedých, žltohnedých, tuhých, do hĺbky 2 m p. t., za ktorými nastupujú piesky stredne uľahlé, piesky hlinité až hliny piesčité, žlté a piesky štrkovité s valúnmi 1 až 2 cm, žltošedé, stredne uľahlé. Nasledujú štrky s prímesou piesku s valúnmi 4 až 5 cm, ojedinele 6 až 10 cm, stredne uľahlých, ktoré sú väčšinou dokumentované prieskumnými vrtmi do hĺbky cca 10 m p. t.. Vyskytujú sa do hĺbky cca 15 - 20 m p. t., kde vo vrstevnom slede nastupujú sedimenty neogénu, ktoré sú zastúpené pontskými pestrými ílmi, miestami so štrkmi a pieskami.</w:t>
      </w:r>
    </w:p>
    <w:p w14:paraId="5B4C281A" w14:textId="77777777" w:rsidR="00F56995" w:rsidRPr="00394EB6" w:rsidRDefault="00F56995" w:rsidP="00105784">
      <w:pPr>
        <w:pStyle w:val="A-Text11"/>
        <w:rPr>
          <w:i/>
          <w:iCs/>
          <w:u w:val="single"/>
        </w:rPr>
      </w:pPr>
      <w:r w:rsidRPr="00394EB6">
        <w:rPr>
          <w:i/>
          <w:iCs/>
          <w:u w:val="single"/>
        </w:rPr>
        <w:t>Geodynamické javy</w:t>
      </w:r>
    </w:p>
    <w:p w14:paraId="13AB51A1" w14:textId="77777777" w:rsidR="00F56995" w:rsidRPr="00394EB6" w:rsidRDefault="00F56995" w:rsidP="00105784">
      <w:pPr>
        <w:pStyle w:val="A-Text11"/>
      </w:pPr>
      <w:r w:rsidRPr="00394EB6">
        <w:t>Záujmové územie na základe reliéfu, morfológie terénu možno hodnotiť ako stabilné, bez možnosti vzniku geodynamických javov. V predmetnej lokalite sa nevyskytujú žiadne znaky nestability územia v prirodzenom stave. V území nie je potrebná ochrana z hľadiska zosuvov, územie nie je ohrozené vodnou ani veternou eróziou.</w:t>
      </w:r>
    </w:p>
    <w:p w14:paraId="43AAFEEC" w14:textId="77777777" w:rsidR="00394EB6" w:rsidRDefault="00394EB6" w:rsidP="00105784">
      <w:pPr>
        <w:pStyle w:val="A-Text11"/>
        <w:rPr>
          <w:i/>
          <w:iCs/>
          <w:u w:val="single"/>
        </w:rPr>
      </w:pPr>
    </w:p>
    <w:p w14:paraId="2E673B59" w14:textId="4FF9F7FA" w:rsidR="00F56995" w:rsidRPr="00394EB6" w:rsidRDefault="00F56995" w:rsidP="00105784">
      <w:pPr>
        <w:pStyle w:val="A-Text11"/>
        <w:rPr>
          <w:i/>
          <w:iCs/>
          <w:u w:val="single"/>
        </w:rPr>
      </w:pPr>
      <w:r w:rsidRPr="00394EB6">
        <w:rPr>
          <w:i/>
          <w:iCs/>
          <w:u w:val="single"/>
        </w:rPr>
        <w:lastRenderedPageBreak/>
        <w:t>Seizmicita</w:t>
      </w:r>
    </w:p>
    <w:p w14:paraId="495C7F1A" w14:textId="77777777" w:rsidR="00F56995" w:rsidRPr="00394EB6" w:rsidRDefault="00F56995" w:rsidP="00105784">
      <w:pPr>
        <w:pStyle w:val="A-Text11"/>
      </w:pPr>
      <w:r w:rsidRPr="00394EB6">
        <w:t>Podľa “Seizmotektonickej mapy Slovenska“ (STN 73 0036) sa záujmové územie nachádza v seizmickej oblasti intenzity zemetrasenia 7° stupnice makroseizmickej intenzity MSK-64.</w:t>
      </w:r>
    </w:p>
    <w:p w14:paraId="7C84E401" w14:textId="77777777" w:rsidR="00F56995" w:rsidRPr="00394EB6" w:rsidRDefault="00F56995" w:rsidP="00105784">
      <w:pPr>
        <w:pStyle w:val="A-Text11"/>
      </w:pPr>
      <w:r w:rsidRPr="00394EB6">
        <w:t>Záujmová oblasť Bratislavy sa nachádza cca 25 km juhovýchodne od hranice zdrojovej zóny Pernek so základným seizmickým zrýchlením 0,6 m.s</w:t>
      </w:r>
      <w:r w:rsidRPr="00394EB6">
        <w:rPr>
          <w:vertAlign w:val="superscript"/>
        </w:rPr>
        <w:t>-2</w:t>
      </w:r>
      <w:r w:rsidRPr="00394EB6">
        <w:t xml:space="preserve"> a cca 80 km severozápadne od hranice zdrojovej zóny Komárno so základným seizmickým zrýchlením 1,5 m.s</w:t>
      </w:r>
      <w:r w:rsidRPr="00394EB6">
        <w:rPr>
          <w:vertAlign w:val="superscript"/>
        </w:rPr>
        <w:t>-2</w:t>
      </w:r>
      <w:r w:rsidRPr="00394EB6">
        <w:t>.</w:t>
      </w:r>
    </w:p>
    <w:p w14:paraId="112BF938" w14:textId="77777777" w:rsidR="00F56995" w:rsidRPr="00394EB6" w:rsidRDefault="00F56995" w:rsidP="00105784">
      <w:pPr>
        <w:pStyle w:val="A-Text11"/>
      </w:pPr>
      <w:r w:rsidRPr="00394EB6">
        <w:t>V zmysle STN EN 1998-1/NA a STN EN 1998-1, 73 0036 Eurokód 8 „Navrhovanej konštrukcií na seizmickú odolnosť“ podľa článku 3.1.2 Identifikácia kategórie podložia patrí záujmové územie do kategórie C a od nástupu štrkov do kategórie B. V zmysle STN EN 1998-1/NA/Z2 Eurokód 8, obrázku NB.6.1 „Oblasti seizmického ohrozenia na území Slovenska“ hodnota špičkového seizmického zrýchlenia a</w:t>
      </w:r>
      <w:r w:rsidRPr="00394EB6">
        <w:rPr>
          <w:vertAlign w:val="subscript"/>
        </w:rPr>
        <w:t>gR</w:t>
      </w:r>
      <w:r w:rsidRPr="00394EB6">
        <w:t>, ktorá môže byť s pravdepodobnosťou 10 % prekročená počas 50 rokov, t. j. hodnota a</w:t>
      </w:r>
      <w:r w:rsidRPr="00394EB6">
        <w:rPr>
          <w:vertAlign w:val="subscript"/>
        </w:rPr>
        <w:t>gR</w:t>
      </w:r>
      <w:r w:rsidRPr="00394EB6">
        <w:t xml:space="preserve"> pre návratovú periódu 475 rokov, dosahuje v území Bratislavy a okolia a</w:t>
      </w:r>
      <w:r w:rsidRPr="00394EB6">
        <w:rPr>
          <w:vertAlign w:val="subscript"/>
        </w:rPr>
        <w:t>gR</w:t>
      </w:r>
      <w:r w:rsidRPr="00394EB6">
        <w:t xml:space="preserve"> = 0,63 m.s</w:t>
      </w:r>
      <w:r w:rsidRPr="00394EB6">
        <w:rPr>
          <w:vertAlign w:val="superscript"/>
        </w:rPr>
        <w:t>-2</w:t>
      </w:r>
      <w:r w:rsidRPr="00394EB6">
        <w:t>.</w:t>
      </w:r>
    </w:p>
    <w:p w14:paraId="5F04A0C0" w14:textId="77777777" w:rsidR="00F56995" w:rsidRPr="00394EB6" w:rsidRDefault="00F56995" w:rsidP="00105784">
      <w:pPr>
        <w:pStyle w:val="A-Text11"/>
        <w:rPr>
          <w:i/>
          <w:iCs/>
          <w:u w:val="single"/>
        </w:rPr>
      </w:pPr>
      <w:r w:rsidRPr="00394EB6">
        <w:rPr>
          <w:i/>
          <w:iCs/>
          <w:u w:val="single"/>
        </w:rPr>
        <w:t>Suroviny</w:t>
      </w:r>
    </w:p>
    <w:p w14:paraId="4F97C38F" w14:textId="77777777" w:rsidR="00F56995" w:rsidRPr="00394EB6" w:rsidRDefault="00F56995" w:rsidP="00105784">
      <w:pPr>
        <w:pStyle w:val="A-Text11"/>
      </w:pPr>
      <w:r w:rsidRPr="00394EB6">
        <w:t>V záujmovom území sa výhradné ani vyhradené ložiská pre ťažbu nerastných surovín nevyskytujú, t.j. v území nie sú v súčasnosti evidované dobývacie priestory ako chránené ložiskové územia (Mapa Nerastné suroviny Slovenska - J. Zuberec, M. Tréger, J. Lexa a P. Baláž, 1:500 000, 2004).</w:t>
      </w:r>
    </w:p>
    <w:p w14:paraId="0C362EAD" w14:textId="77777777" w:rsidR="00F56995" w:rsidRPr="00394EB6" w:rsidRDefault="00F56995" w:rsidP="00105784">
      <w:pPr>
        <w:pStyle w:val="A-Text11"/>
      </w:pPr>
      <w:r w:rsidRPr="00394EB6">
        <w:t>Najbližšie ložiskové výskyty sa nachádzajú v lokalite Vajnory (typ suroviny: štrkopiesky a piesky, veľkosť ložiska: významný výskyt - menej ako 1 mil. m</w:t>
      </w:r>
      <w:r w:rsidRPr="00394EB6">
        <w:rPr>
          <w:vertAlign w:val="superscript"/>
        </w:rPr>
        <w:t>3</w:t>
      </w:r>
      <w:r w:rsidRPr="00394EB6">
        <w:t>, genetický typ: náplavy Dunaja Podunajskej roviny a použitie: výroba betónu). Lokalita sa nachádza cca 3,9 km severovýchodným smerom od záujmového územia, teda vo veľkej vzdialenosti od záujmového územia a činnosť zámeru tak nemá žiadny vplyv na toto ložisko, ani na iné ložiská v okolí Bratislavy (Rovinka, Devín).</w:t>
      </w:r>
    </w:p>
    <w:bookmarkEnd w:id="167"/>
    <w:bookmarkEnd w:id="168"/>
    <w:p w14:paraId="45770DCC" w14:textId="77777777" w:rsidR="00F56995" w:rsidRPr="00394EB6" w:rsidRDefault="00F56995" w:rsidP="00105784">
      <w:pPr>
        <w:pStyle w:val="A-Text11"/>
        <w:ind w:firstLine="0"/>
        <w:rPr>
          <w:b/>
          <w:bCs/>
          <w:i/>
          <w:iCs/>
        </w:rPr>
      </w:pPr>
      <w:r w:rsidRPr="00394EB6">
        <w:rPr>
          <w:b/>
          <w:bCs/>
          <w:i/>
          <w:iCs/>
        </w:rPr>
        <w:t>Klimatické pomery</w:t>
      </w:r>
    </w:p>
    <w:p w14:paraId="03593570" w14:textId="77777777" w:rsidR="00F56995" w:rsidRPr="00394EB6" w:rsidRDefault="00F56995" w:rsidP="00105784">
      <w:pPr>
        <w:pStyle w:val="A-Text11"/>
      </w:pPr>
      <w:r w:rsidRPr="00394EB6">
        <w:t>Klimatické pomery záujmového územia, ktoré sa nachádza v meste Bratislava, výrazne ovplyvňujú orografické prvky územia. Mesto Bratislava sa nachádza v Podunajskej nížine, Podunajskej rovine, v blízkosti významného toku Dunaj a je na styku s pohorím Malé Karpaty. Záujmové územie, nachádzajúce sa v centrálnej časti mesta Bratislava, patrí do územia s nížinnou, teplou klímou. Územie je zaradené z klimatického hľadiska do teplej klimatickej oblasti s priemerným počtom letných dní za rok 50 a viac, okrsku teplého, suchého, s miernou zimou (T2). Podľa meteorologickej stanice Bratislava – Letisko sa priemerná ročná teplota za obdobie 2016 – 2020 pohybuje okolo 12,0 ºC. V mesiaci január dosiahla priemerná mesačná teplota za toto obdobie hodnotu -0,1 ºC a v mesiaci júl 22,7 ºC. Priemerný ročný úhrn zrážok dosiahol za hodnotené obdobie 535,5 mm. Vyššie uvedené údaje vychádzajú z informácií Atlasu krajiny SR 2002 a Ročeniek klimatologických pozorovaní SHMÚ za obdobie 2016 – 2020.</w:t>
      </w:r>
    </w:p>
    <w:p w14:paraId="1063B380" w14:textId="77777777" w:rsidR="00F56995" w:rsidRPr="00394EB6" w:rsidRDefault="00F56995" w:rsidP="00F56995">
      <w:pPr>
        <w:spacing w:line="240" w:lineRule="atLeast"/>
        <w:rPr>
          <w:rFonts w:ascii="Arial" w:hAnsi="Arial" w:cs="Arial"/>
          <w:b/>
          <w:i/>
          <w:sz w:val="22"/>
          <w:szCs w:val="22"/>
        </w:rPr>
      </w:pPr>
    </w:p>
    <w:p w14:paraId="39A6B8F5" w14:textId="1B9BF188" w:rsidR="00F56995" w:rsidRPr="00394EB6" w:rsidRDefault="00F56995" w:rsidP="00F56995">
      <w:pPr>
        <w:pStyle w:val="text0"/>
        <w:jc w:val="center"/>
        <w:rPr>
          <w:rFonts w:cs="Arial"/>
          <w:sz w:val="22"/>
          <w:szCs w:val="22"/>
          <w:lang w:val="sk-SK"/>
        </w:rPr>
      </w:pPr>
      <w:r w:rsidRPr="00394EB6">
        <w:rPr>
          <w:rFonts w:cs="Arial"/>
          <w:noProof/>
          <w:szCs w:val="22"/>
          <w:lang w:val="sk-SK"/>
        </w:rPr>
        <w:lastRenderedPageBreak/>
        <w:drawing>
          <wp:inline distT="0" distB="0" distL="0" distR="0" wp14:anchorId="6D8FECA9" wp14:editId="2FCE7ABF">
            <wp:extent cx="5760720" cy="4140200"/>
            <wp:effectExtent l="19050" t="19050" r="11430" b="12700"/>
            <wp:docPr id="20" name="Obrázo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4140200"/>
                    </a:xfrm>
                    <a:prstGeom prst="rect">
                      <a:avLst/>
                    </a:prstGeom>
                    <a:noFill/>
                    <a:ln w="12700">
                      <a:solidFill>
                        <a:schemeClr val="tx1"/>
                      </a:solidFill>
                    </a:ln>
                  </pic:spPr>
                </pic:pic>
              </a:graphicData>
            </a:graphic>
          </wp:inline>
        </w:drawing>
      </w:r>
    </w:p>
    <w:p w14:paraId="759A6877" w14:textId="21652568" w:rsidR="00105784" w:rsidRPr="00AA047F" w:rsidRDefault="00105784" w:rsidP="00105784">
      <w:pPr>
        <w:pStyle w:val="A-Text11"/>
        <w:jc w:val="center"/>
        <w:rPr>
          <w:i/>
          <w:iCs/>
          <w:spacing w:val="2"/>
          <w:sz w:val="18"/>
          <w:szCs w:val="18"/>
        </w:rPr>
      </w:pPr>
      <w:r w:rsidRPr="00AA047F">
        <w:rPr>
          <w:i/>
          <w:iCs/>
          <w:spacing w:val="2"/>
          <w:sz w:val="18"/>
          <w:szCs w:val="18"/>
        </w:rPr>
        <w:t>Obr. III.1.3: Mapa klimatických oblasti Slovenska (M 1:1 000 000)</w:t>
      </w:r>
    </w:p>
    <w:p w14:paraId="4C125343" w14:textId="1F47BF8A" w:rsidR="00F56995" w:rsidRPr="00394EB6" w:rsidRDefault="00F56995" w:rsidP="00394EB6">
      <w:pPr>
        <w:pStyle w:val="A-Text11"/>
        <w:spacing w:before="0" w:line="240" w:lineRule="auto"/>
        <w:jc w:val="center"/>
        <w:rPr>
          <w:i/>
          <w:iCs/>
          <w:spacing w:val="2"/>
          <w:sz w:val="18"/>
          <w:szCs w:val="18"/>
        </w:rPr>
      </w:pPr>
      <w:r w:rsidRPr="00394EB6">
        <w:rPr>
          <w:i/>
          <w:iCs/>
          <w:spacing w:val="2"/>
          <w:sz w:val="18"/>
          <w:szCs w:val="18"/>
        </w:rPr>
        <w:t>Zdroj: Mapa klimatických oblasti Slovenska, M 1:1 000 000, Lapin et al, 1961 - 1990, in Atlas krajiny SR, 2002</w:t>
      </w:r>
    </w:p>
    <w:p w14:paraId="09A135F6" w14:textId="77777777" w:rsidR="00F56995" w:rsidRPr="00394EB6" w:rsidRDefault="00F56995" w:rsidP="00533CD9">
      <w:pPr>
        <w:pStyle w:val="A-Text11"/>
        <w:rPr>
          <w:i/>
          <w:iCs/>
          <w:u w:val="single"/>
        </w:rPr>
      </w:pPr>
      <w:r w:rsidRPr="00394EB6">
        <w:rPr>
          <w:i/>
          <w:iCs/>
          <w:u w:val="single"/>
        </w:rPr>
        <w:t>Teplotné pomery</w:t>
      </w:r>
    </w:p>
    <w:p w14:paraId="089FCD80" w14:textId="2BCD1F5C" w:rsidR="00F56995" w:rsidRPr="00394EB6" w:rsidRDefault="00F56995" w:rsidP="00533CD9">
      <w:pPr>
        <w:pStyle w:val="A-Text11"/>
        <w:rPr>
          <w:spacing w:val="2"/>
        </w:rPr>
      </w:pPr>
      <w:r w:rsidRPr="00394EB6">
        <w:t>Záujmové územie nachádzajúce sa v Podunajskej rovine má z hľadiska teplotných pomerov teplý, nížinný klimatický charakter a je zaradené do teplej klimatickej oblasti s priemerným počtom letných dní za rok 50 a viac, okrsku teplého, suchého, s miernou zimou (T2). Podľa najbližšej meteorologickej stanice Bratislava - Letisko ročný priemer teplôt za obdobie 2016 – 2020 dosiahol 12,0 ºC. Najchladnejším mesiacom v</w:t>
      </w:r>
      <w:r w:rsidRPr="00394EB6">
        <w:rPr>
          <w:spacing w:val="2"/>
        </w:rPr>
        <w:t> </w:t>
      </w:r>
      <w:r w:rsidRPr="00394EB6">
        <w:t>priemere za spomenuté obdobie bol mesiac január s</w:t>
      </w:r>
      <w:r w:rsidRPr="00394EB6">
        <w:rPr>
          <w:spacing w:val="2"/>
        </w:rPr>
        <w:t> </w:t>
      </w:r>
      <w:r w:rsidRPr="00394EB6">
        <w:t>priemernou mesačnou teplotou -0,1 ºC a</w:t>
      </w:r>
      <w:r w:rsidRPr="00394EB6">
        <w:rPr>
          <w:spacing w:val="2"/>
        </w:rPr>
        <w:t> </w:t>
      </w:r>
      <w:r w:rsidRPr="00394EB6">
        <w:t xml:space="preserve">najteplejším mesiacom bol júl </w:t>
      </w:r>
      <w:r w:rsidRPr="00394EB6">
        <w:rPr>
          <w:spacing w:val="2"/>
        </w:rPr>
        <w:t>s priemernou mesačnou teplotou 22,7</w:t>
      </w:r>
      <w:r w:rsidRPr="00394EB6">
        <w:t> </w:t>
      </w:r>
      <w:r w:rsidRPr="00394EB6">
        <w:rPr>
          <w:spacing w:val="2"/>
        </w:rPr>
        <w:t>ºC. V roku 2020 ročná priemerná teplota v území dosiahla 12,0</w:t>
      </w:r>
      <w:r w:rsidRPr="00394EB6">
        <w:t> ºC</w:t>
      </w:r>
      <w:r w:rsidRPr="00394EB6">
        <w:rPr>
          <w:spacing w:val="2"/>
        </w:rPr>
        <w:t>, pričom najchladnejším mesiacom bol január s teplotou 0,8</w:t>
      </w:r>
      <w:r w:rsidRPr="00394EB6">
        <w:t> ºC</w:t>
      </w:r>
      <w:r w:rsidRPr="00394EB6">
        <w:rPr>
          <w:spacing w:val="2"/>
        </w:rPr>
        <w:t xml:space="preserve"> a najteplejším mesiacom august s teplotou 22,7</w:t>
      </w:r>
      <w:r w:rsidRPr="00394EB6">
        <w:t> ºC</w:t>
      </w:r>
      <w:r w:rsidRPr="00394EB6">
        <w:rPr>
          <w:spacing w:val="2"/>
        </w:rPr>
        <w:t>.</w:t>
      </w:r>
    </w:p>
    <w:p w14:paraId="759B64A3" w14:textId="3136B606" w:rsidR="00F56995" w:rsidRPr="005145B5" w:rsidRDefault="00F56995" w:rsidP="00F56995">
      <w:pPr>
        <w:pStyle w:val="poznmka"/>
        <w:rPr>
          <w:rFonts w:cs="Arial"/>
          <w:bCs/>
          <w:i/>
          <w:szCs w:val="18"/>
          <w:lang w:val="sk-SK"/>
        </w:rPr>
      </w:pPr>
      <w:r w:rsidRPr="005145B5">
        <w:rPr>
          <w:rFonts w:cs="Arial"/>
          <w:bCs/>
          <w:i/>
          <w:szCs w:val="18"/>
          <w:lang w:val="sk-SK"/>
        </w:rPr>
        <w:t xml:space="preserve">Tab. č. </w:t>
      </w:r>
      <w:r w:rsidR="005A4635" w:rsidRPr="005145B5">
        <w:rPr>
          <w:rFonts w:cs="Arial"/>
          <w:bCs/>
          <w:i/>
          <w:szCs w:val="18"/>
          <w:lang w:val="sk-SK"/>
        </w:rPr>
        <w:t>III.1.1</w:t>
      </w:r>
      <w:r w:rsidRPr="005145B5">
        <w:rPr>
          <w:rFonts w:cs="Arial"/>
          <w:bCs/>
          <w:i/>
          <w:szCs w:val="18"/>
          <w:lang w:val="sk-SK"/>
        </w:rPr>
        <w:t>: Priemerné mesačné hodnoty teploty zo stanice Bratislava - Letisko za obdobie 2016 – 2020</w:t>
      </w:r>
      <w:r w:rsidR="00A13955" w:rsidRPr="005145B5">
        <w:rPr>
          <w:rFonts w:cs="Arial"/>
          <w:bCs/>
          <w:i/>
          <w:szCs w:val="18"/>
          <w:lang w:val="sk-SK"/>
        </w:rPr>
        <w:t xml:space="preserve"> </w:t>
      </w:r>
      <w:r w:rsidRPr="005145B5">
        <w:rPr>
          <w:rFonts w:cs="Arial"/>
          <w:bCs/>
          <w:i/>
          <w:szCs w:val="18"/>
          <w:lang w:val="sk-SK"/>
        </w:rPr>
        <w:t>(ºC)</w:t>
      </w:r>
    </w:p>
    <w:tbl>
      <w:tblPr>
        <w:tblW w:w="9640" w:type="dxa"/>
        <w:tblInd w:w="57" w:type="dxa"/>
        <w:tblCellMar>
          <w:left w:w="70" w:type="dxa"/>
          <w:right w:w="70" w:type="dxa"/>
        </w:tblCellMar>
        <w:tblLook w:val="04A0" w:firstRow="1" w:lastRow="0" w:firstColumn="1" w:lastColumn="0" w:noHBand="0" w:noVBand="1"/>
      </w:tblPr>
      <w:tblGrid>
        <w:gridCol w:w="1240"/>
        <w:gridCol w:w="700"/>
        <w:gridCol w:w="700"/>
        <w:gridCol w:w="700"/>
        <w:gridCol w:w="700"/>
        <w:gridCol w:w="700"/>
        <w:gridCol w:w="700"/>
        <w:gridCol w:w="700"/>
        <w:gridCol w:w="700"/>
        <w:gridCol w:w="700"/>
        <w:gridCol w:w="700"/>
        <w:gridCol w:w="700"/>
        <w:gridCol w:w="700"/>
      </w:tblGrid>
      <w:tr w:rsidR="00394EB6" w:rsidRPr="00394EB6" w14:paraId="06A18DF6" w14:textId="77777777" w:rsidTr="00F56995">
        <w:trPr>
          <w:trHeight w:val="255"/>
        </w:trPr>
        <w:tc>
          <w:tcPr>
            <w:tcW w:w="1240" w:type="dxa"/>
            <w:tcBorders>
              <w:top w:val="single" w:sz="4" w:space="0" w:color="auto"/>
              <w:left w:val="single" w:sz="4" w:space="0" w:color="auto"/>
              <w:bottom w:val="single" w:sz="4" w:space="0" w:color="auto"/>
              <w:right w:val="single" w:sz="4" w:space="0" w:color="auto"/>
            </w:tcBorders>
            <w:noWrap/>
            <w:vAlign w:val="center"/>
            <w:hideMark/>
          </w:tcPr>
          <w:p w14:paraId="6570C9CF" w14:textId="77777777" w:rsidR="00F56995" w:rsidRPr="00394EB6" w:rsidRDefault="00F56995">
            <w:pPr>
              <w:jc w:val="center"/>
              <w:rPr>
                <w:rFonts w:ascii="Arial" w:hAnsi="Arial" w:cs="Arial"/>
              </w:rPr>
            </w:pPr>
            <w:r w:rsidRPr="00394EB6">
              <w:rPr>
                <w:rFonts w:ascii="Arial" w:hAnsi="Arial" w:cs="Arial"/>
              </w:rPr>
              <w:t>rok</w:t>
            </w:r>
          </w:p>
        </w:tc>
        <w:tc>
          <w:tcPr>
            <w:tcW w:w="700" w:type="dxa"/>
            <w:tcBorders>
              <w:top w:val="single" w:sz="4" w:space="0" w:color="auto"/>
              <w:left w:val="nil"/>
              <w:bottom w:val="single" w:sz="4" w:space="0" w:color="auto"/>
              <w:right w:val="single" w:sz="4" w:space="0" w:color="auto"/>
            </w:tcBorders>
            <w:noWrap/>
            <w:vAlign w:val="center"/>
            <w:hideMark/>
          </w:tcPr>
          <w:p w14:paraId="32FAE922" w14:textId="77777777" w:rsidR="00F56995" w:rsidRPr="00394EB6" w:rsidRDefault="00F56995">
            <w:pPr>
              <w:jc w:val="center"/>
              <w:rPr>
                <w:rFonts w:ascii="Arial" w:hAnsi="Arial" w:cs="Arial"/>
              </w:rPr>
            </w:pPr>
            <w:r w:rsidRPr="00394EB6">
              <w:rPr>
                <w:rFonts w:ascii="Arial" w:hAnsi="Arial" w:cs="Arial"/>
              </w:rPr>
              <w:t>I</w:t>
            </w:r>
          </w:p>
        </w:tc>
        <w:tc>
          <w:tcPr>
            <w:tcW w:w="700" w:type="dxa"/>
            <w:tcBorders>
              <w:top w:val="single" w:sz="4" w:space="0" w:color="auto"/>
              <w:left w:val="nil"/>
              <w:bottom w:val="single" w:sz="4" w:space="0" w:color="auto"/>
              <w:right w:val="single" w:sz="4" w:space="0" w:color="auto"/>
            </w:tcBorders>
            <w:noWrap/>
            <w:vAlign w:val="center"/>
            <w:hideMark/>
          </w:tcPr>
          <w:p w14:paraId="5ECE9C82" w14:textId="77777777" w:rsidR="00F56995" w:rsidRPr="00394EB6" w:rsidRDefault="00F56995">
            <w:pPr>
              <w:jc w:val="center"/>
              <w:rPr>
                <w:rFonts w:ascii="Arial" w:hAnsi="Arial" w:cs="Arial"/>
              </w:rPr>
            </w:pPr>
            <w:r w:rsidRPr="00394EB6">
              <w:rPr>
                <w:rFonts w:ascii="Arial" w:hAnsi="Arial" w:cs="Arial"/>
              </w:rPr>
              <w:t>II</w:t>
            </w:r>
          </w:p>
        </w:tc>
        <w:tc>
          <w:tcPr>
            <w:tcW w:w="700" w:type="dxa"/>
            <w:tcBorders>
              <w:top w:val="single" w:sz="4" w:space="0" w:color="auto"/>
              <w:left w:val="nil"/>
              <w:bottom w:val="single" w:sz="4" w:space="0" w:color="auto"/>
              <w:right w:val="single" w:sz="4" w:space="0" w:color="auto"/>
            </w:tcBorders>
            <w:noWrap/>
            <w:vAlign w:val="center"/>
            <w:hideMark/>
          </w:tcPr>
          <w:p w14:paraId="37571B4B" w14:textId="77777777" w:rsidR="00F56995" w:rsidRPr="00394EB6" w:rsidRDefault="00F56995">
            <w:pPr>
              <w:jc w:val="center"/>
              <w:rPr>
                <w:rFonts w:ascii="Arial" w:hAnsi="Arial" w:cs="Arial"/>
              </w:rPr>
            </w:pPr>
            <w:r w:rsidRPr="00394EB6">
              <w:rPr>
                <w:rFonts w:ascii="Arial" w:hAnsi="Arial" w:cs="Arial"/>
              </w:rPr>
              <w:t>III</w:t>
            </w:r>
          </w:p>
        </w:tc>
        <w:tc>
          <w:tcPr>
            <w:tcW w:w="700" w:type="dxa"/>
            <w:tcBorders>
              <w:top w:val="single" w:sz="4" w:space="0" w:color="auto"/>
              <w:left w:val="nil"/>
              <w:bottom w:val="single" w:sz="4" w:space="0" w:color="auto"/>
              <w:right w:val="single" w:sz="4" w:space="0" w:color="auto"/>
            </w:tcBorders>
            <w:noWrap/>
            <w:vAlign w:val="center"/>
            <w:hideMark/>
          </w:tcPr>
          <w:p w14:paraId="23BECD96" w14:textId="77777777" w:rsidR="00F56995" w:rsidRPr="00394EB6" w:rsidRDefault="00F56995">
            <w:pPr>
              <w:jc w:val="center"/>
              <w:rPr>
                <w:rFonts w:ascii="Arial" w:hAnsi="Arial" w:cs="Arial"/>
              </w:rPr>
            </w:pPr>
            <w:r w:rsidRPr="00394EB6">
              <w:rPr>
                <w:rFonts w:ascii="Arial" w:hAnsi="Arial" w:cs="Arial"/>
              </w:rPr>
              <w:t>IV</w:t>
            </w:r>
          </w:p>
        </w:tc>
        <w:tc>
          <w:tcPr>
            <w:tcW w:w="700" w:type="dxa"/>
            <w:tcBorders>
              <w:top w:val="single" w:sz="4" w:space="0" w:color="auto"/>
              <w:left w:val="nil"/>
              <w:bottom w:val="single" w:sz="4" w:space="0" w:color="auto"/>
              <w:right w:val="single" w:sz="4" w:space="0" w:color="auto"/>
            </w:tcBorders>
            <w:noWrap/>
            <w:vAlign w:val="center"/>
            <w:hideMark/>
          </w:tcPr>
          <w:p w14:paraId="69E1B5F4" w14:textId="77777777" w:rsidR="00F56995" w:rsidRPr="00394EB6" w:rsidRDefault="00F56995">
            <w:pPr>
              <w:jc w:val="center"/>
              <w:rPr>
                <w:rFonts w:ascii="Arial" w:hAnsi="Arial" w:cs="Arial"/>
              </w:rPr>
            </w:pPr>
            <w:r w:rsidRPr="00394EB6">
              <w:rPr>
                <w:rFonts w:ascii="Arial" w:hAnsi="Arial" w:cs="Arial"/>
              </w:rPr>
              <w:t>V</w:t>
            </w:r>
          </w:p>
        </w:tc>
        <w:tc>
          <w:tcPr>
            <w:tcW w:w="700" w:type="dxa"/>
            <w:tcBorders>
              <w:top w:val="single" w:sz="4" w:space="0" w:color="auto"/>
              <w:left w:val="nil"/>
              <w:bottom w:val="single" w:sz="4" w:space="0" w:color="auto"/>
              <w:right w:val="single" w:sz="4" w:space="0" w:color="auto"/>
            </w:tcBorders>
            <w:noWrap/>
            <w:vAlign w:val="center"/>
            <w:hideMark/>
          </w:tcPr>
          <w:p w14:paraId="130E2FE7" w14:textId="77777777" w:rsidR="00F56995" w:rsidRPr="00394EB6" w:rsidRDefault="00F56995">
            <w:pPr>
              <w:jc w:val="center"/>
              <w:rPr>
                <w:rFonts w:ascii="Arial" w:hAnsi="Arial" w:cs="Arial"/>
              </w:rPr>
            </w:pPr>
            <w:r w:rsidRPr="00394EB6">
              <w:rPr>
                <w:rFonts w:ascii="Arial" w:hAnsi="Arial" w:cs="Arial"/>
              </w:rPr>
              <w:t>VI</w:t>
            </w:r>
          </w:p>
        </w:tc>
        <w:tc>
          <w:tcPr>
            <w:tcW w:w="700" w:type="dxa"/>
            <w:tcBorders>
              <w:top w:val="single" w:sz="4" w:space="0" w:color="auto"/>
              <w:left w:val="nil"/>
              <w:bottom w:val="single" w:sz="4" w:space="0" w:color="auto"/>
              <w:right w:val="single" w:sz="4" w:space="0" w:color="auto"/>
            </w:tcBorders>
            <w:noWrap/>
            <w:vAlign w:val="center"/>
            <w:hideMark/>
          </w:tcPr>
          <w:p w14:paraId="225077BA" w14:textId="77777777" w:rsidR="00F56995" w:rsidRPr="00394EB6" w:rsidRDefault="00F56995">
            <w:pPr>
              <w:jc w:val="center"/>
              <w:rPr>
                <w:rFonts w:ascii="Arial" w:hAnsi="Arial" w:cs="Arial"/>
              </w:rPr>
            </w:pPr>
            <w:r w:rsidRPr="00394EB6">
              <w:rPr>
                <w:rFonts w:ascii="Arial" w:hAnsi="Arial" w:cs="Arial"/>
              </w:rPr>
              <w:t>VII</w:t>
            </w:r>
          </w:p>
        </w:tc>
        <w:tc>
          <w:tcPr>
            <w:tcW w:w="700" w:type="dxa"/>
            <w:tcBorders>
              <w:top w:val="single" w:sz="4" w:space="0" w:color="auto"/>
              <w:left w:val="nil"/>
              <w:bottom w:val="single" w:sz="4" w:space="0" w:color="auto"/>
              <w:right w:val="single" w:sz="4" w:space="0" w:color="auto"/>
            </w:tcBorders>
            <w:noWrap/>
            <w:vAlign w:val="center"/>
            <w:hideMark/>
          </w:tcPr>
          <w:p w14:paraId="040DE700" w14:textId="77777777" w:rsidR="00F56995" w:rsidRPr="00394EB6" w:rsidRDefault="00F56995">
            <w:pPr>
              <w:jc w:val="center"/>
              <w:rPr>
                <w:rFonts w:ascii="Arial" w:hAnsi="Arial" w:cs="Arial"/>
              </w:rPr>
            </w:pPr>
            <w:r w:rsidRPr="00394EB6">
              <w:rPr>
                <w:rFonts w:ascii="Arial" w:hAnsi="Arial" w:cs="Arial"/>
              </w:rPr>
              <w:t>VIII</w:t>
            </w:r>
          </w:p>
        </w:tc>
        <w:tc>
          <w:tcPr>
            <w:tcW w:w="700" w:type="dxa"/>
            <w:tcBorders>
              <w:top w:val="single" w:sz="4" w:space="0" w:color="auto"/>
              <w:left w:val="nil"/>
              <w:bottom w:val="single" w:sz="4" w:space="0" w:color="auto"/>
              <w:right w:val="single" w:sz="4" w:space="0" w:color="auto"/>
            </w:tcBorders>
            <w:noWrap/>
            <w:vAlign w:val="center"/>
            <w:hideMark/>
          </w:tcPr>
          <w:p w14:paraId="2463A8F8" w14:textId="77777777" w:rsidR="00F56995" w:rsidRPr="00394EB6" w:rsidRDefault="00F56995">
            <w:pPr>
              <w:jc w:val="center"/>
              <w:rPr>
                <w:rFonts w:ascii="Arial" w:hAnsi="Arial" w:cs="Arial"/>
              </w:rPr>
            </w:pPr>
            <w:r w:rsidRPr="00394EB6">
              <w:rPr>
                <w:rFonts w:ascii="Arial" w:hAnsi="Arial" w:cs="Arial"/>
              </w:rPr>
              <w:t>IX</w:t>
            </w:r>
          </w:p>
        </w:tc>
        <w:tc>
          <w:tcPr>
            <w:tcW w:w="700" w:type="dxa"/>
            <w:tcBorders>
              <w:top w:val="single" w:sz="4" w:space="0" w:color="auto"/>
              <w:left w:val="nil"/>
              <w:bottom w:val="single" w:sz="4" w:space="0" w:color="auto"/>
              <w:right w:val="single" w:sz="4" w:space="0" w:color="auto"/>
            </w:tcBorders>
            <w:noWrap/>
            <w:vAlign w:val="center"/>
            <w:hideMark/>
          </w:tcPr>
          <w:p w14:paraId="1E55EDE4" w14:textId="77777777" w:rsidR="00F56995" w:rsidRPr="00394EB6" w:rsidRDefault="00F56995">
            <w:pPr>
              <w:jc w:val="center"/>
              <w:rPr>
                <w:rFonts w:ascii="Arial" w:hAnsi="Arial" w:cs="Arial"/>
              </w:rPr>
            </w:pPr>
            <w:r w:rsidRPr="00394EB6">
              <w:rPr>
                <w:rFonts w:ascii="Arial" w:hAnsi="Arial" w:cs="Arial"/>
              </w:rPr>
              <w:t>X</w:t>
            </w:r>
          </w:p>
        </w:tc>
        <w:tc>
          <w:tcPr>
            <w:tcW w:w="700" w:type="dxa"/>
            <w:tcBorders>
              <w:top w:val="single" w:sz="4" w:space="0" w:color="auto"/>
              <w:left w:val="nil"/>
              <w:bottom w:val="single" w:sz="4" w:space="0" w:color="auto"/>
              <w:right w:val="single" w:sz="4" w:space="0" w:color="auto"/>
            </w:tcBorders>
            <w:noWrap/>
            <w:vAlign w:val="center"/>
            <w:hideMark/>
          </w:tcPr>
          <w:p w14:paraId="6193F55B" w14:textId="77777777" w:rsidR="00F56995" w:rsidRPr="00394EB6" w:rsidRDefault="00F56995">
            <w:pPr>
              <w:jc w:val="center"/>
              <w:rPr>
                <w:rFonts w:ascii="Arial" w:hAnsi="Arial" w:cs="Arial"/>
              </w:rPr>
            </w:pPr>
            <w:r w:rsidRPr="00394EB6">
              <w:rPr>
                <w:rFonts w:ascii="Arial" w:hAnsi="Arial" w:cs="Arial"/>
              </w:rPr>
              <w:t>XI</w:t>
            </w:r>
          </w:p>
        </w:tc>
        <w:tc>
          <w:tcPr>
            <w:tcW w:w="700" w:type="dxa"/>
            <w:tcBorders>
              <w:top w:val="single" w:sz="4" w:space="0" w:color="auto"/>
              <w:left w:val="nil"/>
              <w:bottom w:val="single" w:sz="4" w:space="0" w:color="auto"/>
              <w:right w:val="single" w:sz="4" w:space="0" w:color="auto"/>
            </w:tcBorders>
            <w:noWrap/>
            <w:vAlign w:val="center"/>
            <w:hideMark/>
          </w:tcPr>
          <w:p w14:paraId="04388060" w14:textId="77777777" w:rsidR="00F56995" w:rsidRPr="00394EB6" w:rsidRDefault="00F56995">
            <w:pPr>
              <w:jc w:val="center"/>
              <w:rPr>
                <w:rFonts w:ascii="Arial" w:hAnsi="Arial" w:cs="Arial"/>
              </w:rPr>
            </w:pPr>
            <w:r w:rsidRPr="00394EB6">
              <w:rPr>
                <w:rFonts w:ascii="Arial" w:hAnsi="Arial" w:cs="Arial"/>
              </w:rPr>
              <w:t>XII</w:t>
            </w:r>
          </w:p>
        </w:tc>
      </w:tr>
      <w:tr w:rsidR="00394EB6" w:rsidRPr="00394EB6" w14:paraId="41D7D5E8" w14:textId="77777777" w:rsidTr="00F56995">
        <w:trPr>
          <w:trHeight w:val="255"/>
        </w:trPr>
        <w:tc>
          <w:tcPr>
            <w:tcW w:w="1240" w:type="dxa"/>
            <w:tcBorders>
              <w:top w:val="nil"/>
              <w:left w:val="single" w:sz="4" w:space="0" w:color="auto"/>
              <w:bottom w:val="single" w:sz="4" w:space="0" w:color="auto"/>
              <w:right w:val="single" w:sz="4" w:space="0" w:color="auto"/>
            </w:tcBorders>
            <w:noWrap/>
            <w:vAlign w:val="center"/>
            <w:hideMark/>
          </w:tcPr>
          <w:p w14:paraId="7ECFDAD9" w14:textId="77777777" w:rsidR="00F56995" w:rsidRPr="00394EB6" w:rsidRDefault="00F56995">
            <w:pPr>
              <w:jc w:val="center"/>
              <w:rPr>
                <w:rFonts w:ascii="Arial" w:hAnsi="Arial" w:cs="Arial"/>
              </w:rPr>
            </w:pPr>
            <w:r w:rsidRPr="00394EB6">
              <w:rPr>
                <w:rFonts w:ascii="Arial" w:hAnsi="Arial" w:cs="Arial"/>
              </w:rPr>
              <w:t>2016 - 2020</w:t>
            </w:r>
          </w:p>
        </w:tc>
        <w:tc>
          <w:tcPr>
            <w:tcW w:w="700" w:type="dxa"/>
            <w:tcBorders>
              <w:top w:val="nil"/>
              <w:left w:val="nil"/>
              <w:bottom w:val="single" w:sz="4" w:space="0" w:color="auto"/>
              <w:right w:val="single" w:sz="4" w:space="0" w:color="auto"/>
            </w:tcBorders>
            <w:noWrap/>
            <w:vAlign w:val="center"/>
            <w:hideMark/>
          </w:tcPr>
          <w:p w14:paraId="070BB7CA" w14:textId="77777777" w:rsidR="00F56995" w:rsidRPr="00394EB6" w:rsidRDefault="00F56995">
            <w:pPr>
              <w:jc w:val="center"/>
              <w:rPr>
                <w:rFonts w:ascii="Arial" w:hAnsi="Arial" w:cs="Arial"/>
              </w:rPr>
            </w:pPr>
            <w:r w:rsidRPr="00394EB6">
              <w:rPr>
                <w:rFonts w:ascii="Arial" w:hAnsi="Arial" w:cs="Arial"/>
              </w:rPr>
              <w:t>-0,1</w:t>
            </w:r>
          </w:p>
        </w:tc>
        <w:tc>
          <w:tcPr>
            <w:tcW w:w="700" w:type="dxa"/>
            <w:tcBorders>
              <w:top w:val="nil"/>
              <w:left w:val="nil"/>
              <w:bottom w:val="single" w:sz="4" w:space="0" w:color="auto"/>
              <w:right w:val="single" w:sz="4" w:space="0" w:color="auto"/>
            </w:tcBorders>
            <w:noWrap/>
            <w:vAlign w:val="center"/>
            <w:hideMark/>
          </w:tcPr>
          <w:p w14:paraId="679664B9" w14:textId="77777777" w:rsidR="00F56995" w:rsidRPr="00394EB6" w:rsidRDefault="00F56995">
            <w:pPr>
              <w:jc w:val="center"/>
              <w:rPr>
                <w:rFonts w:ascii="Arial" w:hAnsi="Arial" w:cs="Arial"/>
              </w:rPr>
            </w:pPr>
            <w:r w:rsidRPr="00394EB6">
              <w:rPr>
                <w:rFonts w:ascii="Arial" w:hAnsi="Arial" w:cs="Arial"/>
              </w:rPr>
              <w:t>3,9</w:t>
            </w:r>
          </w:p>
        </w:tc>
        <w:tc>
          <w:tcPr>
            <w:tcW w:w="700" w:type="dxa"/>
            <w:tcBorders>
              <w:top w:val="nil"/>
              <w:left w:val="nil"/>
              <w:bottom w:val="single" w:sz="4" w:space="0" w:color="auto"/>
              <w:right w:val="single" w:sz="4" w:space="0" w:color="auto"/>
            </w:tcBorders>
            <w:noWrap/>
            <w:vAlign w:val="center"/>
            <w:hideMark/>
          </w:tcPr>
          <w:p w14:paraId="0FA2EAB9" w14:textId="77777777" w:rsidR="00F56995" w:rsidRPr="00394EB6" w:rsidRDefault="00F56995">
            <w:pPr>
              <w:jc w:val="center"/>
              <w:rPr>
                <w:rFonts w:ascii="Arial" w:hAnsi="Arial" w:cs="Arial"/>
              </w:rPr>
            </w:pPr>
            <w:r w:rsidRPr="00394EB6">
              <w:rPr>
                <w:rFonts w:ascii="Arial" w:hAnsi="Arial" w:cs="Arial"/>
              </w:rPr>
              <w:t>7,2</w:t>
            </w:r>
          </w:p>
        </w:tc>
        <w:tc>
          <w:tcPr>
            <w:tcW w:w="700" w:type="dxa"/>
            <w:tcBorders>
              <w:top w:val="nil"/>
              <w:left w:val="nil"/>
              <w:bottom w:val="single" w:sz="4" w:space="0" w:color="auto"/>
              <w:right w:val="single" w:sz="4" w:space="0" w:color="auto"/>
            </w:tcBorders>
            <w:noWrap/>
            <w:vAlign w:val="center"/>
            <w:hideMark/>
          </w:tcPr>
          <w:p w14:paraId="781362B1" w14:textId="77777777" w:rsidR="00F56995" w:rsidRPr="00394EB6" w:rsidRDefault="00F56995">
            <w:pPr>
              <w:jc w:val="center"/>
              <w:rPr>
                <w:rFonts w:ascii="Arial" w:hAnsi="Arial" w:cs="Arial"/>
              </w:rPr>
            </w:pPr>
            <w:r w:rsidRPr="00394EB6">
              <w:rPr>
                <w:rFonts w:ascii="Arial" w:hAnsi="Arial" w:cs="Arial"/>
              </w:rPr>
              <w:t>12,5</w:t>
            </w:r>
          </w:p>
        </w:tc>
        <w:tc>
          <w:tcPr>
            <w:tcW w:w="700" w:type="dxa"/>
            <w:tcBorders>
              <w:top w:val="nil"/>
              <w:left w:val="nil"/>
              <w:bottom w:val="single" w:sz="4" w:space="0" w:color="auto"/>
              <w:right w:val="single" w:sz="4" w:space="0" w:color="auto"/>
            </w:tcBorders>
            <w:noWrap/>
            <w:vAlign w:val="center"/>
            <w:hideMark/>
          </w:tcPr>
          <w:p w14:paraId="1ABE15F1" w14:textId="77777777" w:rsidR="00F56995" w:rsidRPr="00394EB6" w:rsidRDefault="00F56995">
            <w:pPr>
              <w:jc w:val="center"/>
              <w:rPr>
                <w:rFonts w:ascii="Arial" w:hAnsi="Arial" w:cs="Arial"/>
              </w:rPr>
            </w:pPr>
            <w:r w:rsidRPr="00394EB6">
              <w:rPr>
                <w:rFonts w:ascii="Arial" w:hAnsi="Arial" w:cs="Arial"/>
              </w:rPr>
              <w:t>16,1</w:t>
            </w:r>
          </w:p>
        </w:tc>
        <w:tc>
          <w:tcPr>
            <w:tcW w:w="700" w:type="dxa"/>
            <w:tcBorders>
              <w:top w:val="nil"/>
              <w:left w:val="nil"/>
              <w:bottom w:val="single" w:sz="4" w:space="0" w:color="auto"/>
              <w:right w:val="single" w:sz="4" w:space="0" w:color="auto"/>
            </w:tcBorders>
            <w:noWrap/>
            <w:vAlign w:val="center"/>
            <w:hideMark/>
          </w:tcPr>
          <w:p w14:paraId="095C78EC" w14:textId="77777777" w:rsidR="00F56995" w:rsidRPr="00394EB6" w:rsidRDefault="00F56995">
            <w:pPr>
              <w:jc w:val="center"/>
              <w:rPr>
                <w:rFonts w:ascii="Arial" w:hAnsi="Arial" w:cs="Arial"/>
              </w:rPr>
            </w:pPr>
            <w:r w:rsidRPr="00394EB6">
              <w:rPr>
                <w:rFonts w:ascii="Arial" w:hAnsi="Arial" w:cs="Arial"/>
              </w:rPr>
              <w:t>21,7</w:t>
            </w:r>
          </w:p>
        </w:tc>
        <w:tc>
          <w:tcPr>
            <w:tcW w:w="700" w:type="dxa"/>
            <w:tcBorders>
              <w:top w:val="nil"/>
              <w:left w:val="nil"/>
              <w:bottom w:val="single" w:sz="4" w:space="0" w:color="auto"/>
              <w:right w:val="single" w:sz="4" w:space="0" w:color="auto"/>
            </w:tcBorders>
            <w:noWrap/>
            <w:vAlign w:val="center"/>
            <w:hideMark/>
          </w:tcPr>
          <w:p w14:paraId="3B97BC51" w14:textId="77777777" w:rsidR="00F56995" w:rsidRPr="00394EB6" w:rsidRDefault="00F56995">
            <w:pPr>
              <w:jc w:val="center"/>
              <w:rPr>
                <w:rFonts w:ascii="Arial" w:hAnsi="Arial" w:cs="Arial"/>
              </w:rPr>
            </w:pPr>
            <w:r w:rsidRPr="00394EB6">
              <w:rPr>
                <w:rFonts w:ascii="Arial" w:hAnsi="Arial" w:cs="Arial"/>
              </w:rPr>
              <w:t>22,7</w:t>
            </w:r>
          </w:p>
        </w:tc>
        <w:tc>
          <w:tcPr>
            <w:tcW w:w="700" w:type="dxa"/>
            <w:tcBorders>
              <w:top w:val="nil"/>
              <w:left w:val="nil"/>
              <w:bottom w:val="single" w:sz="4" w:space="0" w:color="auto"/>
              <w:right w:val="single" w:sz="4" w:space="0" w:color="auto"/>
            </w:tcBorders>
            <w:noWrap/>
            <w:vAlign w:val="center"/>
            <w:hideMark/>
          </w:tcPr>
          <w:p w14:paraId="47204D50" w14:textId="77777777" w:rsidR="00F56995" w:rsidRPr="00394EB6" w:rsidRDefault="00F56995">
            <w:pPr>
              <w:jc w:val="center"/>
              <w:rPr>
                <w:rFonts w:ascii="Arial" w:hAnsi="Arial" w:cs="Arial"/>
              </w:rPr>
            </w:pPr>
            <w:r w:rsidRPr="00394EB6">
              <w:rPr>
                <w:rFonts w:ascii="Arial" w:hAnsi="Arial" w:cs="Arial"/>
              </w:rPr>
              <w:t>22,6</w:t>
            </w:r>
          </w:p>
        </w:tc>
        <w:tc>
          <w:tcPr>
            <w:tcW w:w="700" w:type="dxa"/>
            <w:tcBorders>
              <w:top w:val="nil"/>
              <w:left w:val="nil"/>
              <w:bottom w:val="single" w:sz="4" w:space="0" w:color="auto"/>
              <w:right w:val="single" w:sz="4" w:space="0" w:color="auto"/>
            </w:tcBorders>
            <w:noWrap/>
            <w:vAlign w:val="center"/>
            <w:hideMark/>
          </w:tcPr>
          <w:p w14:paraId="3D42C064" w14:textId="77777777" w:rsidR="00F56995" w:rsidRPr="00394EB6" w:rsidRDefault="00F56995">
            <w:pPr>
              <w:jc w:val="center"/>
              <w:rPr>
                <w:rFonts w:ascii="Arial" w:hAnsi="Arial" w:cs="Arial"/>
              </w:rPr>
            </w:pPr>
            <w:r w:rsidRPr="00394EB6">
              <w:rPr>
                <w:rFonts w:ascii="Arial" w:hAnsi="Arial" w:cs="Arial"/>
              </w:rPr>
              <w:t>17,3</w:t>
            </w:r>
          </w:p>
        </w:tc>
        <w:tc>
          <w:tcPr>
            <w:tcW w:w="700" w:type="dxa"/>
            <w:tcBorders>
              <w:top w:val="nil"/>
              <w:left w:val="nil"/>
              <w:bottom w:val="single" w:sz="4" w:space="0" w:color="auto"/>
              <w:right w:val="single" w:sz="4" w:space="0" w:color="auto"/>
            </w:tcBorders>
            <w:noWrap/>
            <w:vAlign w:val="center"/>
            <w:hideMark/>
          </w:tcPr>
          <w:p w14:paraId="44DB9D5C" w14:textId="77777777" w:rsidR="00F56995" w:rsidRPr="00394EB6" w:rsidRDefault="00F56995">
            <w:pPr>
              <w:jc w:val="center"/>
              <w:rPr>
                <w:rFonts w:ascii="Arial" w:hAnsi="Arial" w:cs="Arial"/>
              </w:rPr>
            </w:pPr>
            <w:r w:rsidRPr="00394EB6">
              <w:rPr>
                <w:rFonts w:ascii="Arial" w:hAnsi="Arial" w:cs="Arial"/>
              </w:rPr>
              <w:t>11,7</w:t>
            </w:r>
          </w:p>
        </w:tc>
        <w:tc>
          <w:tcPr>
            <w:tcW w:w="700" w:type="dxa"/>
            <w:tcBorders>
              <w:top w:val="nil"/>
              <w:left w:val="nil"/>
              <w:bottom w:val="single" w:sz="4" w:space="0" w:color="auto"/>
              <w:right w:val="single" w:sz="4" w:space="0" w:color="auto"/>
            </w:tcBorders>
            <w:noWrap/>
            <w:vAlign w:val="center"/>
            <w:hideMark/>
          </w:tcPr>
          <w:p w14:paraId="3830B4E1" w14:textId="77777777" w:rsidR="00F56995" w:rsidRPr="00394EB6" w:rsidRDefault="00F56995">
            <w:pPr>
              <w:jc w:val="center"/>
              <w:rPr>
                <w:rFonts w:ascii="Arial" w:hAnsi="Arial" w:cs="Arial"/>
              </w:rPr>
            </w:pPr>
            <w:r w:rsidRPr="00394EB6">
              <w:rPr>
                <w:rFonts w:ascii="Arial" w:hAnsi="Arial" w:cs="Arial"/>
              </w:rPr>
              <w:t>6,2</w:t>
            </w:r>
          </w:p>
        </w:tc>
        <w:tc>
          <w:tcPr>
            <w:tcW w:w="700" w:type="dxa"/>
            <w:tcBorders>
              <w:top w:val="nil"/>
              <w:left w:val="nil"/>
              <w:bottom w:val="single" w:sz="4" w:space="0" w:color="auto"/>
              <w:right w:val="single" w:sz="4" w:space="0" w:color="auto"/>
            </w:tcBorders>
            <w:noWrap/>
            <w:vAlign w:val="center"/>
            <w:hideMark/>
          </w:tcPr>
          <w:p w14:paraId="3F97E924" w14:textId="77777777" w:rsidR="00F56995" w:rsidRPr="00394EB6" w:rsidRDefault="00F56995">
            <w:pPr>
              <w:jc w:val="center"/>
              <w:rPr>
                <w:rFonts w:ascii="Arial" w:hAnsi="Arial" w:cs="Arial"/>
              </w:rPr>
            </w:pPr>
            <w:r w:rsidRPr="00394EB6">
              <w:rPr>
                <w:rFonts w:ascii="Arial" w:hAnsi="Arial" w:cs="Arial"/>
              </w:rPr>
              <w:t>2,6</w:t>
            </w:r>
          </w:p>
        </w:tc>
      </w:tr>
    </w:tbl>
    <w:p w14:paraId="1035F83B" w14:textId="77777777" w:rsidR="00F56995" w:rsidRPr="00394EB6" w:rsidRDefault="00F56995" w:rsidP="00394EB6">
      <w:pPr>
        <w:pStyle w:val="tabu"/>
        <w:tabs>
          <w:tab w:val="num" w:pos="0"/>
        </w:tabs>
        <w:spacing w:before="0" w:after="0"/>
        <w:jc w:val="center"/>
        <w:rPr>
          <w:rFonts w:cs="Arial"/>
          <w:i w:val="0"/>
          <w:sz w:val="18"/>
          <w:szCs w:val="18"/>
          <w:lang w:eastAsia="en-US"/>
        </w:rPr>
      </w:pPr>
      <w:r w:rsidRPr="00394EB6">
        <w:rPr>
          <w:rFonts w:cs="Arial"/>
          <w:i w:val="0"/>
          <w:sz w:val="18"/>
          <w:szCs w:val="18"/>
          <w:lang w:eastAsia="en-US"/>
        </w:rPr>
        <w:t>Zdroj: Ročenky klimatologických pozorovaní meteorologických staníc na území SR za obdobie 2016-2020, SHMÚ, Bratislava</w:t>
      </w:r>
    </w:p>
    <w:p w14:paraId="0180A5D6" w14:textId="77777777" w:rsidR="00F56995" w:rsidRPr="00394EB6" w:rsidRDefault="00F56995" w:rsidP="00394EB6">
      <w:pPr>
        <w:rPr>
          <w:sz w:val="18"/>
          <w:szCs w:val="18"/>
          <w:lang w:eastAsia="en-US"/>
        </w:rPr>
      </w:pPr>
    </w:p>
    <w:p w14:paraId="3F66B146" w14:textId="55341110" w:rsidR="00F56995" w:rsidRPr="005145B5" w:rsidRDefault="00F56995" w:rsidP="00F56995">
      <w:pPr>
        <w:pStyle w:val="poznmka"/>
        <w:rPr>
          <w:rFonts w:cs="Arial"/>
          <w:bCs/>
          <w:i/>
          <w:szCs w:val="18"/>
          <w:lang w:val="sk-SK"/>
        </w:rPr>
      </w:pPr>
      <w:r w:rsidRPr="005145B5">
        <w:rPr>
          <w:rFonts w:cs="Arial"/>
          <w:bCs/>
          <w:i/>
          <w:szCs w:val="18"/>
          <w:lang w:val="sk-SK"/>
        </w:rPr>
        <w:t xml:space="preserve">Tab. č. </w:t>
      </w:r>
      <w:r w:rsidR="005A4635" w:rsidRPr="005145B5">
        <w:rPr>
          <w:rFonts w:cs="Arial"/>
          <w:bCs/>
          <w:i/>
          <w:szCs w:val="18"/>
          <w:lang w:val="sk-SK"/>
        </w:rPr>
        <w:t>III.1.2</w:t>
      </w:r>
      <w:r w:rsidRPr="005145B5">
        <w:rPr>
          <w:rFonts w:cs="Arial"/>
          <w:bCs/>
          <w:i/>
          <w:szCs w:val="18"/>
          <w:lang w:val="sk-SK"/>
        </w:rPr>
        <w:t>: Priemerné mesačné hodnoty teploty zo stanice Bratislava - Letisko (ºC)</w:t>
      </w:r>
    </w:p>
    <w:tbl>
      <w:tblPr>
        <w:tblW w:w="9640" w:type="dxa"/>
        <w:tblInd w:w="57" w:type="dxa"/>
        <w:tblCellMar>
          <w:left w:w="70" w:type="dxa"/>
          <w:right w:w="70" w:type="dxa"/>
        </w:tblCellMar>
        <w:tblLook w:val="04A0" w:firstRow="1" w:lastRow="0" w:firstColumn="1" w:lastColumn="0" w:noHBand="0" w:noVBand="1"/>
      </w:tblPr>
      <w:tblGrid>
        <w:gridCol w:w="1240"/>
        <w:gridCol w:w="700"/>
        <w:gridCol w:w="700"/>
        <w:gridCol w:w="700"/>
        <w:gridCol w:w="700"/>
        <w:gridCol w:w="700"/>
        <w:gridCol w:w="700"/>
        <w:gridCol w:w="700"/>
        <w:gridCol w:w="700"/>
        <w:gridCol w:w="700"/>
        <w:gridCol w:w="700"/>
        <w:gridCol w:w="700"/>
        <w:gridCol w:w="700"/>
      </w:tblGrid>
      <w:tr w:rsidR="00394EB6" w:rsidRPr="00394EB6" w14:paraId="64305731" w14:textId="77777777" w:rsidTr="00F56995">
        <w:trPr>
          <w:trHeight w:val="255"/>
        </w:trPr>
        <w:tc>
          <w:tcPr>
            <w:tcW w:w="1240" w:type="dxa"/>
            <w:tcBorders>
              <w:top w:val="single" w:sz="4" w:space="0" w:color="auto"/>
              <w:left w:val="single" w:sz="4" w:space="0" w:color="auto"/>
              <w:bottom w:val="single" w:sz="4" w:space="0" w:color="auto"/>
              <w:right w:val="single" w:sz="4" w:space="0" w:color="auto"/>
            </w:tcBorders>
            <w:noWrap/>
            <w:vAlign w:val="center"/>
            <w:hideMark/>
          </w:tcPr>
          <w:p w14:paraId="61AB9C8D" w14:textId="77777777" w:rsidR="00F56995" w:rsidRPr="00394EB6" w:rsidRDefault="00F56995">
            <w:pPr>
              <w:jc w:val="center"/>
              <w:rPr>
                <w:rFonts w:ascii="Arial" w:hAnsi="Arial" w:cs="Arial"/>
              </w:rPr>
            </w:pPr>
            <w:r w:rsidRPr="00394EB6">
              <w:rPr>
                <w:rFonts w:ascii="Arial" w:hAnsi="Arial" w:cs="Arial"/>
              </w:rPr>
              <w:t>rok</w:t>
            </w:r>
          </w:p>
        </w:tc>
        <w:tc>
          <w:tcPr>
            <w:tcW w:w="700" w:type="dxa"/>
            <w:tcBorders>
              <w:top w:val="single" w:sz="4" w:space="0" w:color="auto"/>
              <w:left w:val="nil"/>
              <w:bottom w:val="single" w:sz="4" w:space="0" w:color="auto"/>
              <w:right w:val="single" w:sz="4" w:space="0" w:color="auto"/>
            </w:tcBorders>
            <w:noWrap/>
            <w:vAlign w:val="center"/>
            <w:hideMark/>
          </w:tcPr>
          <w:p w14:paraId="0FA1B587" w14:textId="77777777" w:rsidR="00F56995" w:rsidRPr="00394EB6" w:rsidRDefault="00F56995">
            <w:pPr>
              <w:jc w:val="center"/>
              <w:rPr>
                <w:rFonts w:ascii="Arial" w:hAnsi="Arial" w:cs="Arial"/>
              </w:rPr>
            </w:pPr>
            <w:r w:rsidRPr="00394EB6">
              <w:rPr>
                <w:rFonts w:ascii="Arial" w:hAnsi="Arial" w:cs="Arial"/>
              </w:rPr>
              <w:t>I</w:t>
            </w:r>
          </w:p>
        </w:tc>
        <w:tc>
          <w:tcPr>
            <w:tcW w:w="700" w:type="dxa"/>
            <w:tcBorders>
              <w:top w:val="single" w:sz="4" w:space="0" w:color="auto"/>
              <w:left w:val="nil"/>
              <w:bottom w:val="single" w:sz="4" w:space="0" w:color="auto"/>
              <w:right w:val="single" w:sz="4" w:space="0" w:color="auto"/>
            </w:tcBorders>
            <w:noWrap/>
            <w:vAlign w:val="center"/>
            <w:hideMark/>
          </w:tcPr>
          <w:p w14:paraId="49BDA986" w14:textId="77777777" w:rsidR="00F56995" w:rsidRPr="00394EB6" w:rsidRDefault="00F56995">
            <w:pPr>
              <w:jc w:val="center"/>
              <w:rPr>
                <w:rFonts w:ascii="Arial" w:hAnsi="Arial" w:cs="Arial"/>
              </w:rPr>
            </w:pPr>
            <w:r w:rsidRPr="00394EB6">
              <w:rPr>
                <w:rFonts w:ascii="Arial" w:hAnsi="Arial" w:cs="Arial"/>
              </w:rPr>
              <w:t>II</w:t>
            </w:r>
          </w:p>
        </w:tc>
        <w:tc>
          <w:tcPr>
            <w:tcW w:w="700" w:type="dxa"/>
            <w:tcBorders>
              <w:top w:val="single" w:sz="4" w:space="0" w:color="auto"/>
              <w:left w:val="nil"/>
              <w:bottom w:val="single" w:sz="4" w:space="0" w:color="auto"/>
              <w:right w:val="single" w:sz="4" w:space="0" w:color="auto"/>
            </w:tcBorders>
            <w:noWrap/>
            <w:vAlign w:val="center"/>
            <w:hideMark/>
          </w:tcPr>
          <w:p w14:paraId="0C1D5D56" w14:textId="77777777" w:rsidR="00F56995" w:rsidRPr="00394EB6" w:rsidRDefault="00F56995">
            <w:pPr>
              <w:jc w:val="center"/>
              <w:rPr>
                <w:rFonts w:ascii="Arial" w:hAnsi="Arial" w:cs="Arial"/>
              </w:rPr>
            </w:pPr>
            <w:r w:rsidRPr="00394EB6">
              <w:rPr>
                <w:rFonts w:ascii="Arial" w:hAnsi="Arial" w:cs="Arial"/>
              </w:rPr>
              <w:t>III</w:t>
            </w:r>
          </w:p>
        </w:tc>
        <w:tc>
          <w:tcPr>
            <w:tcW w:w="700" w:type="dxa"/>
            <w:tcBorders>
              <w:top w:val="single" w:sz="4" w:space="0" w:color="auto"/>
              <w:left w:val="nil"/>
              <w:bottom w:val="single" w:sz="4" w:space="0" w:color="auto"/>
              <w:right w:val="single" w:sz="4" w:space="0" w:color="auto"/>
            </w:tcBorders>
            <w:noWrap/>
            <w:vAlign w:val="center"/>
            <w:hideMark/>
          </w:tcPr>
          <w:p w14:paraId="5D92760C" w14:textId="77777777" w:rsidR="00F56995" w:rsidRPr="00394EB6" w:rsidRDefault="00F56995">
            <w:pPr>
              <w:jc w:val="center"/>
              <w:rPr>
                <w:rFonts w:ascii="Arial" w:hAnsi="Arial" w:cs="Arial"/>
              </w:rPr>
            </w:pPr>
            <w:r w:rsidRPr="00394EB6">
              <w:rPr>
                <w:rFonts w:ascii="Arial" w:hAnsi="Arial" w:cs="Arial"/>
              </w:rPr>
              <w:t>IV</w:t>
            </w:r>
          </w:p>
        </w:tc>
        <w:tc>
          <w:tcPr>
            <w:tcW w:w="700" w:type="dxa"/>
            <w:tcBorders>
              <w:top w:val="single" w:sz="4" w:space="0" w:color="auto"/>
              <w:left w:val="nil"/>
              <w:bottom w:val="single" w:sz="4" w:space="0" w:color="auto"/>
              <w:right w:val="single" w:sz="4" w:space="0" w:color="auto"/>
            </w:tcBorders>
            <w:noWrap/>
            <w:vAlign w:val="center"/>
            <w:hideMark/>
          </w:tcPr>
          <w:p w14:paraId="56C780FA" w14:textId="77777777" w:rsidR="00F56995" w:rsidRPr="00394EB6" w:rsidRDefault="00F56995">
            <w:pPr>
              <w:jc w:val="center"/>
              <w:rPr>
                <w:rFonts w:ascii="Arial" w:hAnsi="Arial" w:cs="Arial"/>
              </w:rPr>
            </w:pPr>
            <w:r w:rsidRPr="00394EB6">
              <w:rPr>
                <w:rFonts w:ascii="Arial" w:hAnsi="Arial" w:cs="Arial"/>
              </w:rPr>
              <w:t>V</w:t>
            </w:r>
          </w:p>
        </w:tc>
        <w:tc>
          <w:tcPr>
            <w:tcW w:w="700" w:type="dxa"/>
            <w:tcBorders>
              <w:top w:val="single" w:sz="4" w:space="0" w:color="auto"/>
              <w:left w:val="nil"/>
              <w:bottom w:val="single" w:sz="4" w:space="0" w:color="auto"/>
              <w:right w:val="single" w:sz="4" w:space="0" w:color="auto"/>
            </w:tcBorders>
            <w:noWrap/>
            <w:vAlign w:val="center"/>
            <w:hideMark/>
          </w:tcPr>
          <w:p w14:paraId="3EABCFC3" w14:textId="77777777" w:rsidR="00F56995" w:rsidRPr="00394EB6" w:rsidRDefault="00F56995">
            <w:pPr>
              <w:jc w:val="center"/>
              <w:rPr>
                <w:rFonts w:ascii="Arial" w:hAnsi="Arial" w:cs="Arial"/>
              </w:rPr>
            </w:pPr>
            <w:r w:rsidRPr="00394EB6">
              <w:rPr>
                <w:rFonts w:ascii="Arial" w:hAnsi="Arial" w:cs="Arial"/>
              </w:rPr>
              <w:t>VI</w:t>
            </w:r>
          </w:p>
        </w:tc>
        <w:tc>
          <w:tcPr>
            <w:tcW w:w="700" w:type="dxa"/>
            <w:tcBorders>
              <w:top w:val="single" w:sz="4" w:space="0" w:color="auto"/>
              <w:left w:val="nil"/>
              <w:bottom w:val="single" w:sz="4" w:space="0" w:color="auto"/>
              <w:right w:val="single" w:sz="4" w:space="0" w:color="auto"/>
            </w:tcBorders>
            <w:noWrap/>
            <w:vAlign w:val="center"/>
            <w:hideMark/>
          </w:tcPr>
          <w:p w14:paraId="604E369E" w14:textId="77777777" w:rsidR="00F56995" w:rsidRPr="00394EB6" w:rsidRDefault="00F56995">
            <w:pPr>
              <w:jc w:val="center"/>
              <w:rPr>
                <w:rFonts w:ascii="Arial" w:hAnsi="Arial" w:cs="Arial"/>
              </w:rPr>
            </w:pPr>
            <w:r w:rsidRPr="00394EB6">
              <w:rPr>
                <w:rFonts w:ascii="Arial" w:hAnsi="Arial" w:cs="Arial"/>
              </w:rPr>
              <w:t>VII</w:t>
            </w:r>
          </w:p>
        </w:tc>
        <w:tc>
          <w:tcPr>
            <w:tcW w:w="700" w:type="dxa"/>
            <w:tcBorders>
              <w:top w:val="single" w:sz="4" w:space="0" w:color="auto"/>
              <w:left w:val="nil"/>
              <w:bottom w:val="single" w:sz="4" w:space="0" w:color="auto"/>
              <w:right w:val="single" w:sz="4" w:space="0" w:color="auto"/>
            </w:tcBorders>
            <w:noWrap/>
            <w:vAlign w:val="center"/>
            <w:hideMark/>
          </w:tcPr>
          <w:p w14:paraId="33922FE1" w14:textId="77777777" w:rsidR="00F56995" w:rsidRPr="00394EB6" w:rsidRDefault="00F56995">
            <w:pPr>
              <w:jc w:val="center"/>
              <w:rPr>
                <w:rFonts w:ascii="Arial" w:hAnsi="Arial" w:cs="Arial"/>
              </w:rPr>
            </w:pPr>
            <w:r w:rsidRPr="00394EB6">
              <w:rPr>
                <w:rFonts w:ascii="Arial" w:hAnsi="Arial" w:cs="Arial"/>
              </w:rPr>
              <w:t>VIII</w:t>
            </w:r>
          </w:p>
        </w:tc>
        <w:tc>
          <w:tcPr>
            <w:tcW w:w="700" w:type="dxa"/>
            <w:tcBorders>
              <w:top w:val="single" w:sz="4" w:space="0" w:color="auto"/>
              <w:left w:val="nil"/>
              <w:bottom w:val="single" w:sz="4" w:space="0" w:color="auto"/>
              <w:right w:val="single" w:sz="4" w:space="0" w:color="auto"/>
            </w:tcBorders>
            <w:noWrap/>
            <w:vAlign w:val="center"/>
            <w:hideMark/>
          </w:tcPr>
          <w:p w14:paraId="0A439479" w14:textId="77777777" w:rsidR="00F56995" w:rsidRPr="00394EB6" w:rsidRDefault="00F56995">
            <w:pPr>
              <w:jc w:val="center"/>
              <w:rPr>
                <w:rFonts w:ascii="Arial" w:hAnsi="Arial" w:cs="Arial"/>
              </w:rPr>
            </w:pPr>
            <w:r w:rsidRPr="00394EB6">
              <w:rPr>
                <w:rFonts w:ascii="Arial" w:hAnsi="Arial" w:cs="Arial"/>
              </w:rPr>
              <w:t>IX</w:t>
            </w:r>
          </w:p>
        </w:tc>
        <w:tc>
          <w:tcPr>
            <w:tcW w:w="700" w:type="dxa"/>
            <w:tcBorders>
              <w:top w:val="single" w:sz="4" w:space="0" w:color="auto"/>
              <w:left w:val="nil"/>
              <w:bottom w:val="single" w:sz="4" w:space="0" w:color="auto"/>
              <w:right w:val="single" w:sz="4" w:space="0" w:color="auto"/>
            </w:tcBorders>
            <w:noWrap/>
            <w:vAlign w:val="center"/>
            <w:hideMark/>
          </w:tcPr>
          <w:p w14:paraId="5DA38F3E" w14:textId="77777777" w:rsidR="00F56995" w:rsidRPr="00394EB6" w:rsidRDefault="00F56995">
            <w:pPr>
              <w:jc w:val="center"/>
              <w:rPr>
                <w:rFonts w:ascii="Arial" w:hAnsi="Arial" w:cs="Arial"/>
              </w:rPr>
            </w:pPr>
            <w:r w:rsidRPr="00394EB6">
              <w:rPr>
                <w:rFonts w:ascii="Arial" w:hAnsi="Arial" w:cs="Arial"/>
              </w:rPr>
              <w:t>X</w:t>
            </w:r>
          </w:p>
        </w:tc>
        <w:tc>
          <w:tcPr>
            <w:tcW w:w="700" w:type="dxa"/>
            <w:tcBorders>
              <w:top w:val="single" w:sz="4" w:space="0" w:color="auto"/>
              <w:left w:val="nil"/>
              <w:bottom w:val="single" w:sz="4" w:space="0" w:color="auto"/>
              <w:right w:val="single" w:sz="4" w:space="0" w:color="auto"/>
            </w:tcBorders>
            <w:noWrap/>
            <w:vAlign w:val="center"/>
            <w:hideMark/>
          </w:tcPr>
          <w:p w14:paraId="66BB1A95" w14:textId="77777777" w:rsidR="00F56995" w:rsidRPr="00394EB6" w:rsidRDefault="00F56995">
            <w:pPr>
              <w:jc w:val="center"/>
              <w:rPr>
                <w:rFonts w:ascii="Arial" w:hAnsi="Arial" w:cs="Arial"/>
              </w:rPr>
            </w:pPr>
            <w:r w:rsidRPr="00394EB6">
              <w:rPr>
                <w:rFonts w:ascii="Arial" w:hAnsi="Arial" w:cs="Arial"/>
              </w:rPr>
              <w:t>XI</w:t>
            </w:r>
          </w:p>
        </w:tc>
        <w:tc>
          <w:tcPr>
            <w:tcW w:w="700" w:type="dxa"/>
            <w:tcBorders>
              <w:top w:val="single" w:sz="4" w:space="0" w:color="auto"/>
              <w:left w:val="nil"/>
              <w:bottom w:val="single" w:sz="4" w:space="0" w:color="auto"/>
              <w:right w:val="single" w:sz="4" w:space="0" w:color="auto"/>
            </w:tcBorders>
            <w:noWrap/>
            <w:vAlign w:val="center"/>
            <w:hideMark/>
          </w:tcPr>
          <w:p w14:paraId="32F7B6E6" w14:textId="77777777" w:rsidR="00F56995" w:rsidRPr="00394EB6" w:rsidRDefault="00F56995">
            <w:pPr>
              <w:jc w:val="center"/>
              <w:rPr>
                <w:rFonts w:ascii="Arial" w:hAnsi="Arial" w:cs="Arial"/>
              </w:rPr>
            </w:pPr>
            <w:r w:rsidRPr="00394EB6">
              <w:rPr>
                <w:rFonts w:ascii="Arial" w:hAnsi="Arial" w:cs="Arial"/>
              </w:rPr>
              <w:t>XII</w:t>
            </w:r>
          </w:p>
        </w:tc>
      </w:tr>
      <w:tr w:rsidR="00394EB6" w:rsidRPr="00394EB6" w14:paraId="105B7D36" w14:textId="77777777" w:rsidTr="00F56995">
        <w:trPr>
          <w:trHeight w:val="255"/>
        </w:trPr>
        <w:tc>
          <w:tcPr>
            <w:tcW w:w="1240" w:type="dxa"/>
            <w:tcBorders>
              <w:top w:val="nil"/>
              <w:left w:val="single" w:sz="4" w:space="0" w:color="auto"/>
              <w:bottom w:val="single" w:sz="4" w:space="0" w:color="auto"/>
              <w:right w:val="single" w:sz="4" w:space="0" w:color="auto"/>
            </w:tcBorders>
            <w:noWrap/>
            <w:vAlign w:val="center"/>
            <w:hideMark/>
          </w:tcPr>
          <w:p w14:paraId="2D8DD123" w14:textId="77777777" w:rsidR="00F56995" w:rsidRPr="00394EB6" w:rsidRDefault="00F56995">
            <w:pPr>
              <w:jc w:val="center"/>
              <w:rPr>
                <w:rFonts w:ascii="Arial" w:hAnsi="Arial" w:cs="Arial"/>
              </w:rPr>
            </w:pPr>
            <w:r w:rsidRPr="00394EB6">
              <w:rPr>
                <w:rFonts w:ascii="Arial" w:hAnsi="Arial" w:cs="Arial"/>
              </w:rPr>
              <w:t>2020</w:t>
            </w:r>
          </w:p>
        </w:tc>
        <w:tc>
          <w:tcPr>
            <w:tcW w:w="700" w:type="dxa"/>
            <w:tcBorders>
              <w:top w:val="nil"/>
              <w:left w:val="nil"/>
              <w:bottom w:val="single" w:sz="4" w:space="0" w:color="auto"/>
              <w:right w:val="single" w:sz="4" w:space="0" w:color="auto"/>
            </w:tcBorders>
            <w:noWrap/>
            <w:vAlign w:val="center"/>
            <w:hideMark/>
          </w:tcPr>
          <w:p w14:paraId="349CF97E" w14:textId="77777777" w:rsidR="00F56995" w:rsidRPr="00394EB6" w:rsidRDefault="00F56995">
            <w:pPr>
              <w:jc w:val="center"/>
              <w:rPr>
                <w:rFonts w:ascii="Arial" w:hAnsi="Arial" w:cs="Arial"/>
              </w:rPr>
            </w:pPr>
            <w:r w:rsidRPr="00394EB6">
              <w:rPr>
                <w:rFonts w:ascii="Arial" w:hAnsi="Arial" w:cs="Arial"/>
              </w:rPr>
              <w:t>0,8</w:t>
            </w:r>
          </w:p>
        </w:tc>
        <w:tc>
          <w:tcPr>
            <w:tcW w:w="700" w:type="dxa"/>
            <w:tcBorders>
              <w:top w:val="nil"/>
              <w:left w:val="nil"/>
              <w:bottom w:val="single" w:sz="4" w:space="0" w:color="auto"/>
              <w:right w:val="single" w:sz="4" w:space="0" w:color="auto"/>
            </w:tcBorders>
            <w:noWrap/>
            <w:vAlign w:val="center"/>
            <w:hideMark/>
          </w:tcPr>
          <w:p w14:paraId="051C1F15" w14:textId="77777777" w:rsidR="00F56995" w:rsidRPr="00394EB6" w:rsidRDefault="00F56995">
            <w:pPr>
              <w:jc w:val="center"/>
              <w:rPr>
                <w:rFonts w:ascii="Arial" w:hAnsi="Arial" w:cs="Arial"/>
              </w:rPr>
            </w:pPr>
            <w:r w:rsidRPr="00394EB6">
              <w:rPr>
                <w:rFonts w:ascii="Arial" w:hAnsi="Arial" w:cs="Arial"/>
              </w:rPr>
              <w:t>6,2</w:t>
            </w:r>
          </w:p>
        </w:tc>
        <w:tc>
          <w:tcPr>
            <w:tcW w:w="700" w:type="dxa"/>
            <w:tcBorders>
              <w:top w:val="nil"/>
              <w:left w:val="nil"/>
              <w:bottom w:val="single" w:sz="4" w:space="0" w:color="auto"/>
              <w:right w:val="single" w:sz="4" w:space="0" w:color="auto"/>
            </w:tcBorders>
            <w:noWrap/>
            <w:vAlign w:val="center"/>
            <w:hideMark/>
          </w:tcPr>
          <w:p w14:paraId="22E126F9" w14:textId="77777777" w:rsidR="00F56995" w:rsidRPr="00394EB6" w:rsidRDefault="00F56995">
            <w:pPr>
              <w:jc w:val="center"/>
              <w:rPr>
                <w:rFonts w:ascii="Arial" w:hAnsi="Arial" w:cs="Arial"/>
              </w:rPr>
            </w:pPr>
            <w:r w:rsidRPr="00394EB6">
              <w:rPr>
                <w:rFonts w:ascii="Arial" w:hAnsi="Arial" w:cs="Arial"/>
              </w:rPr>
              <w:t>7,2</w:t>
            </w:r>
          </w:p>
        </w:tc>
        <w:tc>
          <w:tcPr>
            <w:tcW w:w="700" w:type="dxa"/>
            <w:tcBorders>
              <w:top w:val="nil"/>
              <w:left w:val="nil"/>
              <w:bottom w:val="single" w:sz="4" w:space="0" w:color="auto"/>
              <w:right w:val="single" w:sz="4" w:space="0" w:color="auto"/>
            </w:tcBorders>
            <w:noWrap/>
            <w:vAlign w:val="center"/>
            <w:hideMark/>
          </w:tcPr>
          <w:p w14:paraId="32A0D6BB" w14:textId="77777777" w:rsidR="00F56995" w:rsidRPr="00394EB6" w:rsidRDefault="00F56995">
            <w:pPr>
              <w:jc w:val="center"/>
              <w:rPr>
                <w:rFonts w:ascii="Arial" w:hAnsi="Arial" w:cs="Arial"/>
              </w:rPr>
            </w:pPr>
            <w:r w:rsidRPr="00394EB6">
              <w:rPr>
                <w:rFonts w:ascii="Arial" w:hAnsi="Arial" w:cs="Arial"/>
              </w:rPr>
              <w:t>12,4</w:t>
            </w:r>
          </w:p>
        </w:tc>
        <w:tc>
          <w:tcPr>
            <w:tcW w:w="700" w:type="dxa"/>
            <w:tcBorders>
              <w:top w:val="nil"/>
              <w:left w:val="nil"/>
              <w:bottom w:val="single" w:sz="4" w:space="0" w:color="auto"/>
              <w:right w:val="single" w:sz="4" w:space="0" w:color="auto"/>
            </w:tcBorders>
            <w:noWrap/>
            <w:vAlign w:val="center"/>
            <w:hideMark/>
          </w:tcPr>
          <w:p w14:paraId="5F5A8738" w14:textId="77777777" w:rsidR="00F56995" w:rsidRPr="00394EB6" w:rsidRDefault="00F56995">
            <w:pPr>
              <w:jc w:val="center"/>
              <w:rPr>
                <w:rFonts w:ascii="Arial" w:hAnsi="Arial" w:cs="Arial"/>
              </w:rPr>
            </w:pPr>
            <w:r w:rsidRPr="00394EB6">
              <w:rPr>
                <w:rFonts w:ascii="Arial" w:hAnsi="Arial" w:cs="Arial"/>
              </w:rPr>
              <w:t>14,6</w:t>
            </w:r>
          </w:p>
        </w:tc>
        <w:tc>
          <w:tcPr>
            <w:tcW w:w="700" w:type="dxa"/>
            <w:tcBorders>
              <w:top w:val="nil"/>
              <w:left w:val="nil"/>
              <w:bottom w:val="single" w:sz="4" w:space="0" w:color="auto"/>
              <w:right w:val="single" w:sz="4" w:space="0" w:color="auto"/>
            </w:tcBorders>
            <w:noWrap/>
            <w:vAlign w:val="center"/>
            <w:hideMark/>
          </w:tcPr>
          <w:p w14:paraId="2F024D88" w14:textId="77777777" w:rsidR="00F56995" w:rsidRPr="00394EB6" w:rsidRDefault="00F56995">
            <w:pPr>
              <w:jc w:val="center"/>
              <w:rPr>
                <w:rFonts w:ascii="Arial" w:hAnsi="Arial" w:cs="Arial"/>
              </w:rPr>
            </w:pPr>
            <w:r w:rsidRPr="00394EB6">
              <w:rPr>
                <w:rFonts w:ascii="Arial" w:hAnsi="Arial" w:cs="Arial"/>
              </w:rPr>
              <w:t>19,8</w:t>
            </w:r>
          </w:p>
        </w:tc>
        <w:tc>
          <w:tcPr>
            <w:tcW w:w="700" w:type="dxa"/>
            <w:tcBorders>
              <w:top w:val="nil"/>
              <w:left w:val="nil"/>
              <w:bottom w:val="single" w:sz="4" w:space="0" w:color="auto"/>
              <w:right w:val="single" w:sz="4" w:space="0" w:color="auto"/>
            </w:tcBorders>
            <w:noWrap/>
            <w:vAlign w:val="center"/>
            <w:hideMark/>
          </w:tcPr>
          <w:p w14:paraId="06651A40" w14:textId="77777777" w:rsidR="00F56995" w:rsidRPr="00394EB6" w:rsidRDefault="00F56995">
            <w:pPr>
              <w:jc w:val="center"/>
              <w:rPr>
                <w:rFonts w:ascii="Arial" w:hAnsi="Arial" w:cs="Arial"/>
              </w:rPr>
            </w:pPr>
            <w:r w:rsidRPr="00394EB6">
              <w:rPr>
                <w:rFonts w:ascii="Arial" w:hAnsi="Arial" w:cs="Arial"/>
              </w:rPr>
              <w:t>22,1</w:t>
            </w:r>
          </w:p>
        </w:tc>
        <w:tc>
          <w:tcPr>
            <w:tcW w:w="700" w:type="dxa"/>
            <w:tcBorders>
              <w:top w:val="nil"/>
              <w:left w:val="nil"/>
              <w:bottom w:val="single" w:sz="4" w:space="0" w:color="auto"/>
              <w:right w:val="single" w:sz="4" w:space="0" w:color="auto"/>
            </w:tcBorders>
            <w:noWrap/>
            <w:vAlign w:val="center"/>
            <w:hideMark/>
          </w:tcPr>
          <w:p w14:paraId="6FACB36F" w14:textId="77777777" w:rsidR="00F56995" w:rsidRPr="00394EB6" w:rsidRDefault="00F56995">
            <w:pPr>
              <w:jc w:val="center"/>
              <w:rPr>
                <w:rFonts w:ascii="Arial" w:hAnsi="Arial" w:cs="Arial"/>
              </w:rPr>
            </w:pPr>
            <w:r w:rsidRPr="00394EB6">
              <w:rPr>
                <w:rFonts w:ascii="Arial" w:hAnsi="Arial" w:cs="Arial"/>
              </w:rPr>
              <w:t>22,7</w:t>
            </w:r>
          </w:p>
        </w:tc>
        <w:tc>
          <w:tcPr>
            <w:tcW w:w="700" w:type="dxa"/>
            <w:tcBorders>
              <w:top w:val="nil"/>
              <w:left w:val="nil"/>
              <w:bottom w:val="single" w:sz="4" w:space="0" w:color="auto"/>
              <w:right w:val="single" w:sz="4" w:space="0" w:color="auto"/>
            </w:tcBorders>
            <w:noWrap/>
            <w:vAlign w:val="center"/>
            <w:hideMark/>
          </w:tcPr>
          <w:p w14:paraId="4F6C8D47" w14:textId="77777777" w:rsidR="00F56995" w:rsidRPr="00394EB6" w:rsidRDefault="00F56995">
            <w:pPr>
              <w:jc w:val="center"/>
              <w:rPr>
                <w:rFonts w:ascii="Arial" w:hAnsi="Arial" w:cs="Arial"/>
              </w:rPr>
            </w:pPr>
            <w:r w:rsidRPr="00394EB6">
              <w:rPr>
                <w:rFonts w:ascii="Arial" w:hAnsi="Arial" w:cs="Arial"/>
              </w:rPr>
              <w:t>17,3</w:t>
            </w:r>
          </w:p>
        </w:tc>
        <w:tc>
          <w:tcPr>
            <w:tcW w:w="700" w:type="dxa"/>
            <w:tcBorders>
              <w:top w:val="nil"/>
              <w:left w:val="nil"/>
              <w:bottom w:val="single" w:sz="4" w:space="0" w:color="auto"/>
              <w:right w:val="single" w:sz="4" w:space="0" w:color="auto"/>
            </w:tcBorders>
            <w:noWrap/>
            <w:vAlign w:val="center"/>
            <w:hideMark/>
          </w:tcPr>
          <w:p w14:paraId="1274C2A0" w14:textId="77777777" w:rsidR="00F56995" w:rsidRPr="00394EB6" w:rsidRDefault="00F56995">
            <w:pPr>
              <w:jc w:val="center"/>
              <w:rPr>
                <w:rFonts w:ascii="Arial" w:hAnsi="Arial" w:cs="Arial"/>
              </w:rPr>
            </w:pPr>
            <w:r w:rsidRPr="00394EB6">
              <w:rPr>
                <w:rFonts w:ascii="Arial" w:hAnsi="Arial" w:cs="Arial"/>
              </w:rPr>
              <w:t>11,4</w:t>
            </w:r>
          </w:p>
        </w:tc>
        <w:tc>
          <w:tcPr>
            <w:tcW w:w="700" w:type="dxa"/>
            <w:tcBorders>
              <w:top w:val="nil"/>
              <w:left w:val="nil"/>
              <w:bottom w:val="single" w:sz="4" w:space="0" w:color="auto"/>
              <w:right w:val="single" w:sz="4" w:space="0" w:color="auto"/>
            </w:tcBorders>
            <w:noWrap/>
            <w:vAlign w:val="center"/>
            <w:hideMark/>
          </w:tcPr>
          <w:p w14:paraId="245B21D5" w14:textId="77777777" w:rsidR="00F56995" w:rsidRPr="00394EB6" w:rsidRDefault="00F56995">
            <w:pPr>
              <w:jc w:val="center"/>
              <w:rPr>
                <w:rFonts w:ascii="Arial" w:hAnsi="Arial" w:cs="Arial"/>
              </w:rPr>
            </w:pPr>
            <w:r w:rsidRPr="00394EB6">
              <w:rPr>
                <w:rFonts w:ascii="Arial" w:hAnsi="Arial" w:cs="Arial"/>
              </w:rPr>
              <w:t>5,6</w:t>
            </w:r>
          </w:p>
        </w:tc>
        <w:tc>
          <w:tcPr>
            <w:tcW w:w="700" w:type="dxa"/>
            <w:tcBorders>
              <w:top w:val="nil"/>
              <w:left w:val="nil"/>
              <w:bottom w:val="single" w:sz="4" w:space="0" w:color="auto"/>
              <w:right w:val="single" w:sz="4" w:space="0" w:color="auto"/>
            </w:tcBorders>
            <w:noWrap/>
            <w:vAlign w:val="center"/>
            <w:hideMark/>
          </w:tcPr>
          <w:p w14:paraId="572DBA93" w14:textId="77777777" w:rsidR="00F56995" w:rsidRPr="00394EB6" w:rsidRDefault="00F56995">
            <w:pPr>
              <w:jc w:val="center"/>
              <w:rPr>
                <w:rFonts w:ascii="Arial" w:hAnsi="Arial" w:cs="Arial"/>
              </w:rPr>
            </w:pPr>
            <w:r w:rsidRPr="00394EB6">
              <w:rPr>
                <w:rFonts w:ascii="Arial" w:hAnsi="Arial" w:cs="Arial"/>
              </w:rPr>
              <w:t>3,5</w:t>
            </w:r>
          </w:p>
        </w:tc>
      </w:tr>
    </w:tbl>
    <w:p w14:paraId="20DF31FF" w14:textId="77777777" w:rsidR="00F56995" w:rsidRPr="00394EB6" w:rsidRDefault="00F56995" w:rsidP="00394EB6">
      <w:pPr>
        <w:pStyle w:val="tabu"/>
        <w:tabs>
          <w:tab w:val="num" w:pos="0"/>
        </w:tabs>
        <w:spacing w:before="0" w:after="0"/>
        <w:jc w:val="center"/>
        <w:rPr>
          <w:rFonts w:cs="Arial"/>
          <w:iCs/>
          <w:sz w:val="18"/>
          <w:szCs w:val="18"/>
          <w:lang w:eastAsia="en-US"/>
        </w:rPr>
      </w:pPr>
      <w:r w:rsidRPr="00394EB6">
        <w:rPr>
          <w:rFonts w:cs="Arial"/>
          <w:iCs/>
          <w:sz w:val="18"/>
          <w:szCs w:val="18"/>
          <w:lang w:eastAsia="en-US"/>
        </w:rPr>
        <w:t>Zdroj: Ročenky klimatologických pozorovaní meteorologických staníc na území SR v roku 2020, SHMÚ, Bratislava</w:t>
      </w:r>
    </w:p>
    <w:p w14:paraId="7ACD1196" w14:textId="77777777" w:rsidR="00546F7B" w:rsidRDefault="00546F7B" w:rsidP="00A13955">
      <w:pPr>
        <w:pStyle w:val="A-Text11"/>
        <w:rPr>
          <w:i/>
          <w:iCs/>
          <w:u w:val="single"/>
        </w:rPr>
      </w:pPr>
    </w:p>
    <w:p w14:paraId="2F829D8B" w14:textId="2772D11D" w:rsidR="00F56995" w:rsidRPr="00394EB6" w:rsidRDefault="00F56995" w:rsidP="00A13955">
      <w:pPr>
        <w:pStyle w:val="A-Text11"/>
        <w:rPr>
          <w:i/>
          <w:iCs/>
          <w:u w:val="single"/>
        </w:rPr>
      </w:pPr>
      <w:r w:rsidRPr="00394EB6">
        <w:rPr>
          <w:i/>
          <w:iCs/>
          <w:u w:val="single"/>
        </w:rPr>
        <w:lastRenderedPageBreak/>
        <w:t>Zrážky</w:t>
      </w:r>
    </w:p>
    <w:p w14:paraId="40E29E29" w14:textId="54552B76" w:rsidR="00F56995" w:rsidRPr="00394EB6" w:rsidRDefault="00F56995" w:rsidP="00A13955">
      <w:pPr>
        <w:pStyle w:val="A-Text11"/>
      </w:pPr>
      <w:r w:rsidRPr="00394EB6">
        <w:t>Predmetné územie sa z hľadiska zrážkových pomerov nachádza v suchom okrsku s miernou zimou. Zrážkové úhrny v oblasti Bratislavy majú v posledných rokoch kolísavý charakter a podľa</w:t>
      </w:r>
      <w:r w:rsidRPr="00394EB6">
        <w:rPr>
          <w:bCs/>
          <w:iCs/>
        </w:rPr>
        <w:t xml:space="preserve"> meteorologickej stanice Bratislava – Letisko ich ročný </w:t>
      </w:r>
      <w:r w:rsidRPr="00394EB6">
        <w:t>priemerný úhrn za obdobie 2016-2020 dosiahol 535,5 mm. V rámci uvedeného obdobia najbohatší na zrážky bol mesiac máj s priemerným úhrnom 68,3 mm, najmenej zrážok pripadlo na mesiac apríl s priemerným úhrnom 21,3 mm. Rozloženie zrážok podľa vegetácie ostáva dlhodobo nezmenené a prevládajúce množstvo zrážok je v teplom polroku (IV-IX) 297,9 mm, pričom v zimnom polroku (X-III) úhrn zrážok dosahuje 237,5 mm. V roku 2020 priemerný ročný úhrn zrážok dosiahol 593,5 mm, najviac zrážok spadlo v mesiaci október o hodnote 118,1 mm a najmenej v mesiaci apríl o hodnote 1,3 mm. Snehová pokrývka (viac alebo rovná 1 cm, 10 cm) sa v meste Bratislava v roku 2020 nevyskytla ani 1 deň.</w:t>
      </w:r>
    </w:p>
    <w:p w14:paraId="50DA5B5E" w14:textId="615FEBF7" w:rsidR="00F56995" w:rsidRPr="005145B5" w:rsidRDefault="00F56995" w:rsidP="00A13955">
      <w:pPr>
        <w:pStyle w:val="poznmka"/>
        <w:rPr>
          <w:rFonts w:cs="Arial"/>
          <w:bCs/>
          <w:i/>
          <w:szCs w:val="18"/>
          <w:lang w:val="sk-SK"/>
        </w:rPr>
      </w:pPr>
      <w:r w:rsidRPr="005145B5">
        <w:rPr>
          <w:rFonts w:cs="Arial"/>
          <w:bCs/>
          <w:i/>
          <w:szCs w:val="18"/>
          <w:lang w:val="sk-SK"/>
        </w:rPr>
        <w:t>Tab. č.</w:t>
      </w:r>
      <w:r w:rsidR="005A4635" w:rsidRPr="005145B5">
        <w:rPr>
          <w:rFonts w:cs="Arial"/>
          <w:bCs/>
          <w:i/>
          <w:szCs w:val="18"/>
          <w:lang w:val="sk-SK"/>
        </w:rPr>
        <w:t xml:space="preserve"> III.1.3</w:t>
      </w:r>
      <w:r w:rsidRPr="005145B5">
        <w:rPr>
          <w:rFonts w:cs="Arial"/>
          <w:bCs/>
          <w:i/>
          <w:szCs w:val="18"/>
          <w:lang w:val="sk-SK"/>
        </w:rPr>
        <w:t>: Priemerné mesačné úhrny zrážok zo stanice Bratislava - Letisko za obdobie 2016 – 2020 (mm)</w:t>
      </w:r>
    </w:p>
    <w:tbl>
      <w:tblPr>
        <w:tblW w:w="9640" w:type="dxa"/>
        <w:tblInd w:w="57" w:type="dxa"/>
        <w:tblCellMar>
          <w:left w:w="70" w:type="dxa"/>
          <w:right w:w="70" w:type="dxa"/>
        </w:tblCellMar>
        <w:tblLook w:val="04A0" w:firstRow="1" w:lastRow="0" w:firstColumn="1" w:lastColumn="0" w:noHBand="0" w:noVBand="1"/>
      </w:tblPr>
      <w:tblGrid>
        <w:gridCol w:w="1240"/>
        <w:gridCol w:w="700"/>
        <w:gridCol w:w="700"/>
        <w:gridCol w:w="700"/>
        <w:gridCol w:w="700"/>
        <w:gridCol w:w="700"/>
        <w:gridCol w:w="700"/>
        <w:gridCol w:w="700"/>
        <w:gridCol w:w="700"/>
        <w:gridCol w:w="700"/>
        <w:gridCol w:w="700"/>
        <w:gridCol w:w="700"/>
        <w:gridCol w:w="700"/>
      </w:tblGrid>
      <w:tr w:rsidR="00394EB6" w:rsidRPr="00394EB6" w14:paraId="044E45FC" w14:textId="77777777" w:rsidTr="00F56995">
        <w:trPr>
          <w:trHeight w:val="255"/>
        </w:trPr>
        <w:tc>
          <w:tcPr>
            <w:tcW w:w="1240" w:type="dxa"/>
            <w:tcBorders>
              <w:top w:val="single" w:sz="4" w:space="0" w:color="auto"/>
              <w:left w:val="single" w:sz="4" w:space="0" w:color="auto"/>
              <w:bottom w:val="single" w:sz="4" w:space="0" w:color="auto"/>
              <w:right w:val="single" w:sz="4" w:space="0" w:color="auto"/>
            </w:tcBorders>
            <w:noWrap/>
            <w:vAlign w:val="center"/>
            <w:hideMark/>
          </w:tcPr>
          <w:p w14:paraId="63F00222" w14:textId="77777777" w:rsidR="00F56995" w:rsidRPr="00394EB6" w:rsidRDefault="00F56995">
            <w:pPr>
              <w:jc w:val="center"/>
              <w:rPr>
                <w:rFonts w:ascii="Arial" w:hAnsi="Arial" w:cs="Arial"/>
              </w:rPr>
            </w:pPr>
            <w:r w:rsidRPr="00394EB6">
              <w:rPr>
                <w:rFonts w:ascii="Arial" w:hAnsi="Arial" w:cs="Arial"/>
              </w:rPr>
              <w:t>rok</w:t>
            </w:r>
          </w:p>
        </w:tc>
        <w:tc>
          <w:tcPr>
            <w:tcW w:w="700" w:type="dxa"/>
            <w:tcBorders>
              <w:top w:val="single" w:sz="4" w:space="0" w:color="auto"/>
              <w:left w:val="nil"/>
              <w:bottom w:val="single" w:sz="4" w:space="0" w:color="auto"/>
              <w:right w:val="single" w:sz="4" w:space="0" w:color="auto"/>
            </w:tcBorders>
            <w:noWrap/>
            <w:vAlign w:val="center"/>
            <w:hideMark/>
          </w:tcPr>
          <w:p w14:paraId="098EBC27" w14:textId="77777777" w:rsidR="00F56995" w:rsidRPr="00394EB6" w:rsidRDefault="00F56995">
            <w:pPr>
              <w:jc w:val="center"/>
              <w:rPr>
                <w:rFonts w:ascii="Arial" w:hAnsi="Arial" w:cs="Arial"/>
              </w:rPr>
            </w:pPr>
            <w:r w:rsidRPr="00394EB6">
              <w:rPr>
                <w:rFonts w:ascii="Arial" w:hAnsi="Arial" w:cs="Arial"/>
              </w:rPr>
              <w:t>I</w:t>
            </w:r>
          </w:p>
        </w:tc>
        <w:tc>
          <w:tcPr>
            <w:tcW w:w="700" w:type="dxa"/>
            <w:tcBorders>
              <w:top w:val="single" w:sz="4" w:space="0" w:color="auto"/>
              <w:left w:val="nil"/>
              <w:bottom w:val="single" w:sz="4" w:space="0" w:color="auto"/>
              <w:right w:val="single" w:sz="4" w:space="0" w:color="auto"/>
            </w:tcBorders>
            <w:noWrap/>
            <w:vAlign w:val="center"/>
            <w:hideMark/>
          </w:tcPr>
          <w:p w14:paraId="43D4E9ED" w14:textId="77777777" w:rsidR="00F56995" w:rsidRPr="00394EB6" w:rsidRDefault="00F56995">
            <w:pPr>
              <w:jc w:val="center"/>
              <w:rPr>
                <w:rFonts w:ascii="Arial" w:hAnsi="Arial" w:cs="Arial"/>
              </w:rPr>
            </w:pPr>
            <w:r w:rsidRPr="00394EB6">
              <w:rPr>
                <w:rFonts w:ascii="Arial" w:hAnsi="Arial" w:cs="Arial"/>
              </w:rPr>
              <w:t>II</w:t>
            </w:r>
          </w:p>
        </w:tc>
        <w:tc>
          <w:tcPr>
            <w:tcW w:w="700" w:type="dxa"/>
            <w:tcBorders>
              <w:top w:val="single" w:sz="4" w:space="0" w:color="auto"/>
              <w:left w:val="nil"/>
              <w:bottom w:val="single" w:sz="4" w:space="0" w:color="auto"/>
              <w:right w:val="single" w:sz="4" w:space="0" w:color="auto"/>
            </w:tcBorders>
            <w:noWrap/>
            <w:vAlign w:val="center"/>
            <w:hideMark/>
          </w:tcPr>
          <w:p w14:paraId="5A1F070E" w14:textId="77777777" w:rsidR="00F56995" w:rsidRPr="00394EB6" w:rsidRDefault="00F56995">
            <w:pPr>
              <w:jc w:val="center"/>
              <w:rPr>
                <w:rFonts w:ascii="Arial" w:hAnsi="Arial" w:cs="Arial"/>
              </w:rPr>
            </w:pPr>
            <w:r w:rsidRPr="00394EB6">
              <w:rPr>
                <w:rFonts w:ascii="Arial" w:hAnsi="Arial" w:cs="Arial"/>
              </w:rPr>
              <w:t>III</w:t>
            </w:r>
          </w:p>
        </w:tc>
        <w:tc>
          <w:tcPr>
            <w:tcW w:w="700" w:type="dxa"/>
            <w:tcBorders>
              <w:top w:val="single" w:sz="4" w:space="0" w:color="auto"/>
              <w:left w:val="nil"/>
              <w:bottom w:val="single" w:sz="4" w:space="0" w:color="auto"/>
              <w:right w:val="single" w:sz="4" w:space="0" w:color="auto"/>
            </w:tcBorders>
            <w:noWrap/>
            <w:vAlign w:val="center"/>
            <w:hideMark/>
          </w:tcPr>
          <w:p w14:paraId="735E9BBE" w14:textId="77777777" w:rsidR="00F56995" w:rsidRPr="00394EB6" w:rsidRDefault="00F56995">
            <w:pPr>
              <w:jc w:val="center"/>
              <w:rPr>
                <w:rFonts w:ascii="Arial" w:hAnsi="Arial" w:cs="Arial"/>
              </w:rPr>
            </w:pPr>
            <w:r w:rsidRPr="00394EB6">
              <w:rPr>
                <w:rFonts w:ascii="Arial" w:hAnsi="Arial" w:cs="Arial"/>
              </w:rPr>
              <w:t>IV</w:t>
            </w:r>
          </w:p>
        </w:tc>
        <w:tc>
          <w:tcPr>
            <w:tcW w:w="700" w:type="dxa"/>
            <w:tcBorders>
              <w:top w:val="single" w:sz="4" w:space="0" w:color="auto"/>
              <w:left w:val="nil"/>
              <w:bottom w:val="single" w:sz="4" w:space="0" w:color="auto"/>
              <w:right w:val="single" w:sz="4" w:space="0" w:color="auto"/>
            </w:tcBorders>
            <w:noWrap/>
            <w:vAlign w:val="center"/>
            <w:hideMark/>
          </w:tcPr>
          <w:p w14:paraId="0F89CB4D" w14:textId="77777777" w:rsidR="00F56995" w:rsidRPr="00394EB6" w:rsidRDefault="00F56995">
            <w:pPr>
              <w:jc w:val="center"/>
              <w:rPr>
                <w:rFonts w:ascii="Arial" w:hAnsi="Arial" w:cs="Arial"/>
              </w:rPr>
            </w:pPr>
            <w:r w:rsidRPr="00394EB6">
              <w:rPr>
                <w:rFonts w:ascii="Arial" w:hAnsi="Arial" w:cs="Arial"/>
              </w:rPr>
              <w:t>V</w:t>
            </w:r>
          </w:p>
        </w:tc>
        <w:tc>
          <w:tcPr>
            <w:tcW w:w="700" w:type="dxa"/>
            <w:tcBorders>
              <w:top w:val="single" w:sz="4" w:space="0" w:color="auto"/>
              <w:left w:val="nil"/>
              <w:bottom w:val="single" w:sz="4" w:space="0" w:color="auto"/>
              <w:right w:val="single" w:sz="4" w:space="0" w:color="auto"/>
            </w:tcBorders>
            <w:noWrap/>
            <w:vAlign w:val="center"/>
            <w:hideMark/>
          </w:tcPr>
          <w:p w14:paraId="34490571" w14:textId="77777777" w:rsidR="00F56995" w:rsidRPr="00394EB6" w:rsidRDefault="00F56995">
            <w:pPr>
              <w:jc w:val="center"/>
              <w:rPr>
                <w:rFonts w:ascii="Arial" w:hAnsi="Arial" w:cs="Arial"/>
              </w:rPr>
            </w:pPr>
            <w:r w:rsidRPr="00394EB6">
              <w:rPr>
                <w:rFonts w:ascii="Arial" w:hAnsi="Arial" w:cs="Arial"/>
              </w:rPr>
              <w:t>VI</w:t>
            </w:r>
          </w:p>
        </w:tc>
        <w:tc>
          <w:tcPr>
            <w:tcW w:w="700" w:type="dxa"/>
            <w:tcBorders>
              <w:top w:val="single" w:sz="4" w:space="0" w:color="auto"/>
              <w:left w:val="nil"/>
              <w:bottom w:val="single" w:sz="4" w:space="0" w:color="auto"/>
              <w:right w:val="single" w:sz="4" w:space="0" w:color="auto"/>
            </w:tcBorders>
            <w:noWrap/>
            <w:vAlign w:val="center"/>
            <w:hideMark/>
          </w:tcPr>
          <w:p w14:paraId="706289ED" w14:textId="77777777" w:rsidR="00F56995" w:rsidRPr="00394EB6" w:rsidRDefault="00F56995">
            <w:pPr>
              <w:jc w:val="center"/>
              <w:rPr>
                <w:rFonts w:ascii="Arial" w:hAnsi="Arial" w:cs="Arial"/>
              </w:rPr>
            </w:pPr>
            <w:r w:rsidRPr="00394EB6">
              <w:rPr>
                <w:rFonts w:ascii="Arial" w:hAnsi="Arial" w:cs="Arial"/>
              </w:rPr>
              <w:t>VII</w:t>
            </w:r>
          </w:p>
        </w:tc>
        <w:tc>
          <w:tcPr>
            <w:tcW w:w="700" w:type="dxa"/>
            <w:tcBorders>
              <w:top w:val="single" w:sz="4" w:space="0" w:color="auto"/>
              <w:left w:val="nil"/>
              <w:bottom w:val="single" w:sz="4" w:space="0" w:color="auto"/>
              <w:right w:val="single" w:sz="4" w:space="0" w:color="auto"/>
            </w:tcBorders>
            <w:noWrap/>
            <w:vAlign w:val="center"/>
            <w:hideMark/>
          </w:tcPr>
          <w:p w14:paraId="0F524D0D" w14:textId="77777777" w:rsidR="00F56995" w:rsidRPr="00394EB6" w:rsidRDefault="00F56995">
            <w:pPr>
              <w:jc w:val="center"/>
              <w:rPr>
                <w:rFonts w:ascii="Arial" w:hAnsi="Arial" w:cs="Arial"/>
              </w:rPr>
            </w:pPr>
            <w:r w:rsidRPr="00394EB6">
              <w:rPr>
                <w:rFonts w:ascii="Arial" w:hAnsi="Arial" w:cs="Arial"/>
              </w:rPr>
              <w:t>VIII</w:t>
            </w:r>
          </w:p>
        </w:tc>
        <w:tc>
          <w:tcPr>
            <w:tcW w:w="700" w:type="dxa"/>
            <w:tcBorders>
              <w:top w:val="single" w:sz="4" w:space="0" w:color="auto"/>
              <w:left w:val="nil"/>
              <w:bottom w:val="single" w:sz="4" w:space="0" w:color="auto"/>
              <w:right w:val="single" w:sz="4" w:space="0" w:color="auto"/>
            </w:tcBorders>
            <w:noWrap/>
            <w:vAlign w:val="center"/>
            <w:hideMark/>
          </w:tcPr>
          <w:p w14:paraId="63629A40" w14:textId="77777777" w:rsidR="00F56995" w:rsidRPr="00394EB6" w:rsidRDefault="00F56995">
            <w:pPr>
              <w:jc w:val="center"/>
              <w:rPr>
                <w:rFonts w:ascii="Arial" w:hAnsi="Arial" w:cs="Arial"/>
              </w:rPr>
            </w:pPr>
            <w:r w:rsidRPr="00394EB6">
              <w:rPr>
                <w:rFonts w:ascii="Arial" w:hAnsi="Arial" w:cs="Arial"/>
              </w:rPr>
              <w:t>IX</w:t>
            </w:r>
          </w:p>
        </w:tc>
        <w:tc>
          <w:tcPr>
            <w:tcW w:w="700" w:type="dxa"/>
            <w:tcBorders>
              <w:top w:val="single" w:sz="4" w:space="0" w:color="auto"/>
              <w:left w:val="nil"/>
              <w:bottom w:val="single" w:sz="4" w:space="0" w:color="auto"/>
              <w:right w:val="single" w:sz="4" w:space="0" w:color="auto"/>
            </w:tcBorders>
            <w:noWrap/>
            <w:vAlign w:val="center"/>
            <w:hideMark/>
          </w:tcPr>
          <w:p w14:paraId="58C481BC" w14:textId="77777777" w:rsidR="00F56995" w:rsidRPr="00394EB6" w:rsidRDefault="00F56995">
            <w:pPr>
              <w:jc w:val="center"/>
              <w:rPr>
                <w:rFonts w:ascii="Arial" w:hAnsi="Arial" w:cs="Arial"/>
              </w:rPr>
            </w:pPr>
            <w:r w:rsidRPr="00394EB6">
              <w:rPr>
                <w:rFonts w:ascii="Arial" w:hAnsi="Arial" w:cs="Arial"/>
              </w:rPr>
              <w:t>X</w:t>
            </w:r>
          </w:p>
        </w:tc>
        <w:tc>
          <w:tcPr>
            <w:tcW w:w="700" w:type="dxa"/>
            <w:tcBorders>
              <w:top w:val="single" w:sz="4" w:space="0" w:color="auto"/>
              <w:left w:val="nil"/>
              <w:bottom w:val="single" w:sz="4" w:space="0" w:color="auto"/>
              <w:right w:val="single" w:sz="4" w:space="0" w:color="auto"/>
            </w:tcBorders>
            <w:noWrap/>
            <w:vAlign w:val="center"/>
            <w:hideMark/>
          </w:tcPr>
          <w:p w14:paraId="05B1E623" w14:textId="77777777" w:rsidR="00F56995" w:rsidRPr="00394EB6" w:rsidRDefault="00F56995">
            <w:pPr>
              <w:jc w:val="center"/>
              <w:rPr>
                <w:rFonts w:ascii="Arial" w:hAnsi="Arial" w:cs="Arial"/>
              </w:rPr>
            </w:pPr>
            <w:r w:rsidRPr="00394EB6">
              <w:rPr>
                <w:rFonts w:ascii="Arial" w:hAnsi="Arial" w:cs="Arial"/>
              </w:rPr>
              <w:t>XI</w:t>
            </w:r>
          </w:p>
        </w:tc>
        <w:tc>
          <w:tcPr>
            <w:tcW w:w="700" w:type="dxa"/>
            <w:tcBorders>
              <w:top w:val="single" w:sz="4" w:space="0" w:color="auto"/>
              <w:left w:val="nil"/>
              <w:bottom w:val="single" w:sz="4" w:space="0" w:color="auto"/>
              <w:right w:val="single" w:sz="4" w:space="0" w:color="auto"/>
            </w:tcBorders>
            <w:noWrap/>
            <w:vAlign w:val="center"/>
            <w:hideMark/>
          </w:tcPr>
          <w:p w14:paraId="14D68237" w14:textId="77777777" w:rsidR="00F56995" w:rsidRPr="00394EB6" w:rsidRDefault="00F56995">
            <w:pPr>
              <w:jc w:val="center"/>
              <w:rPr>
                <w:rFonts w:ascii="Arial" w:hAnsi="Arial" w:cs="Arial"/>
              </w:rPr>
            </w:pPr>
            <w:r w:rsidRPr="00394EB6">
              <w:rPr>
                <w:rFonts w:ascii="Arial" w:hAnsi="Arial" w:cs="Arial"/>
              </w:rPr>
              <w:t>XII</w:t>
            </w:r>
          </w:p>
        </w:tc>
      </w:tr>
      <w:tr w:rsidR="00394EB6" w:rsidRPr="00394EB6" w14:paraId="70106DCD" w14:textId="77777777" w:rsidTr="00F56995">
        <w:trPr>
          <w:trHeight w:val="255"/>
        </w:trPr>
        <w:tc>
          <w:tcPr>
            <w:tcW w:w="1240" w:type="dxa"/>
            <w:tcBorders>
              <w:top w:val="nil"/>
              <w:left w:val="single" w:sz="4" w:space="0" w:color="auto"/>
              <w:bottom w:val="single" w:sz="4" w:space="0" w:color="auto"/>
              <w:right w:val="single" w:sz="4" w:space="0" w:color="auto"/>
            </w:tcBorders>
            <w:noWrap/>
            <w:vAlign w:val="center"/>
            <w:hideMark/>
          </w:tcPr>
          <w:p w14:paraId="49DF8B65" w14:textId="77777777" w:rsidR="00F56995" w:rsidRPr="00394EB6" w:rsidRDefault="00F56995">
            <w:pPr>
              <w:jc w:val="center"/>
              <w:rPr>
                <w:rFonts w:ascii="Arial" w:hAnsi="Arial" w:cs="Arial"/>
              </w:rPr>
            </w:pPr>
            <w:r w:rsidRPr="00394EB6">
              <w:rPr>
                <w:rFonts w:ascii="Arial" w:hAnsi="Arial" w:cs="Arial"/>
              </w:rPr>
              <w:t>2016 - 2020</w:t>
            </w:r>
          </w:p>
        </w:tc>
        <w:tc>
          <w:tcPr>
            <w:tcW w:w="700" w:type="dxa"/>
            <w:tcBorders>
              <w:top w:val="nil"/>
              <w:left w:val="nil"/>
              <w:bottom w:val="single" w:sz="4" w:space="0" w:color="auto"/>
              <w:right w:val="single" w:sz="4" w:space="0" w:color="auto"/>
            </w:tcBorders>
            <w:noWrap/>
            <w:vAlign w:val="center"/>
            <w:hideMark/>
          </w:tcPr>
          <w:p w14:paraId="1FF37A09" w14:textId="77777777" w:rsidR="00F56995" w:rsidRPr="00394EB6" w:rsidRDefault="00F56995">
            <w:pPr>
              <w:jc w:val="center"/>
              <w:rPr>
                <w:rFonts w:ascii="Arial" w:hAnsi="Arial" w:cs="Arial"/>
              </w:rPr>
            </w:pPr>
            <w:r w:rsidRPr="00394EB6">
              <w:rPr>
                <w:rFonts w:ascii="Arial" w:hAnsi="Arial" w:cs="Arial"/>
              </w:rPr>
              <w:t>31,8</w:t>
            </w:r>
          </w:p>
        </w:tc>
        <w:tc>
          <w:tcPr>
            <w:tcW w:w="700" w:type="dxa"/>
            <w:tcBorders>
              <w:top w:val="nil"/>
              <w:left w:val="nil"/>
              <w:bottom w:val="single" w:sz="4" w:space="0" w:color="auto"/>
              <w:right w:val="single" w:sz="4" w:space="0" w:color="auto"/>
            </w:tcBorders>
            <w:noWrap/>
            <w:vAlign w:val="center"/>
            <w:hideMark/>
          </w:tcPr>
          <w:p w14:paraId="5A9D64AA" w14:textId="77777777" w:rsidR="00F56995" w:rsidRPr="00394EB6" w:rsidRDefault="00F56995">
            <w:pPr>
              <w:jc w:val="center"/>
              <w:rPr>
                <w:rFonts w:ascii="Arial" w:hAnsi="Arial" w:cs="Arial"/>
              </w:rPr>
            </w:pPr>
            <w:r w:rsidRPr="00394EB6">
              <w:rPr>
                <w:rFonts w:ascii="Arial" w:hAnsi="Arial" w:cs="Arial"/>
              </w:rPr>
              <w:t>32,6</w:t>
            </w:r>
          </w:p>
        </w:tc>
        <w:tc>
          <w:tcPr>
            <w:tcW w:w="700" w:type="dxa"/>
            <w:tcBorders>
              <w:top w:val="nil"/>
              <w:left w:val="nil"/>
              <w:bottom w:val="single" w:sz="4" w:space="0" w:color="auto"/>
              <w:right w:val="single" w:sz="4" w:space="0" w:color="auto"/>
            </w:tcBorders>
            <w:noWrap/>
            <w:vAlign w:val="center"/>
            <w:hideMark/>
          </w:tcPr>
          <w:p w14:paraId="632BACD7" w14:textId="77777777" w:rsidR="00F56995" w:rsidRPr="00394EB6" w:rsidRDefault="00F56995">
            <w:pPr>
              <w:jc w:val="center"/>
              <w:rPr>
                <w:rFonts w:ascii="Arial" w:hAnsi="Arial" w:cs="Arial"/>
              </w:rPr>
            </w:pPr>
            <w:r w:rsidRPr="00394EB6">
              <w:rPr>
                <w:rFonts w:ascii="Arial" w:hAnsi="Arial" w:cs="Arial"/>
              </w:rPr>
              <w:t>26,8</w:t>
            </w:r>
          </w:p>
        </w:tc>
        <w:tc>
          <w:tcPr>
            <w:tcW w:w="700" w:type="dxa"/>
            <w:tcBorders>
              <w:top w:val="nil"/>
              <w:left w:val="nil"/>
              <w:bottom w:val="single" w:sz="4" w:space="0" w:color="auto"/>
              <w:right w:val="single" w:sz="4" w:space="0" w:color="auto"/>
            </w:tcBorders>
            <w:noWrap/>
            <w:vAlign w:val="center"/>
            <w:hideMark/>
          </w:tcPr>
          <w:p w14:paraId="1D92A134" w14:textId="77777777" w:rsidR="00F56995" w:rsidRPr="00394EB6" w:rsidRDefault="00F56995">
            <w:pPr>
              <w:jc w:val="center"/>
              <w:rPr>
                <w:rFonts w:ascii="Arial" w:hAnsi="Arial" w:cs="Arial"/>
              </w:rPr>
            </w:pPr>
            <w:r w:rsidRPr="00394EB6">
              <w:rPr>
                <w:rFonts w:ascii="Arial" w:hAnsi="Arial" w:cs="Arial"/>
              </w:rPr>
              <w:t>21,3</w:t>
            </w:r>
          </w:p>
        </w:tc>
        <w:tc>
          <w:tcPr>
            <w:tcW w:w="700" w:type="dxa"/>
            <w:tcBorders>
              <w:top w:val="nil"/>
              <w:left w:val="nil"/>
              <w:bottom w:val="single" w:sz="4" w:space="0" w:color="auto"/>
              <w:right w:val="single" w:sz="4" w:space="0" w:color="auto"/>
            </w:tcBorders>
            <w:noWrap/>
            <w:vAlign w:val="center"/>
            <w:hideMark/>
          </w:tcPr>
          <w:p w14:paraId="1D3F0D5A" w14:textId="77777777" w:rsidR="00F56995" w:rsidRPr="00394EB6" w:rsidRDefault="00F56995">
            <w:pPr>
              <w:jc w:val="center"/>
              <w:rPr>
                <w:rFonts w:ascii="Arial" w:hAnsi="Arial" w:cs="Arial"/>
              </w:rPr>
            </w:pPr>
            <w:r w:rsidRPr="00394EB6">
              <w:rPr>
                <w:rFonts w:ascii="Arial" w:hAnsi="Arial" w:cs="Arial"/>
              </w:rPr>
              <w:t>68,3</w:t>
            </w:r>
          </w:p>
        </w:tc>
        <w:tc>
          <w:tcPr>
            <w:tcW w:w="700" w:type="dxa"/>
            <w:tcBorders>
              <w:top w:val="nil"/>
              <w:left w:val="nil"/>
              <w:bottom w:val="single" w:sz="4" w:space="0" w:color="auto"/>
              <w:right w:val="single" w:sz="4" w:space="0" w:color="auto"/>
            </w:tcBorders>
            <w:noWrap/>
            <w:vAlign w:val="center"/>
            <w:hideMark/>
          </w:tcPr>
          <w:p w14:paraId="16EFF7C9" w14:textId="77777777" w:rsidR="00F56995" w:rsidRPr="00394EB6" w:rsidRDefault="00F56995">
            <w:pPr>
              <w:jc w:val="center"/>
              <w:rPr>
                <w:rFonts w:ascii="Arial" w:hAnsi="Arial" w:cs="Arial"/>
              </w:rPr>
            </w:pPr>
            <w:r w:rsidRPr="00394EB6">
              <w:rPr>
                <w:rFonts w:ascii="Arial" w:hAnsi="Arial" w:cs="Arial"/>
              </w:rPr>
              <w:t>54,1</w:t>
            </w:r>
          </w:p>
        </w:tc>
        <w:tc>
          <w:tcPr>
            <w:tcW w:w="700" w:type="dxa"/>
            <w:tcBorders>
              <w:top w:val="nil"/>
              <w:left w:val="nil"/>
              <w:bottom w:val="single" w:sz="4" w:space="0" w:color="auto"/>
              <w:right w:val="single" w:sz="4" w:space="0" w:color="auto"/>
            </w:tcBorders>
            <w:noWrap/>
            <w:vAlign w:val="center"/>
            <w:hideMark/>
          </w:tcPr>
          <w:p w14:paraId="0F019571" w14:textId="77777777" w:rsidR="00F56995" w:rsidRPr="00394EB6" w:rsidRDefault="00F56995">
            <w:pPr>
              <w:jc w:val="center"/>
              <w:rPr>
                <w:rFonts w:ascii="Arial" w:hAnsi="Arial" w:cs="Arial"/>
              </w:rPr>
            </w:pPr>
            <w:r w:rsidRPr="00394EB6">
              <w:rPr>
                <w:rFonts w:ascii="Arial" w:hAnsi="Arial" w:cs="Arial"/>
              </w:rPr>
              <w:t>62,9</w:t>
            </w:r>
          </w:p>
        </w:tc>
        <w:tc>
          <w:tcPr>
            <w:tcW w:w="700" w:type="dxa"/>
            <w:tcBorders>
              <w:top w:val="nil"/>
              <w:left w:val="nil"/>
              <w:bottom w:val="single" w:sz="4" w:space="0" w:color="auto"/>
              <w:right w:val="single" w:sz="4" w:space="0" w:color="auto"/>
            </w:tcBorders>
            <w:noWrap/>
            <w:vAlign w:val="center"/>
            <w:hideMark/>
          </w:tcPr>
          <w:p w14:paraId="4ACEC51A" w14:textId="77777777" w:rsidR="00F56995" w:rsidRPr="00394EB6" w:rsidRDefault="00F56995">
            <w:pPr>
              <w:jc w:val="center"/>
              <w:rPr>
                <w:rFonts w:ascii="Arial" w:hAnsi="Arial" w:cs="Arial"/>
              </w:rPr>
            </w:pPr>
            <w:r w:rsidRPr="00394EB6">
              <w:rPr>
                <w:rFonts w:ascii="Arial" w:hAnsi="Arial" w:cs="Arial"/>
              </w:rPr>
              <w:t>35,8</w:t>
            </w:r>
          </w:p>
        </w:tc>
        <w:tc>
          <w:tcPr>
            <w:tcW w:w="700" w:type="dxa"/>
            <w:tcBorders>
              <w:top w:val="nil"/>
              <w:left w:val="nil"/>
              <w:bottom w:val="single" w:sz="4" w:space="0" w:color="auto"/>
              <w:right w:val="single" w:sz="4" w:space="0" w:color="auto"/>
            </w:tcBorders>
            <w:noWrap/>
            <w:vAlign w:val="center"/>
            <w:hideMark/>
          </w:tcPr>
          <w:p w14:paraId="796C40FF" w14:textId="77777777" w:rsidR="00F56995" w:rsidRPr="00394EB6" w:rsidRDefault="00F56995">
            <w:pPr>
              <w:jc w:val="center"/>
              <w:rPr>
                <w:rFonts w:ascii="Arial" w:hAnsi="Arial" w:cs="Arial"/>
              </w:rPr>
            </w:pPr>
            <w:r w:rsidRPr="00394EB6">
              <w:rPr>
                <w:rFonts w:ascii="Arial" w:hAnsi="Arial" w:cs="Arial"/>
              </w:rPr>
              <w:t>55,5</w:t>
            </w:r>
          </w:p>
        </w:tc>
        <w:tc>
          <w:tcPr>
            <w:tcW w:w="700" w:type="dxa"/>
            <w:tcBorders>
              <w:top w:val="nil"/>
              <w:left w:val="nil"/>
              <w:bottom w:val="single" w:sz="4" w:space="0" w:color="auto"/>
              <w:right w:val="single" w:sz="4" w:space="0" w:color="auto"/>
            </w:tcBorders>
            <w:noWrap/>
            <w:vAlign w:val="center"/>
            <w:hideMark/>
          </w:tcPr>
          <w:p w14:paraId="49066C93" w14:textId="77777777" w:rsidR="00F56995" w:rsidRPr="00394EB6" w:rsidRDefault="00F56995">
            <w:pPr>
              <w:jc w:val="center"/>
              <w:rPr>
                <w:rFonts w:ascii="Arial" w:hAnsi="Arial" w:cs="Arial"/>
              </w:rPr>
            </w:pPr>
            <w:r w:rsidRPr="00394EB6">
              <w:rPr>
                <w:rFonts w:ascii="Arial" w:hAnsi="Arial" w:cs="Arial"/>
              </w:rPr>
              <w:t>49,4</w:t>
            </w:r>
          </w:p>
        </w:tc>
        <w:tc>
          <w:tcPr>
            <w:tcW w:w="700" w:type="dxa"/>
            <w:tcBorders>
              <w:top w:val="nil"/>
              <w:left w:val="nil"/>
              <w:bottom w:val="single" w:sz="4" w:space="0" w:color="auto"/>
              <w:right w:val="single" w:sz="4" w:space="0" w:color="auto"/>
            </w:tcBorders>
            <w:noWrap/>
            <w:vAlign w:val="center"/>
            <w:hideMark/>
          </w:tcPr>
          <w:p w14:paraId="168019A6" w14:textId="77777777" w:rsidR="00F56995" w:rsidRPr="00394EB6" w:rsidRDefault="00F56995">
            <w:pPr>
              <w:jc w:val="center"/>
              <w:rPr>
                <w:rFonts w:ascii="Arial" w:hAnsi="Arial" w:cs="Arial"/>
              </w:rPr>
            </w:pPr>
            <w:r w:rsidRPr="00394EB6">
              <w:rPr>
                <w:rFonts w:ascii="Arial" w:hAnsi="Arial" w:cs="Arial"/>
              </w:rPr>
              <w:t>46,3</w:t>
            </w:r>
          </w:p>
        </w:tc>
        <w:tc>
          <w:tcPr>
            <w:tcW w:w="700" w:type="dxa"/>
            <w:tcBorders>
              <w:top w:val="nil"/>
              <w:left w:val="nil"/>
              <w:bottom w:val="single" w:sz="4" w:space="0" w:color="auto"/>
              <w:right w:val="single" w:sz="4" w:space="0" w:color="auto"/>
            </w:tcBorders>
            <w:noWrap/>
            <w:vAlign w:val="center"/>
            <w:hideMark/>
          </w:tcPr>
          <w:p w14:paraId="4B64AB67" w14:textId="77777777" w:rsidR="00F56995" w:rsidRPr="00394EB6" w:rsidRDefault="00F56995">
            <w:pPr>
              <w:jc w:val="center"/>
              <w:rPr>
                <w:rFonts w:ascii="Arial" w:hAnsi="Arial" w:cs="Arial"/>
              </w:rPr>
            </w:pPr>
            <w:r w:rsidRPr="00394EB6">
              <w:rPr>
                <w:rFonts w:ascii="Arial" w:hAnsi="Arial" w:cs="Arial"/>
              </w:rPr>
              <w:t>50,6</w:t>
            </w:r>
          </w:p>
        </w:tc>
      </w:tr>
    </w:tbl>
    <w:p w14:paraId="41513414" w14:textId="4C4CC52B" w:rsidR="00F56995" w:rsidRPr="00394EB6" w:rsidRDefault="00F56995" w:rsidP="00A13955">
      <w:pPr>
        <w:pStyle w:val="tabu"/>
        <w:tabs>
          <w:tab w:val="num" w:pos="0"/>
        </w:tabs>
        <w:spacing w:after="0"/>
        <w:jc w:val="center"/>
        <w:rPr>
          <w:rFonts w:cs="Arial"/>
          <w:iCs/>
          <w:sz w:val="18"/>
          <w:szCs w:val="18"/>
          <w:lang w:eastAsia="en-US"/>
        </w:rPr>
      </w:pPr>
      <w:r w:rsidRPr="00394EB6">
        <w:rPr>
          <w:rFonts w:cs="Arial"/>
          <w:iCs/>
          <w:sz w:val="18"/>
          <w:szCs w:val="18"/>
          <w:lang w:eastAsia="en-US"/>
        </w:rPr>
        <w:t>Zdroj: Ročenky klimatologických pozorovaní meteorologických staníc na území SR , SHMÚ, Bratislava</w:t>
      </w:r>
    </w:p>
    <w:p w14:paraId="34FA06AB" w14:textId="77777777" w:rsidR="00A13955" w:rsidRPr="00394EB6" w:rsidRDefault="00A13955" w:rsidP="00A13955">
      <w:pPr>
        <w:rPr>
          <w:lang w:eastAsia="en-US"/>
        </w:rPr>
      </w:pPr>
    </w:p>
    <w:p w14:paraId="6347BE9A" w14:textId="16CA7261" w:rsidR="00F56995" w:rsidRPr="005145B5" w:rsidRDefault="00F56995" w:rsidP="00A13955">
      <w:pPr>
        <w:pStyle w:val="poznmka"/>
        <w:rPr>
          <w:rFonts w:cs="Arial"/>
          <w:bCs/>
          <w:i/>
          <w:szCs w:val="18"/>
          <w:lang w:val="sk-SK"/>
        </w:rPr>
      </w:pPr>
      <w:r w:rsidRPr="005145B5">
        <w:rPr>
          <w:rFonts w:cs="Arial"/>
          <w:bCs/>
          <w:i/>
          <w:szCs w:val="18"/>
          <w:lang w:val="sk-SK"/>
        </w:rPr>
        <w:t>Tab. č.</w:t>
      </w:r>
      <w:r w:rsidR="005A4635" w:rsidRPr="005145B5">
        <w:rPr>
          <w:rFonts w:cs="Arial"/>
          <w:bCs/>
          <w:i/>
          <w:szCs w:val="18"/>
          <w:lang w:val="sk-SK"/>
        </w:rPr>
        <w:t xml:space="preserve"> III.1.4</w:t>
      </w:r>
      <w:r w:rsidRPr="005145B5">
        <w:rPr>
          <w:rFonts w:cs="Arial"/>
          <w:bCs/>
          <w:i/>
          <w:szCs w:val="18"/>
          <w:lang w:val="sk-SK"/>
        </w:rPr>
        <w:t>: Priemerné mesačné úhrny zrážok zo stanice Bratislava - Letisko (mm)</w:t>
      </w:r>
    </w:p>
    <w:tbl>
      <w:tblPr>
        <w:tblW w:w="9640" w:type="dxa"/>
        <w:tblInd w:w="57" w:type="dxa"/>
        <w:tblCellMar>
          <w:left w:w="70" w:type="dxa"/>
          <w:right w:w="70" w:type="dxa"/>
        </w:tblCellMar>
        <w:tblLook w:val="04A0" w:firstRow="1" w:lastRow="0" w:firstColumn="1" w:lastColumn="0" w:noHBand="0" w:noVBand="1"/>
      </w:tblPr>
      <w:tblGrid>
        <w:gridCol w:w="1240"/>
        <w:gridCol w:w="700"/>
        <w:gridCol w:w="700"/>
        <w:gridCol w:w="700"/>
        <w:gridCol w:w="700"/>
        <w:gridCol w:w="700"/>
        <w:gridCol w:w="700"/>
        <w:gridCol w:w="700"/>
        <w:gridCol w:w="700"/>
        <w:gridCol w:w="700"/>
        <w:gridCol w:w="700"/>
        <w:gridCol w:w="700"/>
        <w:gridCol w:w="700"/>
      </w:tblGrid>
      <w:tr w:rsidR="00394EB6" w:rsidRPr="00394EB6" w14:paraId="26DC0A7D" w14:textId="77777777" w:rsidTr="00F56995">
        <w:trPr>
          <w:trHeight w:val="255"/>
        </w:trPr>
        <w:tc>
          <w:tcPr>
            <w:tcW w:w="1240" w:type="dxa"/>
            <w:tcBorders>
              <w:top w:val="single" w:sz="4" w:space="0" w:color="auto"/>
              <w:left w:val="single" w:sz="4" w:space="0" w:color="auto"/>
              <w:bottom w:val="single" w:sz="4" w:space="0" w:color="auto"/>
              <w:right w:val="single" w:sz="4" w:space="0" w:color="auto"/>
            </w:tcBorders>
            <w:noWrap/>
            <w:vAlign w:val="center"/>
            <w:hideMark/>
          </w:tcPr>
          <w:p w14:paraId="526803E5" w14:textId="77777777" w:rsidR="00F56995" w:rsidRPr="00394EB6" w:rsidRDefault="00F56995">
            <w:pPr>
              <w:jc w:val="center"/>
              <w:rPr>
                <w:rFonts w:ascii="Arial" w:hAnsi="Arial" w:cs="Arial"/>
              </w:rPr>
            </w:pPr>
            <w:r w:rsidRPr="00394EB6">
              <w:rPr>
                <w:rFonts w:ascii="Arial" w:hAnsi="Arial" w:cs="Arial"/>
              </w:rPr>
              <w:t>rok</w:t>
            </w:r>
          </w:p>
        </w:tc>
        <w:tc>
          <w:tcPr>
            <w:tcW w:w="700" w:type="dxa"/>
            <w:tcBorders>
              <w:top w:val="single" w:sz="4" w:space="0" w:color="auto"/>
              <w:left w:val="nil"/>
              <w:bottom w:val="single" w:sz="4" w:space="0" w:color="auto"/>
              <w:right w:val="single" w:sz="4" w:space="0" w:color="auto"/>
            </w:tcBorders>
            <w:noWrap/>
            <w:vAlign w:val="center"/>
            <w:hideMark/>
          </w:tcPr>
          <w:p w14:paraId="7B6A3BE2" w14:textId="77777777" w:rsidR="00F56995" w:rsidRPr="00394EB6" w:rsidRDefault="00F56995">
            <w:pPr>
              <w:jc w:val="center"/>
              <w:rPr>
                <w:rFonts w:ascii="Arial" w:hAnsi="Arial" w:cs="Arial"/>
              </w:rPr>
            </w:pPr>
            <w:r w:rsidRPr="00394EB6">
              <w:rPr>
                <w:rFonts w:ascii="Arial" w:hAnsi="Arial" w:cs="Arial"/>
              </w:rPr>
              <w:t>I</w:t>
            </w:r>
          </w:p>
        </w:tc>
        <w:tc>
          <w:tcPr>
            <w:tcW w:w="700" w:type="dxa"/>
            <w:tcBorders>
              <w:top w:val="single" w:sz="4" w:space="0" w:color="auto"/>
              <w:left w:val="nil"/>
              <w:bottom w:val="single" w:sz="4" w:space="0" w:color="auto"/>
              <w:right w:val="single" w:sz="4" w:space="0" w:color="auto"/>
            </w:tcBorders>
            <w:noWrap/>
            <w:vAlign w:val="center"/>
            <w:hideMark/>
          </w:tcPr>
          <w:p w14:paraId="3588492F" w14:textId="77777777" w:rsidR="00F56995" w:rsidRPr="00394EB6" w:rsidRDefault="00F56995">
            <w:pPr>
              <w:jc w:val="center"/>
              <w:rPr>
                <w:rFonts w:ascii="Arial" w:hAnsi="Arial" w:cs="Arial"/>
              </w:rPr>
            </w:pPr>
            <w:r w:rsidRPr="00394EB6">
              <w:rPr>
                <w:rFonts w:ascii="Arial" w:hAnsi="Arial" w:cs="Arial"/>
              </w:rPr>
              <w:t>II</w:t>
            </w:r>
          </w:p>
        </w:tc>
        <w:tc>
          <w:tcPr>
            <w:tcW w:w="700" w:type="dxa"/>
            <w:tcBorders>
              <w:top w:val="single" w:sz="4" w:space="0" w:color="auto"/>
              <w:left w:val="nil"/>
              <w:bottom w:val="single" w:sz="4" w:space="0" w:color="auto"/>
              <w:right w:val="single" w:sz="4" w:space="0" w:color="auto"/>
            </w:tcBorders>
            <w:noWrap/>
            <w:vAlign w:val="center"/>
            <w:hideMark/>
          </w:tcPr>
          <w:p w14:paraId="486C621F" w14:textId="77777777" w:rsidR="00F56995" w:rsidRPr="00394EB6" w:rsidRDefault="00F56995">
            <w:pPr>
              <w:jc w:val="center"/>
              <w:rPr>
                <w:rFonts w:ascii="Arial" w:hAnsi="Arial" w:cs="Arial"/>
              </w:rPr>
            </w:pPr>
            <w:r w:rsidRPr="00394EB6">
              <w:rPr>
                <w:rFonts w:ascii="Arial" w:hAnsi="Arial" w:cs="Arial"/>
              </w:rPr>
              <w:t>III</w:t>
            </w:r>
          </w:p>
        </w:tc>
        <w:tc>
          <w:tcPr>
            <w:tcW w:w="700" w:type="dxa"/>
            <w:tcBorders>
              <w:top w:val="single" w:sz="4" w:space="0" w:color="auto"/>
              <w:left w:val="nil"/>
              <w:bottom w:val="single" w:sz="4" w:space="0" w:color="auto"/>
              <w:right w:val="single" w:sz="4" w:space="0" w:color="auto"/>
            </w:tcBorders>
            <w:noWrap/>
            <w:vAlign w:val="center"/>
            <w:hideMark/>
          </w:tcPr>
          <w:p w14:paraId="00FD1522" w14:textId="77777777" w:rsidR="00F56995" w:rsidRPr="00394EB6" w:rsidRDefault="00F56995">
            <w:pPr>
              <w:jc w:val="center"/>
              <w:rPr>
                <w:rFonts w:ascii="Arial" w:hAnsi="Arial" w:cs="Arial"/>
              </w:rPr>
            </w:pPr>
            <w:r w:rsidRPr="00394EB6">
              <w:rPr>
                <w:rFonts w:ascii="Arial" w:hAnsi="Arial" w:cs="Arial"/>
              </w:rPr>
              <w:t>IV</w:t>
            </w:r>
          </w:p>
        </w:tc>
        <w:tc>
          <w:tcPr>
            <w:tcW w:w="700" w:type="dxa"/>
            <w:tcBorders>
              <w:top w:val="single" w:sz="4" w:space="0" w:color="auto"/>
              <w:left w:val="nil"/>
              <w:bottom w:val="single" w:sz="4" w:space="0" w:color="auto"/>
              <w:right w:val="single" w:sz="4" w:space="0" w:color="auto"/>
            </w:tcBorders>
            <w:noWrap/>
            <w:vAlign w:val="center"/>
            <w:hideMark/>
          </w:tcPr>
          <w:p w14:paraId="082072FA" w14:textId="77777777" w:rsidR="00F56995" w:rsidRPr="00394EB6" w:rsidRDefault="00F56995">
            <w:pPr>
              <w:jc w:val="center"/>
              <w:rPr>
                <w:rFonts w:ascii="Arial" w:hAnsi="Arial" w:cs="Arial"/>
              </w:rPr>
            </w:pPr>
            <w:r w:rsidRPr="00394EB6">
              <w:rPr>
                <w:rFonts w:ascii="Arial" w:hAnsi="Arial" w:cs="Arial"/>
              </w:rPr>
              <w:t>V</w:t>
            </w:r>
          </w:p>
        </w:tc>
        <w:tc>
          <w:tcPr>
            <w:tcW w:w="700" w:type="dxa"/>
            <w:tcBorders>
              <w:top w:val="single" w:sz="4" w:space="0" w:color="auto"/>
              <w:left w:val="nil"/>
              <w:bottom w:val="single" w:sz="4" w:space="0" w:color="auto"/>
              <w:right w:val="single" w:sz="4" w:space="0" w:color="auto"/>
            </w:tcBorders>
            <w:noWrap/>
            <w:vAlign w:val="center"/>
            <w:hideMark/>
          </w:tcPr>
          <w:p w14:paraId="5FE78815" w14:textId="77777777" w:rsidR="00F56995" w:rsidRPr="00394EB6" w:rsidRDefault="00F56995">
            <w:pPr>
              <w:jc w:val="center"/>
              <w:rPr>
                <w:rFonts w:ascii="Arial" w:hAnsi="Arial" w:cs="Arial"/>
              </w:rPr>
            </w:pPr>
            <w:r w:rsidRPr="00394EB6">
              <w:rPr>
                <w:rFonts w:ascii="Arial" w:hAnsi="Arial" w:cs="Arial"/>
              </w:rPr>
              <w:t>VI</w:t>
            </w:r>
          </w:p>
        </w:tc>
        <w:tc>
          <w:tcPr>
            <w:tcW w:w="700" w:type="dxa"/>
            <w:tcBorders>
              <w:top w:val="single" w:sz="4" w:space="0" w:color="auto"/>
              <w:left w:val="nil"/>
              <w:bottom w:val="single" w:sz="4" w:space="0" w:color="auto"/>
              <w:right w:val="single" w:sz="4" w:space="0" w:color="auto"/>
            </w:tcBorders>
            <w:noWrap/>
            <w:vAlign w:val="center"/>
            <w:hideMark/>
          </w:tcPr>
          <w:p w14:paraId="505C79DD" w14:textId="77777777" w:rsidR="00F56995" w:rsidRPr="00394EB6" w:rsidRDefault="00F56995">
            <w:pPr>
              <w:jc w:val="center"/>
              <w:rPr>
                <w:rFonts w:ascii="Arial" w:hAnsi="Arial" w:cs="Arial"/>
              </w:rPr>
            </w:pPr>
            <w:r w:rsidRPr="00394EB6">
              <w:rPr>
                <w:rFonts w:ascii="Arial" w:hAnsi="Arial" w:cs="Arial"/>
              </w:rPr>
              <w:t>VII</w:t>
            </w:r>
          </w:p>
        </w:tc>
        <w:tc>
          <w:tcPr>
            <w:tcW w:w="700" w:type="dxa"/>
            <w:tcBorders>
              <w:top w:val="single" w:sz="4" w:space="0" w:color="auto"/>
              <w:left w:val="nil"/>
              <w:bottom w:val="single" w:sz="4" w:space="0" w:color="auto"/>
              <w:right w:val="single" w:sz="4" w:space="0" w:color="auto"/>
            </w:tcBorders>
            <w:noWrap/>
            <w:vAlign w:val="center"/>
            <w:hideMark/>
          </w:tcPr>
          <w:p w14:paraId="06BBE88F" w14:textId="77777777" w:rsidR="00F56995" w:rsidRPr="00394EB6" w:rsidRDefault="00F56995">
            <w:pPr>
              <w:jc w:val="center"/>
              <w:rPr>
                <w:rFonts w:ascii="Arial" w:hAnsi="Arial" w:cs="Arial"/>
              </w:rPr>
            </w:pPr>
            <w:r w:rsidRPr="00394EB6">
              <w:rPr>
                <w:rFonts w:ascii="Arial" w:hAnsi="Arial" w:cs="Arial"/>
              </w:rPr>
              <w:t>VIII</w:t>
            </w:r>
          </w:p>
        </w:tc>
        <w:tc>
          <w:tcPr>
            <w:tcW w:w="700" w:type="dxa"/>
            <w:tcBorders>
              <w:top w:val="single" w:sz="4" w:space="0" w:color="auto"/>
              <w:left w:val="nil"/>
              <w:bottom w:val="single" w:sz="4" w:space="0" w:color="auto"/>
              <w:right w:val="single" w:sz="4" w:space="0" w:color="auto"/>
            </w:tcBorders>
            <w:noWrap/>
            <w:vAlign w:val="center"/>
            <w:hideMark/>
          </w:tcPr>
          <w:p w14:paraId="71D55E2F" w14:textId="77777777" w:rsidR="00F56995" w:rsidRPr="00394EB6" w:rsidRDefault="00F56995">
            <w:pPr>
              <w:jc w:val="center"/>
              <w:rPr>
                <w:rFonts w:ascii="Arial" w:hAnsi="Arial" w:cs="Arial"/>
              </w:rPr>
            </w:pPr>
            <w:r w:rsidRPr="00394EB6">
              <w:rPr>
                <w:rFonts w:ascii="Arial" w:hAnsi="Arial" w:cs="Arial"/>
              </w:rPr>
              <w:t>IX</w:t>
            </w:r>
          </w:p>
        </w:tc>
        <w:tc>
          <w:tcPr>
            <w:tcW w:w="700" w:type="dxa"/>
            <w:tcBorders>
              <w:top w:val="single" w:sz="4" w:space="0" w:color="auto"/>
              <w:left w:val="nil"/>
              <w:bottom w:val="single" w:sz="4" w:space="0" w:color="auto"/>
              <w:right w:val="single" w:sz="4" w:space="0" w:color="auto"/>
            </w:tcBorders>
            <w:noWrap/>
            <w:vAlign w:val="center"/>
            <w:hideMark/>
          </w:tcPr>
          <w:p w14:paraId="218B1FAC" w14:textId="77777777" w:rsidR="00F56995" w:rsidRPr="00394EB6" w:rsidRDefault="00F56995">
            <w:pPr>
              <w:jc w:val="center"/>
              <w:rPr>
                <w:rFonts w:ascii="Arial" w:hAnsi="Arial" w:cs="Arial"/>
              </w:rPr>
            </w:pPr>
            <w:r w:rsidRPr="00394EB6">
              <w:rPr>
                <w:rFonts w:ascii="Arial" w:hAnsi="Arial" w:cs="Arial"/>
              </w:rPr>
              <w:t>X</w:t>
            </w:r>
          </w:p>
        </w:tc>
        <w:tc>
          <w:tcPr>
            <w:tcW w:w="700" w:type="dxa"/>
            <w:tcBorders>
              <w:top w:val="single" w:sz="4" w:space="0" w:color="auto"/>
              <w:left w:val="nil"/>
              <w:bottom w:val="single" w:sz="4" w:space="0" w:color="auto"/>
              <w:right w:val="single" w:sz="4" w:space="0" w:color="auto"/>
            </w:tcBorders>
            <w:noWrap/>
            <w:vAlign w:val="center"/>
            <w:hideMark/>
          </w:tcPr>
          <w:p w14:paraId="714AC0DB" w14:textId="77777777" w:rsidR="00F56995" w:rsidRPr="00394EB6" w:rsidRDefault="00F56995">
            <w:pPr>
              <w:jc w:val="center"/>
              <w:rPr>
                <w:rFonts w:ascii="Arial" w:hAnsi="Arial" w:cs="Arial"/>
              </w:rPr>
            </w:pPr>
            <w:r w:rsidRPr="00394EB6">
              <w:rPr>
                <w:rFonts w:ascii="Arial" w:hAnsi="Arial" w:cs="Arial"/>
              </w:rPr>
              <w:t>XI</w:t>
            </w:r>
          </w:p>
        </w:tc>
        <w:tc>
          <w:tcPr>
            <w:tcW w:w="700" w:type="dxa"/>
            <w:tcBorders>
              <w:top w:val="single" w:sz="4" w:space="0" w:color="auto"/>
              <w:left w:val="nil"/>
              <w:bottom w:val="single" w:sz="4" w:space="0" w:color="auto"/>
              <w:right w:val="single" w:sz="4" w:space="0" w:color="auto"/>
            </w:tcBorders>
            <w:noWrap/>
            <w:vAlign w:val="center"/>
            <w:hideMark/>
          </w:tcPr>
          <w:p w14:paraId="5BD57450" w14:textId="77777777" w:rsidR="00F56995" w:rsidRPr="00394EB6" w:rsidRDefault="00F56995">
            <w:pPr>
              <w:jc w:val="center"/>
              <w:rPr>
                <w:rFonts w:ascii="Arial" w:hAnsi="Arial" w:cs="Arial"/>
              </w:rPr>
            </w:pPr>
            <w:r w:rsidRPr="00394EB6">
              <w:rPr>
                <w:rFonts w:ascii="Arial" w:hAnsi="Arial" w:cs="Arial"/>
              </w:rPr>
              <w:t>XII</w:t>
            </w:r>
          </w:p>
        </w:tc>
      </w:tr>
      <w:tr w:rsidR="00394EB6" w:rsidRPr="00394EB6" w14:paraId="67EF9700" w14:textId="77777777" w:rsidTr="00F56995">
        <w:trPr>
          <w:trHeight w:val="255"/>
        </w:trPr>
        <w:tc>
          <w:tcPr>
            <w:tcW w:w="1240" w:type="dxa"/>
            <w:tcBorders>
              <w:top w:val="nil"/>
              <w:left w:val="single" w:sz="4" w:space="0" w:color="auto"/>
              <w:bottom w:val="single" w:sz="4" w:space="0" w:color="auto"/>
              <w:right w:val="single" w:sz="4" w:space="0" w:color="auto"/>
            </w:tcBorders>
            <w:noWrap/>
            <w:vAlign w:val="center"/>
            <w:hideMark/>
          </w:tcPr>
          <w:p w14:paraId="628B26B0" w14:textId="77777777" w:rsidR="00F56995" w:rsidRPr="00394EB6" w:rsidRDefault="00F56995">
            <w:pPr>
              <w:jc w:val="center"/>
              <w:rPr>
                <w:rFonts w:ascii="Arial" w:hAnsi="Arial" w:cs="Arial"/>
              </w:rPr>
            </w:pPr>
            <w:r w:rsidRPr="00394EB6">
              <w:rPr>
                <w:rFonts w:ascii="Arial" w:hAnsi="Arial" w:cs="Arial"/>
              </w:rPr>
              <w:t>2020</w:t>
            </w:r>
          </w:p>
        </w:tc>
        <w:tc>
          <w:tcPr>
            <w:tcW w:w="700" w:type="dxa"/>
            <w:tcBorders>
              <w:top w:val="nil"/>
              <w:left w:val="nil"/>
              <w:bottom w:val="single" w:sz="4" w:space="0" w:color="auto"/>
              <w:right w:val="single" w:sz="4" w:space="0" w:color="auto"/>
            </w:tcBorders>
            <w:noWrap/>
            <w:vAlign w:val="center"/>
            <w:hideMark/>
          </w:tcPr>
          <w:p w14:paraId="0F582082" w14:textId="77777777" w:rsidR="00F56995" w:rsidRPr="00394EB6" w:rsidRDefault="00F56995">
            <w:pPr>
              <w:jc w:val="center"/>
              <w:rPr>
                <w:rFonts w:ascii="Arial" w:hAnsi="Arial" w:cs="Arial"/>
              </w:rPr>
            </w:pPr>
            <w:r w:rsidRPr="00394EB6">
              <w:rPr>
                <w:rFonts w:ascii="Arial" w:hAnsi="Arial" w:cs="Arial"/>
              </w:rPr>
              <w:t>15,7</w:t>
            </w:r>
          </w:p>
        </w:tc>
        <w:tc>
          <w:tcPr>
            <w:tcW w:w="700" w:type="dxa"/>
            <w:tcBorders>
              <w:top w:val="nil"/>
              <w:left w:val="nil"/>
              <w:bottom w:val="single" w:sz="4" w:space="0" w:color="auto"/>
              <w:right w:val="single" w:sz="4" w:space="0" w:color="auto"/>
            </w:tcBorders>
            <w:noWrap/>
            <w:vAlign w:val="center"/>
            <w:hideMark/>
          </w:tcPr>
          <w:p w14:paraId="42E3C44A" w14:textId="77777777" w:rsidR="00F56995" w:rsidRPr="00394EB6" w:rsidRDefault="00F56995">
            <w:pPr>
              <w:jc w:val="center"/>
              <w:rPr>
                <w:rFonts w:ascii="Arial" w:hAnsi="Arial" w:cs="Arial"/>
              </w:rPr>
            </w:pPr>
            <w:r w:rsidRPr="00394EB6">
              <w:rPr>
                <w:rFonts w:ascii="Arial" w:hAnsi="Arial" w:cs="Arial"/>
              </w:rPr>
              <w:t>36,7</w:t>
            </w:r>
          </w:p>
        </w:tc>
        <w:tc>
          <w:tcPr>
            <w:tcW w:w="700" w:type="dxa"/>
            <w:tcBorders>
              <w:top w:val="nil"/>
              <w:left w:val="nil"/>
              <w:bottom w:val="single" w:sz="4" w:space="0" w:color="auto"/>
              <w:right w:val="single" w:sz="4" w:space="0" w:color="auto"/>
            </w:tcBorders>
            <w:noWrap/>
            <w:vAlign w:val="center"/>
            <w:hideMark/>
          </w:tcPr>
          <w:p w14:paraId="36EE130A" w14:textId="77777777" w:rsidR="00F56995" w:rsidRPr="00394EB6" w:rsidRDefault="00F56995">
            <w:pPr>
              <w:jc w:val="center"/>
              <w:rPr>
                <w:rFonts w:ascii="Arial" w:hAnsi="Arial" w:cs="Arial"/>
              </w:rPr>
            </w:pPr>
            <w:r w:rsidRPr="00394EB6">
              <w:rPr>
                <w:rFonts w:ascii="Arial" w:hAnsi="Arial" w:cs="Arial"/>
              </w:rPr>
              <w:t>47,0</w:t>
            </w:r>
          </w:p>
        </w:tc>
        <w:tc>
          <w:tcPr>
            <w:tcW w:w="700" w:type="dxa"/>
            <w:tcBorders>
              <w:top w:val="nil"/>
              <w:left w:val="nil"/>
              <w:bottom w:val="single" w:sz="4" w:space="0" w:color="auto"/>
              <w:right w:val="single" w:sz="4" w:space="0" w:color="auto"/>
            </w:tcBorders>
            <w:noWrap/>
            <w:vAlign w:val="center"/>
            <w:hideMark/>
          </w:tcPr>
          <w:p w14:paraId="665D3D66" w14:textId="77777777" w:rsidR="00F56995" w:rsidRPr="00394EB6" w:rsidRDefault="00F56995">
            <w:pPr>
              <w:jc w:val="center"/>
              <w:rPr>
                <w:rFonts w:ascii="Arial" w:hAnsi="Arial" w:cs="Arial"/>
              </w:rPr>
            </w:pPr>
            <w:r w:rsidRPr="00394EB6">
              <w:rPr>
                <w:rFonts w:ascii="Arial" w:hAnsi="Arial" w:cs="Arial"/>
              </w:rPr>
              <w:t>1,3</w:t>
            </w:r>
          </w:p>
        </w:tc>
        <w:tc>
          <w:tcPr>
            <w:tcW w:w="700" w:type="dxa"/>
            <w:tcBorders>
              <w:top w:val="nil"/>
              <w:left w:val="nil"/>
              <w:bottom w:val="single" w:sz="4" w:space="0" w:color="auto"/>
              <w:right w:val="single" w:sz="4" w:space="0" w:color="auto"/>
            </w:tcBorders>
            <w:noWrap/>
            <w:vAlign w:val="center"/>
            <w:hideMark/>
          </w:tcPr>
          <w:p w14:paraId="220958EF" w14:textId="77777777" w:rsidR="00F56995" w:rsidRPr="00394EB6" w:rsidRDefault="00F56995">
            <w:pPr>
              <w:jc w:val="center"/>
              <w:rPr>
                <w:rFonts w:ascii="Arial" w:hAnsi="Arial" w:cs="Arial"/>
              </w:rPr>
            </w:pPr>
            <w:r w:rsidRPr="00394EB6">
              <w:rPr>
                <w:rFonts w:ascii="Arial" w:hAnsi="Arial" w:cs="Arial"/>
              </w:rPr>
              <w:t>54,2</w:t>
            </w:r>
          </w:p>
        </w:tc>
        <w:tc>
          <w:tcPr>
            <w:tcW w:w="700" w:type="dxa"/>
            <w:tcBorders>
              <w:top w:val="nil"/>
              <w:left w:val="nil"/>
              <w:bottom w:val="single" w:sz="4" w:space="0" w:color="auto"/>
              <w:right w:val="single" w:sz="4" w:space="0" w:color="auto"/>
            </w:tcBorders>
            <w:noWrap/>
            <w:vAlign w:val="center"/>
            <w:hideMark/>
          </w:tcPr>
          <w:p w14:paraId="5BA58B5C" w14:textId="77777777" w:rsidR="00F56995" w:rsidRPr="00394EB6" w:rsidRDefault="00F56995">
            <w:pPr>
              <w:jc w:val="center"/>
              <w:rPr>
                <w:rFonts w:ascii="Arial" w:hAnsi="Arial" w:cs="Arial"/>
              </w:rPr>
            </w:pPr>
            <w:r w:rsidRPr="00394EB6">
              <w:rPr>
                <w:rFonts w:ascii="Arial" w:hAnsi="Arial" w:cs="Arial"/>
              </w:rPr>
              <w:t>92,0</w:t>
            </w:r>
          </w:p>
        </w:tc>
        <w:tc>
          <w:tcPr>
            <w:tcW w:w="700" w:type="dxa"/>
            <w:tcBorders>
              <w:top w:val="nil"/>
              <w:left w:val="nil"/>
              <w:bottom w:val="single" w:sz="4" w:space="0" w:color="auto"/>
              <w:right w:val="single" w:sz="4" w:space="0" w:color="auto"/>
            </w:tcBorders>
            <w:noWrap/>
            <w:vAlign w:val="center"/>
            <w:hideMark/>
          </w:tcPr>
          <w:p w14:paraId="78E02DA6" w14:textId="77777777" w:rsidR="00F56995" w:rsidRPr="00394EB6" w:rsidRDefault="00F56995">
            <w:pPr>
              <w:jc w:val="center"/>
              <w:rPr>
                <w:rFonts w:ascii="Arial" w:hAnsi="Arial" w:cs="Arial"/>
              </w:rPr>
            </w:pPr>
            <w:r w:rsidRPr="00394EB6">
              <w:rPr>
                <w:rFonts w:ascii="Arial" w:hAnsi="Arial" w:cs="Arial"/>
              </w:rPr>
              <w:t>34,3</w:t>
            </w:r>
          </w:p>
        </w:tc>
        <w:tc>
          <w:tcPr>
            <w:tcW w:w="700" w:type="dxa"/>
            <w:tcBorders>
              <w:top w:val="nil"/>
              <w:left w:val="nil"/>
              <w:bottom w:val="single" w:sz="4" w:space="0" w:color="auto"/>
              <w:right w:val="single" w:sz="4" w:space="0" w:color="auto"/>
            </w:tcBorders>
            <w:noWrap/>
            <w:vAlign w:val="center"/>
            <w:hideMark/>
          </w:tcPr>
          <w:p w14:paraId="4B44225B" w14:textId="77777777" w:rsidR="00F56995" w:rsidRPr="00394EB6" w:rsidRDefault="00F56995">
            <w:pPr>
              <w:jc w:val="center"/>
              <w:rPr>
                <w:rFonts w:ascii="Arial" w:hAnsi="Arial" w:cs="Arial"/>
              </w:rPr>
            </w:pPr>
            <w:r w:rsidRPr="00394EB6">
              <w:rPr>
                <w:rFonts w:ascii="Arial" w:hAnsi="Arial" w:cs="Arial"/>
              </w:rPr>
              <w:t>66,1</w:t>
            </w:r>
          </w:p>
        </w:tc>
        <w:tc>
          <w:tcPr>
            <w:tcW w:w="700" w:type="dxa"/>
            <w:tcBorders>
              <w:top w:val="nil"/>
              <w:left w:val="nil"/>
              <w:bottom w:val="single" w:sz="4" w:space="0" w:color="auto"/>
              <w:right w:val="single" w:sz="4" w:space="0" w:color="auto"/>
            </w:tcBorders>
            <w:noWrap/>
            <w:vAlign w:val="center"/>
            <w:hideMark/>
          </w:tcPr>
          <w:p w14:paraId="0FE6CA03" w14:textId="77777777" w:rsidR="00F56995" w:rsidRPr="00394EB6" w:rsidRDefault="00F56995">
            <w:pPr>
              <w:jc w:val="center"/>
              <w:rPr>
                <w:rFonts w:ascii="Arial" w:hAnsi="Arial" w:cs="Arial"/>
              </w:rPr>
            </w:pPr>
            <w:r w:rsidRPr="00394EB6">
              <w:rPr>
                <w:rFonts w:ascii="Arial" w:hAnsi="Arial" w:cs="Arial"/>
              </w:rPr>
              <w:t>56,5</w:t>
            </w:r>
          </w:p>
        </w:tc>
        <w:tc>
          <w:tcPr>
            <w:tcW w:w="700" w:type="dxa"/>
            <w:tcBorders>
              <w:top w:val="nil"/>
              <w:left w:val="nil"/>
              <w:bottom w:val="single" w:sz="4" w:space="0" w:color="auto"/>
              <w:right w:val="single" w:sz="4" w:space="0" w:color="auto"/>
            </w:tcBorders>
            <w:noWrap/>
            <w:vAlign w:val="center"/>
            <w:hideMark/>
          </w:tcPr>
          <w:p w14:paraId="23E09D79" w14:textId="77777777" w:rsidR="00F56995" w:rsidRPr="00394EB6" w:rsidRDefault="00F56995">
            <w:pPr>
              <w:jc w:val="center"/>
              <w:rPr>
                <w:rFonts w:ascii="Arial" w:hAnsi="Arial" w:cs="Arial"/>
              </w:rPr>
            </w:pPr>
            <w:r w:rsidRPr="00394EB6">
              <w:rPr>
                <w:rFonts w:ascii="Arial" w:hAnsi="Arial" w:cs="Arial"/>
              </w:rPr>
              <w:t>118,1</w:t>
            </w:r>
          </w:p>
        </w:tc>
        <w:tc>
          <w:tcPr>
            <w:tcW w:w="700" w:type="dxa"/>
            <w:tcBorders>
              <w:top w:val="nil"/>
              <w:left w:val="nil"/>
              <w:bottom w:val="single" w:sz="4" w:space="0" w:color="auto"/>
              <w:right w:val="single" w:sz="4" w:space="0" w:color="auto"/>
            </w:tcBorders>
            <w:noWrap/>
            <w:vAlign w:val="center"/>
            <w:hideMark/>
          </w:tcPr>
          <w:p w14:paraId="7B05F043" w14:textId="77777777" w:rsidR="00F56995" w:rsidRPr="00394EB6" w:rsidRDefault="00F56995">
            <w:pPr>
              <w:jc w:val="center"/>
              <w:rPr>
                <w:rFonts w:ascii="Arial" w:hAnsi="Arial" w:cs="Arial"/>
              </w:rPr>
            </w:pPr>
            <w:r w:rsidRPr="00394EB6">
              <w:rPr>
                <w:rFonts w:ascii="Arial" w:hAnsi="Arial" w:cs="Arial"/>
              </w:rPr>
              <w:t>18,7</w:t>
            </w:r>
          </w:p>
        </w:tc>
        <w:tc>
          <w:tcPr>
            <w:tcW w:w="700" w:type="dxa"/>
            <w:tcBorders>
              <w:top w:val="nil"/>
              <w:left w:val="nil"/>
              <w:bottom w:val="single" w:sz="4" w:space="0" w:color="auto"/>
              <w:right w:val="single" w:sz="4" w:space="0" w:color="auto"/>
            </w:tcBorders>
            <w:noWrap/>
            <w:vAlign w:val="center"/>
            <w:hideMark/>
          </w:tcPr>
          <w:p w14:paraId="2DDF3B38" w14:textId="77777777" w:rsidR="00F56995" w:rsidRPr="00394EB6" w:rsidRDefault="00F56995">
            <w:pPr>
              <w:jc w:val="center"/>
              <w:rPr>
                <w:rFonts w:ascii="Arial" w:hAnsi="Arial" w:cs="Arial"/>
              </w:rPr>
            </w:pPr>
            <w:r w:rsidRPr="00394EB6">
              <w:rPr>
                <w:rFonts w:ascii="Arial" w:hAnsi="Arial" w:cs="Arial"/>
              </w:rPr>
              <w:t>52,9</w:t>
            </w:r>
          </w:p>
        </w:tc>
      </w:tr>
    </w:tbl>
    <w:p w14:paraId="6D80DC06" w14:textId="24617C29" w:rsidR="00F56995" w:rsidRPr="00394EB6" w:rsidRDefault="00F56995" w:rsidP="000A7DFD">
      <w:pPr>
        <w:pStyle w:val="tabu"/>
        <w:tabs>
          <w:tab w:val="num" w:pos="0"/>
        </w:tabs>
        <w:spacing w:before="0" w:after="0"/>
        <w:jc w:val="center"/>
        <w:rPr>
          <w:rFonts w:cs="Arial"/>
          <w:iCs/>
          <w:sz w:val="18"/>
          <w:szCs w:val="18"/>
          <w:lang w:eastAsia="en-US"/>
        </w:rPr>
      </w:pPr>
      <w:r w:rsidRPr="00394EB6">
        <w:rPr>
          <w:rFonts w:cs="Arial"/>
          <w:iCs/>
          <w:sz w:val="18"/>
          <w:szCs w:val="18"/>
          <w:lang w:eastAsia="en-US"/>
        </w:rPr>
        <w:t>Zdroj: Ročenky klimatologických pozorovaní meteorologických staníc na území SR, SHMÚ, Bratislava</w:t>
      </w:r>
    </w:p>
    <w:p w14:paraId="3EA89993" w14:textId="77777777" w:rsidR="00F56995" w:rsidRPr="000A7DFD" w:rsidRDefault="00F56995" w:rsidP="00A13955">
      <w:pPr>
        <w:pStyle w:val="A-Text11"/>
        <w:rPr>
          <w:i/>
          <w:iCs/>
          <w:u w:val="single"/>
        </w:rPr>
      </w:pPr>
      <w:r w:rsidRPr="000A7DFD">
        <w:rPr>
          <w:i/>
          <w:iCs/>
          <w:u w:val="single"/>
        </w:rPr>
        <w:t>Veterné pomery</w:t>
      </w:r>
    </w:p>
    <w:p w14:paraId="651875B7" w14:textId="77777777" w:rsidR="00F56995" w:rsidRPr="00394EB6" w:rsidRDefault="00F56995" w:rsidP="00A13955">
      <w:pPr>
        <w:pStyle w:val="A-Text11"/>
        <w:rPr>
          <w:spacing w:val="2"/>
          <w:szCs w:val="20"/>
        </w:rPr>
      </w:pPr>
      <w:r w:rsidRPr="00394EB6">
        <w:rPr>
          <w:spacing w:val="2"/>
        </w:rPr>
        <w:t>Bratislava je z hľadiska veterných pomerov považovaná za jedno z najveternejších miest Slovenska. Charakter veterných pomerov tohto územia spôsobujú orografické prvky v oblasti Bratislavy, ktorými sú Devínska brána, blízkosť významného toku Dunaj a</w:t>
      </w:r>
      <w:r w:rsidRPr="00394EB6">
        <w:t> </w:t>
      </w:r>
      <w:r w:rsidRPr="00394EB6">
        <w:rPr>
          <w:spacing w:val="2"/>
        </w:rPr>
        <w:t>pohoria Malých Karpát. Cez Devínsku bránu do mesta Bratislava prestupujú vzduchové hmoty severozápadného a severného smeru, ktoré menia vzduchovú cirkuláciu v rámci Bratislavy.</w:t>
      </w:r>
    </w:p>
    <w:p w14:paraId="7668DB19" w14:textId="40B6F6D9" w:rsidR="00F56995" w:rsidRPr="00394EB6" w:rsidRDefault="00F56995" w:rsidP="00A13955">
      <w:pPr>
        <w:pStyle w:val="A-Text11"/>
      </w:pPr>
      <w:r w:rsidRPr="00394EB6">
        <w:rPr>
          <w:spacing w:val="2"/>
        </w:rPr>
        <w:t>V záujmovom území p</w:t>
      </w:r>
      <w:r w:rsidRPr="00394EB6">
        <w:t>odľa</w:t>
      </w:r>
      <w:r w:rsidRPr="00394EB6">
        <w:rPr>
          <w:spacing w:val="2"/>
        </w:rPr>
        <w:t xml:space="preserve"> </w:t>
      </w:r>
      <w:r w:rsidRPr="00394EB6">
        <w:t>meteorologickej stanice Bratislava - Letisko prevažuje severozápadné prúdenie vzduchu s početnosťou výskytu 24,5 % s podružne sa vyskytujúcim severovýchodným prúdením s početnosťou výskytu 17,8 %. Maximálna priemerná mesačná rýchlosť vetra bola v roku 2020 zaznamenaná v mesiaci február o hodnote 5,6 m.s</w:t>
      </w:r>
      <w:r w:rsidRPr="00394EB6">
        <w:rPr>
          <w:vertAlign w:val="superscript"/>
        </w:rPr>
        <w:t>-1</w:t>
      </w:r>
      <w:r w:rsidRPr="00394EB6">
        <w:t>, minimálna v mesiaci november o hodnote 2,8 m.s</w:t>
      </w:r>
      <w:r w:rsidRPr="00394EB6">
        <w:rPr>
          <w:vertAlign w:val="superscript"/>
        </w:rPr>
        <w:t>-1</w:t>
      </w:r>
      <w:r w:rsidRPr="00394EB6">
        <w:t>. Klimatické údaje vychádzajú z</w:t>
      </w:r>
      <w:r w:rsidRPr="00394EB6">
        <w:rPr>
          <w:spacing w:val="2"/>
        </w:rPr>
        <w:t> </w:t>
      </w:r>
      <w:r w:rsidRPr="00394EB6">
        <w:t xml:space="preserve">Ročeniek </w:t>
      </w:r>
      <w:r w:rsidRPr="00394EB6">
        <w:rPr>
          <w:iCs/>
        </w:rPr>
        <w:t>klimatologických</w:t>
      </w:r>
      <w:r w:rsidRPr="00394EB6">
        <w:t xml:space="preserve"> pozorovaní SHMÚ za obdobie 2016-2020.</w:t>
      </w:r>
    </w:p>
    <w:p w14:paraId="2FAA4452" w14:textId="026C23C8" w:rsidR="00F56995" w:rsidRPr="005145B5" w:rsidRDefault="00F56995" w:rsidP="00A13955">
      <w:pPr>
        <w:pStyle w:val="poznmka"/>
        <w:rPr>
          <w:rFonts w:cs="Arial"/>
          <w:bCs/>
          <w:i/>
          <w:szCs w:val="18"/>
          <w:lang w:val="sk-SK"/>
        </w:rPr>
      </w:pPr>
      <w:r w:rsidRPr="005145B5">
        <w:rPr>
          <w:rFonts w:cs="Arial"/>
          <w:bCs/>
          <w:i/>
          <w:szCs w:val="18"/>
          <w:lang w:val="sk-SK"/>
        </w:rPr>
        <w:t>Tab. č.</w:t>
      </w:r>
      <w:r w:rsidR="005A4635" w:rsidRPr="005145B5">
        <w:rPr>
          <w:rFonts w:cs="Arial"/>
          <w:bCs/>
          <w:i/>
          <w:szCs w:val="18"/>
          <w:lang w:val="sk-SK"/>
        </w:rPr>
        <w:t xml:space="preserve"> III.1.5</w:t>
      </w:r>
      <w:r w:rsidRPr="005145B5">
        <w:rPr>
          <w:rFonts w:cs="Arial"/>
          <w:bCs/>
          <w:i/>
          <w:szCs w:val="18"/>
          <w:lang w:val="sk-SK"/>
        </w:rPr>
        <w:t>: Priemerná mesačná rýchlosť vetra zo stanice Bratislava - Letisko za obdobie 2016 – 2020 (%)</w:t>
      </w:r>
    </w:p>
    <w:tbl>
      <w:tblPr>
        <w:tblW w:w="9205" w:type="dxa"/>
        <w:tblInd w:w="57" w:type="dxa"/>
        <w:tblCellMar>
          <w:left w:w="70" w:type="dxa"/>
          <w:right w:w="70" w:type="dxa"/>
        </w:tblCellMar>
        <w:tblLook w:val="04A0" w:firstRow="1" w:lastRow="0" w:firstColumn="1" w:lastColumn="0" w:noHBand="0" w:noVBand="1"/>
      </w:tblPr>
      <w:tblGrid>
        <w:gridCol w:w="1669"/>
        <w:gridCol w:w="942"/>
        <w:gridCol w:w="942"/>
        <w:gridCol w:w="942"/>
        <w:gridCol w:w="942"/>
        <w:gridCol w:w="942"/>
        <w:gridCol w:w="942"/>
        <w:gridCol w:w="942"/>
        <w:gridCol w:w="942"/>
      </w:tblGrid>
      <w:tr w:rsidR="00394EB6" w:rsidRPr="00394EB6" w14:paraId="262F0CEA" w14:textId="77777777" w:rsidTr="00F56995">
        <w:trPr>
          <w:trHeight w:val="256"/>
        </w:trPr>
        <w:tc>
          <w:tcPr>
            <w:tcW w:w="1669" w:type="dxa"/>
            <w:tcBorders>
              <w:top w:val="single" w:sz="4" w:space="0" w:color="auto"/>
              <w:left w:val="single" w:sz="4" w:space="0" w:color="auto"/>
              <w:bottom w:val="single" w:sz="4" w:space="0" w:color="auto"/>
              <w:right w:val="single" w:sz="4" w:space="0" w:color="auto"/>
            </w:tcBorders>
            <w:noWrap/>
            <w:vAlign w:val="center"/>
            <w:hideMark/>
          </w:tcPr>
          <w:p w14:paraId="320BC98B" w14:textId="77777777" w:rsidR="00F56995" w:rsidRPr="00394EB6" w:rsidRDefault="00F56995">
            <w:pPr>
              <w:jc w:val="center"/>
              <w:rPr>
                <w:rFonts w:ascii="Arial" w:hAnsi="Arial" w:cs="Arial"/>
              </w:rPr>
            </w:pPr>
            <w:r w:rsidRPr="00394EB6">
              <w:rPr>
                <w:rFonts w:ascii="Arial" w:hAnsi="Arial" w:cs="Arial"/>
              </w:rPr>
              <w:t>rok</w:t>
            </w:r>
          </w:p>
        </w:tc>
        <w:tc>
          <w:tcPr>
            <w:tcW w:w="942" w:type="dxa"/>
            <w:tcBorders>
              <w:top w:val="single" w:sz="4" w:space="0" w:color="auto"/>
              <w:left w:val="nil"/>
              <w:bottom w:val="single" w:sz="4" w:space="0" w:color="auto"/>
              <w:right w:val="single" w:sz="4" w:space="0" w:color="auto"/>
            </w:tcBorders>
            <w:noWrap/>
            <w:vAlign w:val="center"/>
            <w:hideMark/>
          </w:tcPr>
          <w:p w14:paraId="093FA57A" w14:textId="77777777" w:rsidR="00F56995" w:rsidRPr="00394EB6" w:rsidRDefault="00F56995">
            <w:pPr>
              <w:jc w:val="center"/>
              <w:rPr>
                <w:rFonts w:ascii="Arial" w:hAnsi="Arial" w:cs="Arial"/>
              </w:rPr>
            </w:pPr>
            <w:r w:rsidRPr="00394EB6">
              <w:rPr>
                <w:rFonts w:ascii="Arial" w:hAnsi="Arial" w:cs="Arial"/>
              </w:rPr>
              <w:t>S</w:t>
            </w:r>
          </w:p>
        </w:tc>
        <w:tc>
          <w:tcPr>
            <w:tcW w:w="942" w:type="dxa"/>
            <w:tcBorders>
              <w:top w:val="single" w:sz="4" w:space="0" w:color="auto"/>
              <w:left w:val="nil"/>
              <w:bottom w:val="single" w:sz="4" w:space="0" w:color="auto"/>
              <w:right w:val="single" w:sz="4" w:space="0" w:color="auto"/>
            </w:tcBorders>
            <w:noWrap/>
            <w:vAlign w:val="center"/>
            <w:hideMark/>
          </w:tcPr>
          <w:p w14:paraId="69BBF3D6" w14:textId="77777777" w:rsidR="00F56995" w:rsidRPr="00394EB6" w:rsidRDefault="00F56995">
            <w:pPr>
              <w:jc w:val="center"/>
              <w:rPr>
                <w:rFonts w:ascii="Arial" w:hAnsi="Arial" w:cs="Arial"/>
              </w:rPr>
            </w:pPr>
            <w:r w:rsidRPr="00394EB6">
              <w:rPr>
                <w:rFonts w:ascii="Arial" w:hAnsi="Arial" w:cs="Arial"/>
              </w:rPr>
              <w:t>SV</w:t>
            </w:r>
          </w:p>
        </w:tc>
        <w:tc>
          <w:tcPr>
            <w:tcW w:w="942" w:type="dxa"/>
            <w:tcBorders>
              <w:top w:val="single" w:sz="4" w:space="0" w:color="auto"/>
              <w:left w:val="nil"/>
              <w:bottom w:val="single" w:sz="4" w:space="0" w:color="auto"/>
              <w:right w:val="single" w:sz="4" w:space="0" w:color="auto"/>
            </w:tcBorders>
            <w:noWrap/>
            <w:vAlign w:val="center"/>
            <w:hideMark/>
          </w:tcPr>
          <w:p w14:paraId="6A86539F" w14:textId="77777777" w:rsidR="00F56995" w:rsidRPr="00394EB6" w:rsidRDefault="00F56995">
            <w:pPr>
              <w:jc w:val="center"/>
              <w:rPr>
                <w:rFonts w:ascii="Arial" w:hAnsi="Arial" w:cs="Arial"/>
              </w:rPr>
            </w:pPr>
            <w:r w:rsidRPr="00394EB6">
              <w:rPr>
                <w:rFonts w:ascii="Arial" w:hAnsi="Arial" w:cs="Arial"/>
              </w:rPr>
              <w:t>V</w:t>
            </w:r>
          </w:p>
        </w:tc>
        <w:tc>
          <w:tcPr>
            <w:tcW w:w="942" w:type="dxa"/>
            <w:tcBorders>
              <w:top w:val="single" w:sz="4" w:space="0" w:color="auto"/>
              <w:left w:val="nil"/>
              <w:bottom w:val="single" w:sz="4" w:space="0" w:color="auto"/>
              <w:right w:val="single" w:sz="4" w:space="0" w:color="auto"/>
            </w:tcBorders>
            <w:noWrap/>
            <w:vAlign w:val="center"/>
            <w:hideMark/>
          </w:tcPr>
          <w:p w14:paraId="3E42F6C5" w14:textId="77777777" w:rsidR="00F56995" w:rsidRPr="00394EB6" w:rsidRDefault="00F56995">
            <w:pPr>
              <w:jc w:val="center"/>
              <w:rPr>
                <w:rFonts w:ascii="Arial" w:hAnsi="Arial" w:cs="Arial"/>
              </w:rPr>
            </w:pPr>
            <w:r w:rsidRPr="00394EB6">
              <w:rPr>
                <w:rFonts w:ascii="Arial" w:hAnsi="Arial" w:cs="Arial"/>
              </w:rPr>
              <w:t>JV</w:t>
            </w:r>
          </w:p>
        </w:tc>
        <w:tc>
          <w:tcPr>
            <w:tcW w:w="942" w:type="dxa"/>
            <w:tcBorders>
              <w:top w:val="single" w:sz="4" w:space="0" w:color="auto"/>
              <w:left w:val="nil"/>
              <w:bottom w:val="single" w:sz="4" w:space="0" w:color="auto"/>
              <w:right w:val="single" w:sz="4" w:space="0" w:color="auto"/>
            </w:tcBorders>
            <w:noWrap/>
            <w:vAlign w:val="center"/>
            <w:hideMark/>
          </w:tcPr>
          <w:p w14:paraId="2A01AEA5" w14:textId="77777777" w:rsidR="00F56995" w:rsidRPr="00394EB6" w:rsidRDefault="00F56995">
            <w:pPr>
              <w:jc w:val="center"/>
              <w:rPr>
                <w:rFonts w:ascii="Arial" w:hAnsi="Arial" w:cs="Arial"/>
              </w:rPr>
            </w:pPr>
            <w:r w:rsidRPr="00394EB6">
              <w:rPr>
                <w:rFonts w:ascii="Arial" w:hAnsi="Arial" w:cs="Arial"/>
              </w:rPr>
              <w:t>J</w:t>
            </w:r>
          </w:p>
        </w:tc>
        <w:tc>
          <w:tcPr>
            <w:tcW w:w="942" w:type="dxa"/>
            <w:tcBorders>
              <w:top w:val="single" w:sz="4" w:space="0" w:color="auto"/>
              <w:left w:val="nil"/>
              <w:bottom w:val="single" w:sz="4" w:space="0" w:color="auto"/>
              <w:right w:val="single" w:sz="4" w:space="0" w:color="auto"/>
            </w:tcBorders>
            <w:noWrap/>
            <w:vAlign w:val="center"/>
            <w:hideMark/>
          </w:tcPr>
          <w:p w14:paraId="1D95C9EF" w14:textId="77777777" w:rsidR="00F56995" w:rsidRPr="00394EB6" w:rsidRDefault="00F56995">
            <w:pPr>
              <w:jc w:val="center"/>
              <w:rPr>
                <w:rFonts w:ascii="Arial" w:hAnsi="Arial" w:cs="Arial"/>
              </w:rPr>
            </w:pPr>
            <w:r w:rsidRPr="00394EB6">
              <w:rPr>
                <w:rFonts w:ascii="Arial" w:hAnsi="Arial" w:cs="Arial"/>
              </w:rPr>
              <w:t>JZ</w:t>
            </w:r>
          </w:p>
        </w:tc>
        <w:tc>
          <w:tcPr>
            <w:tcW w:w="942" w:type="dxa"/>
            <w:tcBorders>
              <w:top w:val="single" w:sz="4" w:space="0" w:color="auto"/>
              <w:left w:val="nil"/>
              <w:bottom w:val="single" w:sz="4" w:space="0" w:color="auto"/>
              <w:right w:val="single" w:sz="4" w:space="0" w:color="auto"/>
            </w:tcBorders>
            <w:noWrap/>
            <w:vAlign w:val="center"/>
            <w:hideMark/>
          </w:tcPr>
          <w:p w14:paraId="16708F13" w14:textId="77777777" w:rsidR="00F56995" w:rsidRPr="00394EB6" w:rsidRDefault="00F56995">
            <w:pPr>
              <w:jc w:val="center"/>
              <w:rPr>
                <w:rFonts w:ascii="Arial" w:hAnsi="Arial" w:cs="Arial"/>
              </w:rPr>
            </w:pPr>
            <w:r w:rsidRPr="00394EB6">
              <w:rPr>
                <w:rFonts w:ascii="Arial" w:hAnsi="Arial" w:cs="Arial"/>
              </w:rPr>
              <w:t>Z</w:t>
            </w:r>
          </w:p>
        </w:tc>
        <w:tc>
          <w:tcPr>
            <w:tcW w:w="942" w:type="dxa"/>
            <w:tcBorders>
              <w:top w:val="single" w:sz="4" w:space="0" w:color="auto"/>
              <w:left w:val="nil"/>
              <w:bottom w:val="single" w:sz="4" w:space="0" w:color="auto"/>
              <w:right w:val="single" w:sz="4" w:space="0" w:color="auto"/>
            </w:tcBorders>
            <w:noWrap/>
            <w:vAlign w:val="center"/>
            <w:hideMark/>
          </w:tcPr>
          <w:p w14:paraId="772D76AF" w14:textId="77777777" w:rsidR="00F56995" w:rsidRPr="00394EB6" w:rsidRDefault="00F56995">
            <w:pPr>
              <w:jc w:val="center"/>
              <w:rPr>
                <w:rFonts w:ascii="Arial" w:hAnsi="Arial" w:cs="Arial"/>
              </w:rPr>
            </w:pPr>
            <w:r w:rsidRPr="00394EB6">
              <w:rPr>
                <w:rFonts w:ascii="Arial" w:hAnsi="Arial" w:cs="Arial"/>
              </w:rPr>
              <w:t>SZ</w:t>
            </w:r>
          </w:p>
        </w:tc>
      </w:tr>
      <w:tr w:rsidR="00394EB6" w:rsidRPr="00394EB6" w14:paraId="30B5E342" w14:textId="77777777" w:rsidTr="00F56995">
        <w:trPr>
          <w:trHeight w:val="256"/>
        </w:trPr>
        <w:tc>
          <w:tcPr>
            <w:tcW w:w="1669" w:type="dxa"/>
            <w:tcBorders>
              <w:top w:val="nil"/>
              <w:left w:val="single" w:sz="4" w:space="0" w:color="auto"/>
              <w:bottom w:val="single" w:sz="4" w:space="0" w:color="auto"/>
              <w:right w:val="single" w:sz="4" w:space="0" w:color="auto"/>
            </w:tcBorders>
            <w:noWrap/>
            <w:vAlign w:val="center"/>
            <w:hideMark/>
          </w:tcPr>
          <w:p w14:paraId="760F31DD" w14:textId="77777777" w:rsidR="00F56995" w:rsidRPr="00394EB6" w:rsidRDefault="00F56995">
            <w:pPr>
              <w:jc w:val="center"/>
              <w:rPr>
                <w:rFonts w:ascii="Arial" w:hAnsi="Arial" w:cs="Arial"/>
              </w:rPr>
            </w:pPr>
            <w:r w:rsidRPr="00394EB6">
              <w:rPr>
                <w:rFonts w:ascii="Arial" w:hAnsi="Arial" w:cs="Arial"/>
              </w:rPr>
              <w:t>2016 - 2020</w:t>
            </w:r>
          </w:p>
        </w:tc>
        <w:tc>
          <w:tcPr>
            <w:tcW w:w="942" w:type="dxa"/>
            <w:tcBorders>
              <w:top w:val="nil"/>
              <w:left w:val="nil"/>
              <w:bottom w:val="single" w:sz="4" w:space="0" w:color="auto"/>
              <w:right w:val="single" w:sz="4" w:space="0" w:color="auto"/>
            </w:tcBorders>
            <w:noWrap/>
            <w:vAlign w:val="center"/>
            <w:hideMark/>
          </w:tcPr>
          <w:p w14:paraId="3FF8E8B7" w14:textId="77777777" w:rsidR="00F56995" w:rsidRPr="00394EB6" w:rsidRDefault="00F56995">
            <w:pPr>
              <w:jc w:val="center"/>
              <w:rPr>
                <w:rFonts w:ascii="Arial" w:hAnsi="Arial" w:cs="Arial"/>
              </w:rPr>
            </w:pPr>
            <w:r w:rsidRPr="00394EB6">
              <w:rPr>
                <w:rFonts w:ascii="Arial" w:hAnsi="Arial" w:cs="Arial"/>
              </w:rPr>
              <w:t>12,4</w:t>
            </w:r>
          </w:p>
        </w:tc>
        <w:tc>
          <w:tcPr>
            <w:tcW w:w="942" w:type="dxa"/>
            <w:tcBorders>
              <w:top w:val="nil"/>
              <w:left w:val="nil"/>
              <w:bottom w:val="single" w:sz="4" w:space="0" w:color="auto"/>
              <w:right w:val="single" w:sz="4" w:space="0" w:color="auto"/>
            </w:tcBorders>
            <w:noWrap/>
            <w:vAlign w:val="center"/>
            <w:hideMark/>
          </w:tcPr>
          <w:p w14:paraId="4B049104" w14:textId="77777777" w:rsidR="00F56995" w:rsidRPr="00394EB6" w:rsidRDefault="00F56995">
            <w:pPr>
              <w:jc w:val="center"/>
              <w:rPr>
                <w:rFonts w:ascii="Arial" w:hAnsi="Arial" w:cs="Arial"/>
              </w:rPr>
            </w:pPr>
            <w:r w:rsidRPr="00394EB6">
              <w:rPr>
                <w:rFonts w:ascii="Arial" w:hAnsi="Arial" w:cs="Arial"/>
              </w:rPr>
              <w:t>17,8</w:t>
            </w:r>
          </w:p>
        </w:tc>
        <w:tc>
          <w:tcPr>
            <w:tcW w:w="942" w:type="dxa"/>
            <w:tcBorders>
              <w:top w:val="nil"/>
              <w:left w:val="nil"/>
              <w:bottom w:val="single" w:sz="4" w:space="0" w:color="auto"/>
              <w:right w:val="single" w:sz="4" w:space="0" w:color="auto"/>
            </w:tcBorders>
            <w:noWrap/>
            <w:vAlign w:val="center"/>
            <w:hideMark/>
          </w:tcPr>
          <w:p w14:paraId="093C2CCF" w14:textId="77777777" w:rsidR="00F56995" w:rsidRPr="00394EB6" w:rsidRDefault="00F56995">
            <w:pPr>
              <w:jc w:val="center"/>
              <w:rPr>
                <w:rFonts w:ascii="Arial" w:hAnsi="Arial" w:cs="Arial"/>
              </w:rPr>
            </w:pPr>
            <w:r w:rsidRPr="00394EB6">
              <w:rPr>
                <w:rFonts w:ascii="Arial" w:hAnsi="Arial" w:cs="Arial"/>
              </w:rPr>
              <w:t>7,4</w:t>
            </w:r>
          </w:p>
        </w:tc>
        <w:tc>
          <w:tcPr>
            <w:tcW w:w="942" w:type="dxa"/>
            <w:tcBorders>
              <w:top w:val="nil"/>
              <w:left w:val="nil"/>
              <w:bottom w:val="single" w:sz="4" w:space="0" w:color="auto"/>
              <w:right w:val="single" w:sz="4" w:space="0" w:color="auto"/>
            </w:tcBorders>
            <w:noWrap/>
            <w:vAlign w:val="center"/>
            <w:hideMark/>
          </w:tcPr>
          <w:p w14:paraId="648FB952" w14:textId="77777777" w:rsidR="00F56995" w:rsidRPr="00394EB6" w:rsidRDefault="00F56995">
            <w:pPr>
              <w:jc w:val="center"/>
              <w:rPr>
                <w:rFonts w:ascii="Arial" w:hAnsi="Arial" w:cs="Arial"/>
              </w:rPr>
            </w:pPr>
            <w:r w:rsidRPr="00394EB6">
              <w:rPr>
                <w:rFonts w:ascii="Arial" w:hAnsi="Arial" w:cs="Arial"/>
              </w:rPr>
              <w:t>11,6</w:t>
            </w:r>
          </w:p>
        </w:tc>
        <w:tc>
          <w:tcPr>
            <w:tcW w:w="942" w:type="dxa"/>
            <w:tcBorders>
              <w:top w:val="nil"/>
              <w:left w:val="nil"/>
              <w:bottom w:val="single" w:sz="4" w:space="0" w:color="auto"/>
              <w:right w:val="single" w:sz="4" w:space="0" w:color="auto"/>
            </w:tcBorders>
            <w:noWrap/>
            <w:vAlign w:val="center"/>
            <w:hideMark/>
          </w:tcPr>
          <w:p w14:paraId="78C55A80" w14:textId="77777777" w:rsidR="00F56995" w:rsidRPr="00394EB6" w:rsidRDefault="00F56995">
            <w:pPr>
              <w:jc w:val="center"/>
              <w:rPr>
                <w:rFonts w:ascii="Arial" w:hAnsi="Arial" w:cs="Arial"/>
              </w:rPr>
            </w:pPr>
            <w:r w:rsidRPr="00394EB6">
              <w:rPr>
                <w:rFonts w:ascii="Arial" w:hAnsi="Arial" w:cs="Arial"/>
              </w:rPr>
              <w:t>5,1</w:t>
            </w:r>
          </w:p>
        </w:tc>
        <w:tc>
          <w:tcPr>
            <w:tcW w:w="942" w:type="dxa"/>
            <w:tcBorders>
              <w:top w:val="nil"/>
              <w:left w:val="nil"/>
              <w:bottom w:val="single" w:sz="4" w:space="0" w:color="auto"/>
              <w:right w:val="single" w:sz="4" w:space="0" w:color="auto"/>
            </w:tcBorders>
            <w:noWrap/>
            <w:vAlign w:val="center"/>
            <w:hideMark/>
          </w:tcPr>
          <w:p w14:paraId="462DC6ED" w14:textId="77777777" w:rsidR="00F56995" w:rsidRPr="00394EB6" w:rsidRDefault="00F56995">
            <w:pPr>
              <w:jc w:val="center"/>
              <w:rPr>
                <w:rFonts w:ascii="Arial" w:hAnsi="Arial" w:cs="Arial"/>
              </w:rPr>
            </w:pPr>
            <w:r w:rsidRPr="00394EB6">
              <w:rPr>
                <w:rFonts w:ascii="Arial" w:hAnsi="Arial" w:cs="Arial"/>
              </w:rPr>
              <w:t>6,6</w:t>
            </w:r>
          </w:p>
        </w:tc>
        <w:tc>
          <w:tcPr>
            <w:tcW w:w="942" w:type="dxa"/>
            <w:tcBorders>
              <w:top w:val="nil"/>
              <w:left w:val="nil"/>
              <w:bottom w:val="single" w:sz="4" w:space="0" w:color="auto"/>
              <w:right w:val="single" w:sz="4" w:space="0" w:color="auto"/>
            </w:tcBorders>
            <w:noWrap/>
            <w:vAlign w:val="center"/>
            <w:hideMark/>
          </w:tcPr>
          <w:p w14:paraId="653557A0" w14:textId="77777777" w:rsidR="00F56995" w:rsidRPr="00394EB6" w:rsidRDefault="00F56995">
            <w:pPr>
              <w:jc w:val="center"/>
              <w:rPr>
                <w:rFonts w:ascii="Arial" w:hAnsi="Arial" w:cs="Arial"/>
              </w:rPr>
            </w:pPr>
            <w:r w:rsidRPr="00394EB6">
              <w:rPr>
                <w:rFonts w:ascii="Arial" w:hAnsi="Arial" w:cs="Arial"/>
              </w:rPr>
              <w:t>12,9</w:t>
            </w:r>
          </w:p>
        </w:tc>
        <w:tc>
          <w:tcPr>
            <w:tcW w:w="942" w:type="dxa"/>
            <w:tcBorders>
              <w:top w:val="nil"/>
              <w:left w:val="nil"/>
              <w:bottom w:val="single" w:sz="4" w:space="0" w:color="auto"/>
              <w:right w:val="single" w:sz="4" w:space="0" w:color="auto"/>
            </w:tcBorders>
            <w:noWrap/>
            <w:vAlign w:val="center"/>
            <w:hideMark/>
          </w:tcPr>
          <w:p w14:paraId="4A6F73AF" w14:textId="77777777" w:rsidR="00F56995" w:rsidRPr="00394EB6" w:rsidRDefault="00F56995">
            <w:pPr>
              <w:jc w:val="center"/>
              <w:rPr>
                <w:rFonts w:ascii="Arial" w:hAnsi="Arial" w:cs="Arial"/>
              </w:rPr>
            </w:pPr>
            <w:r w:rsidRPr="00394EB6">
              <w:rPr>
                <w:rFonts w:ascii="Arial" w:hAnsi="Arial" w:cs="Arial"/>
              </w:rPr>
              <w:t>24,5</w:t>
            </w:r>
          </w:p>
        </w:tc>
      </w:tr>
    </w:tbl>
    <w:p w14:paraId="4CDC16EB" w14:textId="7B0989CB" w:rsidR="00F56995" w:rsidRPr="000A7DFD" w:rsidRDefault="00F56995" w:rsidP="00A13955">
      <w:pPr>
        <w:pStyle w:val="tabu"/>
        <w:tabs>
          <w:tab w:val="num" w:pos="0"/>
        </w:tabs>
        <w:spacing w:after="0"/>
        <w:jc w:val="center"/>
        <w:rPr>
          <w:rFonts w:cs="Arial"/>
          <w:iCs/>
          <w:sz w:val="18"/>
          <w:szCs w:val="18"/>
          <w:lang w:eastAsia="en-US"/>
        </w:rPr>
      </w:pPr>
      <w:r w:rsidRPr="000A7DFD">
        <w:rPr>
          <w:rFonts w:cs="Arial"/>
          <w:iCs/>
          <w:sz w:val="18"/>
          <w:szCs w:val="18"/>
          <w:lang w:eastAsia="en-US"/>
        </w:rPr>
        <w:t>Zdroj: Ročenky klimatologických pozorovaní meteorologických staníc na území SR SHMÚ, Bratislava</w:t>
      </w:r>
    </w:p>
    <w:p w14:paraId="0B040EE7" w14:textId="77777777" w:rsidR="00A13955" w:rsidRPr="000A7DFD" w:rsidRDefault="00A13955" w:rsidP="00A13955">
      <w:pPr>
        <w:rPr>
          <w:i/>
          <w:iCs/>
          <w:sz w:val="18"/>
          <w:szCs w:val="18"/>
          <w:lang w:eastAsia="en-US"/>
        </w:rPr>
      </w:pPr>
    </w:p>
    <w:p w14:paraId="32681B33" w14:textId="4D988126" w:rsidR="00F56995" w:rsidRPr="005145B5" w:rsidRDefault="00F56995" w:rsidP="00A13955">
      <w:pPr>
        <w:pStyle w:val="poznmka"/>
        <w:rPr>
          <w:rFonts w:cs="Arial"/>
          <w:bCs/>
          <w:i/>
          <w:szCs w:val="18"/>
          <w:lang w:val="sk-SK"/>
        </w:rPr>
      </w:pPr>
      <w:r w:rsidRPr="005145B5">
        <w:rPr>
          <w:rFonts w:cs="Arial"/>
          <w:bCs/>
          <w:i/>
          <w:szCs w:val="18"/>
          <w:lang w:val="sk-SK"/>
        </w:rPr>
        <w:t>Tab. č.</w:t>
      </w:r>
      <w:r w:rsidR="005A4635" w:rsidRPr="005145B5">
        <w:rPr>
          <w:rFonts w:cs="Arial"/>
          <w:bCs/>
          <w:i/>
          <w:szCs w:val="18"/>
          <w:lang w:val="sk-SK"/>
        </w:rPr>
        <w:t xml:space="preserve"> III.1.6</w:t>
      </w:r>
      <w:r w:rsidRPr="005145B5">
        <w:rPr>
          <w:rFonts w:cs="Arial"/>
          <w:bCs/>
          <w:i/>
          <w:szCs w:val="18"/>
          <w:lang w:val="sk-SK"/>
        </w:rPr>
        <w:t>: Priemerná mesačná rýchlosť vetra zo stanice Bratislava - Letisko  (%)</w:t>
      </w:r>
    </w:p>
    <w:tbl>
      <w:tblPr>
        <w:tblW w:w="926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91"/>
        <w:gridCol w:w="673"/>
        <w:gridCol w:w="673"/>
        <w:gridCol w:w="673"/>
        <w:gridCol w:w="673"/>
        <w:gridCol w:w="673"/>
        <w:gridCol w:w="673"/>
        <w:gridCol w:w="673"/>
        <w:gridCol w:w="673"/>
        <w:gridCol w:w="673"/>
        <w:gridCol w:w="673"/>
        <w:gridCol w:w="673"/>
        <w:gridCol w:w="673"/>
      </w:tblGrid>
      <w:tr w:rsidR="00394EB6" w:rsidRPr="00394EB6" w14:paraId="5E1B3404" w14:textId="77777777" w:rsidTr="00F56995">
        <w:trPr>
          <w:trHeight w:val="257"/>
        </w:trPr>
        <w:tc>
          <w:tcPr>
            <w:tcW w:w="1191" w:type="dxa"/>
            <w:tcBorders>
              <w:top w:val="single" w:sz="4" w:space="0" w:color="auto"/>
              <w:left w:val="single" w:sz="4" w:space="0" w:color="auto"/>
              <w:bottom w:val="single" w:sz="4" w:space="0" w:color="auto"/>
              <w:right w:val="single" w:sz="4" w:space="0" w:color="auto"/>
            </w:tcBorders>
            <w:noWrap/>
            <w:vAlign w:val="center"/>
            <w:hideMark/>
          </w:tcPr>
          <w:p w14:paraId="5EE84798" w14:textId="77777777" w:rsidR="00F56995" w:rsidRPr="00394EB6" w:rsidRDefault="00F56995">
            <w:pPr>
              <w:jc w:val="center"/>
              <w:rPr>
                <w:rFonts w:ascii="Arial" w:hAnsi="Arial" w:cs="Arial"/>
              </w:rPr>
            </w:pPr>
            <w:r w:rsidRPr="00394EB6">
              <w:rPr>
                <w:rFonts w:ascii="Arial" w:hAnsi="Arial" w:cs="Arial"/>
              </w:rPr>
              <w:t>rok</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100F8AC8" w14:textId="77777777" w:rsidR="00F56995" w:rsidRPr="00394EB6" w:rsidRDefault="00F56995">
            <w:pPr>
              <w:jc w:val="center"/>
              <w:rPr>
                <w:rFonts w:ascii="Arial" w:hAnsi="Arial" w:cs="Arial"/>
              </w:rPr>
            </w:pPr>
            <w:r w:rsidRPr="00394EB6">
              <w:rPr>
                <w:rFonts w:ascii="Arial" w:hAnsi="Arial" w:cs="Arial"/>
              </w:rPr>
              <w:t>I</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3F4BD819" w14:textId="77777777" w:rsidR="00F56995" w:rsidRPr="00394EB6" w:rsidRDefault="00F56995">
            <w:pPr>
              <w:jc w:val="center"/>
              <w:rPr>
                <w:rFonts w:ascii="Arial" w:hAnsi="Arial" w:cs="Arial"/>
              </w:rPr>
            </w:pPr>
            <w:r w:rsidRPr="00394EB6">
              <w:rPr>
                <w:rFonts w:ascii="Arial" w:hAnsi="Arial" w:cs="Arial"/>
              </w:rPr>
              <w:t>II</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5BAE0ED2" w14:textId="77777777" w:rsidR="00F56995" w:rsidRPr="00394EB6" w:rsidRDefault="00F56995">
            <w:pPr>
              <w:jc w:val="center"/>
              <w:rPr>
                <w:rFonts w:ascii="Arial" w:hAnsi="Arial" w:cs="Arial"/>
              </w:rPr>
            </w:pPr>
            <w:r w:rsidRPr="00394EB6">
              <w:rPr>
                <w:rFonts w:ascii="Arial" w:hAnsi="Arial" w:cs="Arial"/>
              </w:rPr>
              <w:t>III</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3F7B8307" w14:textId="77777777" w:rsidR="00F56995" w:rsidRPr="00394EB6" w:rsidRDefault="00F56995">
            <w:pPr>
              <w:jc w:val="center"/>
              <w:rPr>
                <w:rFonts w:ascii="Arial" w:hAnsi="Arial" w:cs="Arial"/>
              </w:rPr>
            </w:pPr>
            <w:r w:rsidRPr="00394EB6">
              <w:rPr>
                <w:rFonts w:ascii="Arial" w:hAnsi="Arial" w:cs="Arial"/>
              </w:rPr>
              <w:t>IV</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005E7D3D" w14:textId="77777777" w:rsidR="00F56995" w:rsidRPr="00394EB6" w:rsidRDefault="00F56995">
            <w:pPr>
              <w:jc w:val="center"/>
              <w:rPr>
                <w:rFonts w:ascii="Arial" w:hAnsi="Arial" w:cs="Arial"/>
              </w:rPr>
            </w:pPr>
            <w:r w:rsidRPr="00394EB6">
              <w:rPr>
                <w:rFonts w:ascii="Arial" w:hAnsi="Arial" w:cs="Arial"/>
              </w:rPr>
              <w:t>V</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43F72A88" w14:textId="77777777" w:rsidR="00F56995" w:rsidRPr="00394EB6" w:rsidRDefault="00F56995">
            <w:pPr>
              <w:jc w:val="center"/>
              <w:rPr>
                <w:rFonts w:ascii="Arial" w:hAnsi="Arial" w:cs="Arial"/>
              </w:rPr>
            </w:pPr>
            <w:r w:rsidRPr="00394EB6">
              <w:rPr>
                <w:rFonts w:ascii="Arial" w:hAnsi="Arial" w:cs="Arial"/>
              </w:rPr>
              <w:t>VI</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7C278509" w14:textId="77777777" w:rsidR="00F56995" w:rsidRPr="00394EB6" w:rsidRDefault="00F56995">
            <w:pPr>
              <w:jc w:val="center"/>
              <w:rPr>
                <w:rFonts w:ascii="Arial" w:hAnsi="Arial" w:cs="Arial"/>
              </w:rPr>
            </w:pPr>
            <w:r w:rsidRPr="00394EB6">
              <w:rPr>
                <w:rFonts w:ascii="Arial" w:hAnsi="Arial" w:cs="Arial"/>
              </w:rPr>
              <w:t>VII</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1327AC7F" w14:textId="77777777" w:rsidR="00F56995" w:rsidRPr="00394EB6" w:rsidRDefault="00F56995">
            <w:pPr>
              <w:jc w:val="center"/>
              <w:rPr>
                <w:rFonts w:ascii="Arial" w:hAnsi="Arial" w:cs="Arial"/>
              </w:rPr>
            </w:pPr>
            <w:r w:rsidRPr="00394EB6">
              <w:rPr>
                <w:rFonts w:ascii="Arial" w:hAnsi="Arial" w:cs="Arial"/>
              </w:rPr>
              <w:t>VIII</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74115249" w14:textId="77777777" w:rsidR="00F56995" w:rsidRPr="00394EB6" w:rsidRDefault="00F56995">
            <w:pPr>
              <w:jc w:val="center"/>
              <w:rPr>
                <w:rFonts w:ascii="Arial" w:hAnsi="Arial" w:cs="Arial"/>
              </w:rPr>
            </w:pPr>
            <w:r w:rsidRPr="00394EB6">
              <w:rPr>
                <w:rFonts w:ascii="Arial" w:hAnsi="Arial" w:cs="Arial"/>
              </w:rPr>
              <w:t>IX</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578EA5AA" w14:textId="77777777" w:rsidR="00F56995" w:rsidRPr="00394EB6" w:rsidRDefault="00F56995">
            <w:pPr>
              <w:jc w:val="center"/>
              <w:rPr>
                <w:rFonts w:ascii="Arial" w:hAnsi="Arial" w:cs="Arial"/>
              </w:rPr>
            </w:pPr>
            <w:r w:rsidRPr="00394EB6">
              <w:rPr>
                <w:rFonts w:ascii="Arial" w:hAnsi="Arial" w:cs="Arial"/>
              </w:rPr>
              <w:t>X</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1676615F" w14:textId="77777777" w:rsidR="00F56995" w:rsidRPr="00394EB6" w:rsidRDefault="00F56995">
            <w:pPr>
              <w:jc w:val="center"/>
              <w:rPr>
                <w:rFonts w:ascii="Arial" w:hAnsi="Arial" w:cs="Arial"/>
              </w:rPr>
            </w:pPr>
            <w:r w:rsidRPr="00394EB6">
              <w:rPr>
                <w:rFonts w:ascii="Arial" w:hAnsi="Arial" w:cs="Arial"/>
              </w:rPr>
              <w:t>XI</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56824197" w14:textId="77777777" w:rsidR="00F56995" w:rsidRPr="00394EB6" w:rsidRDefault="00F56995">
            <w:pPr>
              <w:jc w:val="center"/>
              <w:rPr>
                <w:rFonts w:ascii="Arial" w:hAnsi="Arial" w:cs="Arial"/>
              </w:rPr>
            </w:pPr>
            <w:r w:rsidRPr="00394EB6">
              <w:rPr>
                <w:rFonts w:ascii="Arial" w:hAnsi="Arial" w:cs="Arial"/>
              </w:rPr>
              <w:t>XII</w:t>
            </w:r>
          </w:p>
        </w:tc>
      </w:tr>
      <w:tr w:rsidR="00394EB6" w:rsidRPr="00394EB6" w14:paraId="2249B26C" w14:textId="77777777" w:rsidTr="00F56995">
        <w:trPr>
          <w:trHeight w:val="257"/>
        </w:trPr>
        <w:tc>
          <w:tcPr>
            <w:tcW w:w="1191" w:type="dxa"/>
            <w:tcBorders>
              <w:top w:val="single" w:sz="4" w:space="0" w:color="auto"/>
              <w:left w:val="single" w:sz="4" w:space="0" w:color="auto"/>
              <w:bottom w:val="single" w:sz="4" w:space="0" w:color="auto"/>
              <w:right w:val="single" w:sz="4" w:space="0" w:color="auto"/>
            </w:tcBorders>
            <w:noWrap/>
            <w:vAlign w:val="center"/>
            <w:hideMark/>
          </w:tcPr>
          <w:p w14:paraId="54A76873" w14:textId="77777777" w:rsidR="00F56995" w:rsidRPr="00394EB6" w:rsidRDefault="00F56995">
            <w:pPr>
              <w:jc w:val="center"/>
              <w:rPr>
                <w:rFonts w:ascii="Arial" w:hAnsi="Arial" w:cs="Arial"/>
              </w:rPr>
            </w:pPr>
            <w:r w:rsidRPr="00394EB6">
              <w:rPr>
                <w:rFonts w:ascii="Arial" w:hAnsi="Arial" w:cs="Arial"/>
              </w:rPr>
              <w:t>2020</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355EEC4E" w14:textId="77777777" w:rsidR="00F56995" w:rsidRPr="00394EB6" w:rsidRDefault="00F56995">
            <w:pPr>
              <w:jc w:val="center"/>
              <w:rPr>
                <w:rFonts w:ascii="Arial" w:hAnsi="Arial" w:cs="Arial"/>
              </w:rPr>
            </w:pPr>
            <w:r w:rsidRPr="00394EB6">
              <w:rPr>
                <w:rFonts w:ascii="Arial" w:hAnsi="Arial" w:cs="Arial"/>
              </w:rPr>
              <w:t>3,0</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159C2EBA" w14:textId="77777777" w:rsidR="00F56995" w:rsidRPr="00394EB6" w:rsidRDefault="00F56995">
            <w:pPr>
              <w:jc w:val="center"/>
              <w:rPr>
                <w:rFonts w:ascii="Arial" w:hAnsi="Arial" w:cs="Arial"/>
              </w:rPr>
            </w:pPr>
            <w:r w:rsidRPr="00394EB6">
              <w:rPr>
                <w:rFonts w:ascii="Arial" w:hAnsi="Arial" w:cs="Arial"/>
              </w:rPr>
              <w:t>5,6</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23B94680" w14:textId="77777777" w:rsidR="00F56995" w:rsidRPr="00394EB6" w:rsidRDefault="00F56995">
            <w:pPr>
              <w:jc w:val="center"/>
              <w:rPr>
                <w:rFonts w:ascii="Arial" w:hAnsi="Arial" w:cs="Arial"/>
              </w:rPr>
            </w:pPr>
            <w:r w:rsidRPr="00394EB6">
              <w:rPr>
                <w:rFonts w:ascii="Arial" w:hAnsi="Arial" w:cs="Arial"/>
              </w:rPr>
              <w:t>4,3</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15D2676E" w14:textId="77777777" w:rsidR="00F56995" w:rsidRPr="00394EB6" w:rsidRDefault="00F56995">
            <w:pPr>
              <w:jc w:val="center"/>
              <w:rPr>
                <w:rFonts w:ascii="Arial" w:hAnsi="Arial" w:cs="Arial"/>
              </w:rPr>
            </w:pPr>
            <w:r w:rsidRPr="00394EB6">
              <w:rPr>
                <w:rFonts w:ascii="Arial" w:hAnsi="Arial" w:cs="Arial"/>
              </w:rPr>
              <w:t>3,2</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43D6B303" w14:textId="77777777" w:rsidR="00F56995" w:rsidRPr="00394EB6" w:rsidRDefault="00F56995">
            <w:pPr>
              <w:jc w:val="center"/>
              <w:rPr>
                <w:rFonts w:ascii="Arial" w:hAnsi="Arial" w:cs="Arial"/>
              </w:rPr>
            </w:pPr>
            <w:r w:rsidRPr="00394EB6">
              <w:rPr>
                <w:rFonts w:ascii="Arial" w:hAnsi="Arial" w:cs="Arial"/>
              </w:rPr>
              <w:t>4,5</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1E9E61F1" w14:textId="77777777" w:rsidR="00F56995" w:rsidRPr="00394EB6" w:rsidRDefault="00F56995">
            <w:pPr>
              <w:jc w:val="center"/>
              <w:rPr>
                <w:rFonts w:ascii="Arial" w:hAnsi="Arial" w:cs="Arial"/>
              </w:rPr>
            </w:pPr>
            <w:r w:rsidRPr="00394EB6">
              <w:rPr>
                <w:rFonts w:ascii="Arial" w:hAnsi="Arial" w:cs="Arial"/>
              </w:rPr>
              <w:t>4,4</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3D202AF3" w14:textId="77777777" w:rsidR="00F56995" w:rsidRPr="00394EB6" w:rsidRDefault="00F56995">
            <w:pPr>
              <w:jc w:val="center"/>
              <w:rPr>
                <w:rFonts w:ascii="Arial" w:hAnsi="Arial" w:cs="Arial"/>
              </w:rPr>
            </w:pPr>
            <w:r w:rsidRPr="00394EB6">
              <w:rPr>
                <w:rFonts w:ascii="Arial" w:hAnsi="Arial" w:cs="Arial"/>
              </w:rPr>
              <w:t>3,3</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161C824C" w14:textId="77777777" w:rsidR="00F56995" w:rsidRPr="00394EB6" w:rsidRDefault="00F56995">
            <w:pPr>
              <w:jc w:val="center"/>
              <w:rPr>
                <w:rFonts w:ascii="Arial" w:hAnsi="Arial" w:cs="Arial"/>
              </w:rPr>
            </w:pPr>
            <w:r w:rsidRPr="00394EB6">
              <w:rPr>
                <w:rFonts w:ascii="Arial" w:hAnsi="Arial" w:cs="Arial"/>
              </w:rPr>
              <w:t>3,2</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5EBF652A" w14:textId="77777777" w:rsidR="00F56995" w:rsidRPr="00394EB6" w:rsidRDefault="00F56995">
            <w:pPr>
              <w:jc w:val="center"/>
              <w:rPr>
                <w:rFonts w:ascii="Arial" w:hAnsi="Arial" w:cs="Arial"/>
              </w:rPr>
            </w:pPr>
            <w:r w:rsidRPr="00394EB6">
              <w:rPr>
                <w:rFonts w:ascii="Arial" w:hAnsi="Arial" w:cs="Arial"/>
              </w:rPr>
              <w:t>3,2</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6F98E801" w14:textId="77777777" w:rsidR="00F56995" w:rsidRPr="00394EB6" w:rsidRDefault="00F56995">
            <w:pPr>
              <w:jc w:val="center"/>
              <w:rPr>
                <w:rFonts w:ascii="Arial" w:hAnsi="Arial" w:cs="Arial"/>
              </w:rPr>
            </w:pPr>
            <w:r w:rsidRPr="00394EB6">
              <w:rPr>
                <w:rFonts w:ascii="Arial" w:hAnsi="Arial" w:cs="Arial"/>
              </w:rPr>
              <w:t>3,9</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58094FD8" w14:textId="77777777" w:rsidR="00F56995" w:rsidRPr="00394EB6" w:rsidRDefault="00F56995">
            <w:pPr>
              <w:jc w:val="center"/>
              <w:rPr>
                <w:rFonts w:ascii="Arial" w:hAnsi="Arial" w:cs="Arial"/>
              </w:rPr>
            </w:pPr>
            <w:r w:rsidRPr="00394EB6">
              <w:rPr>
                <w:rFonts w:ascii="Arial" w:hAnsi="Arial" w:cs="Arial"/>
              </w:rPr>
              <w:t>2,8</w:t>
            </w:r>
          </w:p>
        </w:tc>
        <w:tc>
          <w:tcPr>
            <w:tcW w:w="673" w:type="dxa"/>
            <w:tcBorders>
              <w:top w:val="single" w:sz="4" w:space="0" w:color="auto"/>
              <w:left w:val="single" w:sz="4" w:space="0" w:color="auto"/>
              <w:bottom w:val="single" w:sz="4" w:space="0" w:color="auto"/>
              <w:right w:val="single" w:sz="4" w:space="0" w:color="auto"/>
            </w:tcBorders>
            <w:noWrap/>
            <w:vAlign w:val="center"/>
            <w:hideMark/>
          </w:tcPr>
          <w:p w14:paraId="7848F771" w14:textId="77777777" w:rsidR="00F56995" w:rsidRPr="00394EB6" w:rsidRDefault="00F56995">
            <w:pPr>
              <w:jc w:val="center"/>
              <w:rPr>
                <w:rFonts w:ascii="Arial" w:hAnsi="Arial" w:cs="Arial"/>
              </w:rPr>
            </w:pPr>
            <w:r w:rsidRPr="00394EB6">
              <w:rPr>
                <w:rFonts w:ascii="Arial" w:hAnsi="Arial" w:cs="Arial"/>
              </w:rPr>
              <w:t>3,9</w:t>
            </w:r>
          </w:p>
        </w:tc>
      </w:tr>
    </w:tbl>
    <w:p w14:paraId="004EA331" w14:textId="0D3E82BE" w:rsidR="00F56995" w:rsidRPr="00F14F84" w:rsidRDefault="00F56995" w:rsidP="00F14F84">
      <w:pPr>
        <w:pStyle w:val="tabu"/>
        <w:tabs>
          <w:tab w:val="num" w:pos="0"/>
        </w:tabs>
        <w:spacing w:before="0" w:after="0"/>
        <w:jc w:val="center"/>
        <w:rPr>
          <w:rFonts w:cs="Arial"/>
          <w:iCs/>
          <w:sz w:val="18"/>
          <w:szCs w:val="18"/>
          <w:lang w:eastAsia="en-US"/>
        </w:rPr>
      </w:pPr>
      <w:r w:rsidRPr="00F14F84">
        <w:rPr>
          <w:rFonts w:cs="Arial"/>
          <w:iCs/>
          <w:sz w:val="18"/>
          <w:szCs w:val="18"/>
          <w:lang w:eastAsia="en-US"/>
        </w:rPr>
        <w:t>Zdroj: Ročenky klimatologických pozorovaní meteorologických staníc na území SR , SHMÚ, Bratislava</w:t>
      </w:r>
    </w:p>
    <w:p w14:paraId="41BD03C4" w14:textId="77777777" w:rsidR="00A13955" w:rsidRPr="00394EB6" w:rsidRDefault="00A13955" w:rsidP="00A13955">
      <w:pPr>
        <w:rPr>
          <w:lang w:eastAsia="en-US"/>
        </w:rPr>
      </w:pPr>
    </w:p>
    <w:p w14:paraId="63D74CFD" w14:textId="322A6441" w:rsidR="00F56995" w:rsidRPr="005145B5" w:rsidRDefault="00F56995" w:rsidP="00A13955">
      <w:pPr>
        <w:pStyle w:val="poznmka"/>
        <w:rPr>
          <w:rFonts w:cs="Arial"/>
          <w:bCs/>
          <w:i/>
          <w:szCs w:val="18"/>
          <w:lang w:val="sk-SK"/>
        </w:rPr>
      </w:pPr>
      <w:r w:rsidRPr="005145B5">
        <w:rPr>
          <w:rFonts w:cs="Arial"/>
          <w:bCs/>
          <w:i/>
          <w:szCs w:val="18"/>
          <w:lang w:val="sk-SK"/>
        </w:rPr>
        <w:t>Tab. č</w:t>
      </w:r>
      <w:r w:rsidR="005A4635" w:rsidRPr="005145B5">
        <w:rPr>
          <w:rFonts w:cs="Arial"/>
          <w:bCs/>
          <w:i/>
          <w:szCs w:val="18"/>
          <w:lang w:val="sk-SK"/>
        </w:rPr>
        <w:t>. III.1.7</w:t>
      </w:r>
      <w:r w:rsidRPr="005145B5">
        <w:rPr>
          <w:rFonts w:cs="Arial"/>
          <w:bCs/>
          <w:i/>
          <w:szCs w:val="18"/>
          <w:lang w:val="sk-SK"/>
        </w:rPr>
        <w:t>: Početnosť výskytu smerov vetra zo stanice Bratislava - Letisko za rok 2020 (%)</w:t>
      </w:r>
    </w:p>
    <w:tbl>
      <w:tblPr>
        <w:tblW w:w="9234" w:type="dxa"/>
        <w:tblInd w:w="57" w:type="dxa"/>
        <w:tblCellMar>
          <w:left w:w="70" w:type="dxa"/>
          <w:right w:w="70" w:type="dxa"/>
        </w:tblCellMar>
        <w:tblLook w:val="04A0" w:firstRow="1" w:lastRow="0" w:firstColumn="1" w:lastColumn="0" w:noHBand="0" w:noVBand="1"/>
      </w:tblPr>
      <w:tblGrid>
        <w:gridCol w:w="1674"/>
        <w:gridCol w:w="945"/>
        <w:gridCol w:w="945"/>
        <w:gridCol w:w="945"/>
        <w:gridCol w:w="945"/>
        <w:gridCol w:w="945"/>
        <w:gridCol w:w="945"/>
        <w:gridCol w:w="945"/>
        <w:gridCol w:w="945"/>
      </w:tblGrid>
      <w:tr w:rsidR="00394EB6" w:rsidRPr="00394EB6" w14:paraId="6A59F004" w14:textId="77777777" w:rsidTr="00F56995">
        <w:trPr>
          <w:trHeight w:val="250"/>
        </w:trPr>
        <w:tc>
          <w:tcPr>
            <w:tcW w:w="1674" w:type="dxa"/>
            <w:tcBorders>
              <w:top w:val="single" w:sz="4" w:space="0" w:color="auto"/>
              <w:left w:val="single" w:sz="4" w:space="0" w:color="auto"/>
              <w:bottom w:val="single" w:sz="4" w:space="0" w:color="auto"/>
              <w:right w:val="single" w:sz="4" w:space="0" w:color="auto"/>
            </w:tcBorders>
            <w:noWrap/>
            <w:vAlign w:val="center"/>
            <w:hideMark/>
          </w:tcPr>
          <w:p w14:paraId="55B17CF9" w14:textId="77777777" w:rsidR="00F56995" w:rsidRPr="00394EB6" w:rsidRDefault="00F56995">
            <w:pPr>
              <w:jc w:val="center"/>
              <w:rPr>
                <w:rFonts w:ascii="Arial" w:hAnsi="Arial" w:cs="Arial"/>
              </w:rPr>
            </w:pPr>
            <w:r w:rsidRPr="00394EB6">
              <w:rPr>
                <w:rFonts w:ascii="Arial" w:hAnsi="Arial" w:cs="Arial"/>
              </w:rPr>
              <w:t>rok</w:t>
            </w:r>
          </w:p>
        </w:tc>
        <w:tc>
          <w:tcPr>
            <w:tcW w:w="945" w:type="dxa"/>
            <w:tcBorders>
              <w:top w:val="single" w:sz="4" w:space="0" w:color="auto"/>
              <w:left w:val="nil"/>
              <w:bottom w:val="single" w:sz="4" w:space="0" w:color="auto"/>
              <w:right w:val="single" w:sz="4" w:space="0" w:color="auto"/>
            </w:tcBorders>
            <w:noWrap/>
            <w:vAlign w:val="center"/>
            <w:hideMark/>
          </w:tcPr>
          <w:p w14:paraId="15143660" w14:textId="77777777" w:rsidR="00F56995" w:rsidRPr="00394EB6" w:rsidRDefault="00F56995">
            <w:pPr>
              <w:jc w:val="center"/>
              <w:rPr>
                <w:rFonts w:ascii="Arial" w:hAnsi="Arial" w:cs="Arial"/>
              </w:rPr>
            </w:pPr>
            <w:r w:rsidRPr="00394EB6">
              <w:rPr>
                <w:rFonts w:ascii="Arial" w:hAnsi="Arial" w:cs="Arial"/>
              </w:rPr>
              <w:t>S</w:t>
            </w:r>
          </w:p>
        </w:tc>
        <w:tc>
          <w:tcPr>
            <w:tcW w:w="945" w:type="dxa"/>
            <w:tcBorders>
              <w:top w:val="single" w:sz="4" w:space="0" w:color="auto"/>
              <w:left w:val="nil"/>
              <w:bottom w:val="single" w:sz="4" w:space="0" w:color="auto"/>
              <w:right w:val="single" w:sz="4" w:space="0" w:color="auto"/>
            </w:tcBorders>
            <w:noWrap/>
            <w:vAlign w:val="center"/>
            <w:hideMark/>
          </w:tcPr>
          <w:p w14:paraId="4376B327" w14:textId="77777777" w:rsidR="00F56995" w:rsidRPr="00394EB6" w:rsidRDefault="00F56995">
            <w:pPr>
              <w:jc w:val="center"/>
              <w:rPr>
                <w:rFonts w:ascii="Arial" w:hAnsi="Arial" w:cs="Arial"/>
              </w:rPr>
            </w:pPr>
            <w:r w:rsidRPr="00394EB6">
              <w:rPr>
                <w:rFonts w:ascii="Arial" w:hAnsi="Arial" w:cs="Arial"/>
              </w:rPr>
              <w:t>SV</w:t>
            </w:r>
          </w:p>
        </w:tc>
        <w:tc>
          <w:tcPr>
            <w:tcW w:w="945" w:type="dxa"/>
            <w:tcBorders>
              <w:top w:val="single" w:sz="4" w:space="0" w:color="auto"/>
              <w:left w:val="nil"/>
              <w:bottom w:val="single" w:sz="4" w:space="0" w:color="auto"/>
              <w:right w:val="single" w:sz="4" w:space="0" w:color="auto"/>
            </w:tcBorders>
            <w:noWrap/>
            <w:vAlign w:val="center"/>
            <w:hideMark/>
          </w:tcPr>
          <w:p w14:paraId="3BC3B470" w14:textId="77777777" w:rsidR="00F56995" w:rsidRPr="00394EB6" w:rsidRDefault="00F56995">
            <w:pPr>
              <w:jc w:val="center"/>
              <w:rPr>
                <w:rFonts w:ascii="Arial" w:hAnsi="Arial" w:cs="Arial"/>
              </w:rPr>
            </w:pPr>
            <w:r w:rsidRPr="00394EB6">
              <w:rPr>
                <w:rFonts w:ascii="Arial" w:hAnsi="Arial" w:cs="Arial"/>
              </w:rPr>
              <w:t>V</w:t>
            </w:r>
          </w:p>
        </w:tc>
        <w:tc>
          <w:tcPr>
            <w:tcW w:w="945" w:type="dxa"/>
            <w:tcBorders>
              <w:top w:val="single" w:sz="4" w:space="0" w:color="auto"/>
              <w:left w:val="nil"/>
              <w:bottom w:val="single" w:sz="4" w:space="0" w:color="auto"/>
              <w:right w:val="single" w:sz="4" w:space="0" w:color="auto"/>
            </w:tcBorders>
            <w:noWrap/>
            <w:vAlign w:val="center"/>
            <w:hideMark/>
          </w:tcPr>
          <w:p w14:paraId="5DEDFB49" w14:textId="77777777" w:rsidR="00F56995" w:rsidRPr="00394EB6" w:rsidRDefault="00F56995">
            <w:pPr>
              <w:jc w:val="center"/>
              <w:rPr>
                <w:rFonts w:ascii="Arial" w:hAnsi="Arial" w:cs="Arial"/>
              </w:rPr>
            </w:pPr>
            <w:r w:rsidRPr="00394EB6">
              <w:rPr>
                <w:rFonts w:ascii="Arial" w:hAnsi="Arial" w:cs="Arial"/>
              </w:rPr>
              <w:t>JV</w:t>
            </w:r>
          </w:p>
        </w:tc>
        <w:tc>
          <w:tcPr>
            <w:tcW w:w="945" w:type="dxa"/>
            <w:tcBorders>
              <w:top w:val="single" w:sz="4" w:space="0" w:color="auto"/>
              <w:left w:val="nil"/>
              <w:bottom w:val="single" w:sz="4" w:space="0" w:color="auto"/>
              <w:right w:val="single" w:sz="4" w:space="0" w:color="auto"/>
            </w:tcBorders>
            <w:noWrap/>
            <w:vAlign w:val="center"/>
            <w:hideMark/>
          </w:tcPr>
          <w:p w14:paraId="0DCE0E1E" w14:textId="77777777" w:rsidR="00F56995" w:rsidRPr="00394EB6" w:rsidRDefault="00F56995">
            <w:pPr>
              <w:jc w:val="center"/>
              <w:rPr>
                <w:rFonts w:ascii="Arial" w:hAnsi="Arial" w:cs="Arial"/>
              </w:rPr>
            </w:pPr>
            <w:r w:rsidRPr="00394EB6">
              <w:rPr>
                <w:rFonts w:ascii="Arial" w:hAnsi="Arial" w:cs="Arial"/>
              </w:rPr>
              <w:t>J</w:t>
            </w:r>
          </w:p>
        </w:tc>
        <w:tc>
          <w:tcPr>
            <w:tcW w:w="945" w:type="dxa"/>
            <w:tcBorders>
              <w:top w:val="single" w:sz="4" w:space="0" w:color="auto"/>
              <w:left w:val="nil"/>
              <w:bottom w:val="single" w:sz="4" w:space="0" w:color="auto"/>
              <w:right w:val="single" w:sz="4" w:space="0" w:color="auto"/>
            </w:tcBorders>
            <w:noWrap/>
            <w:vAlign w:val="center"/>
            <w:hideMark/>
          </w:tcPr>
          <w:p w14:paraId="35004C45" w14:textId="77777777" w:rsidR="00F56995" w:rsidRPr="00394EB6" w:rsidRDefault="00F56995">
            <w:pPr>
              <w:jc w:val="center"/>
              <w:rPr>
                <w:rFonts w:ascii="Arial" w:hAnsi="Arial" w:cs="Arial"/>
              </w:rPr>
            </w:pPr>
            <w:r w:rsidRPr="00394EB6">
              <w:rPr>
                <w:rFonts w:ascii="Arial" w:hAnsi="Arial" w:cs="Arial"/>
              </w:rPr>
              <w:t>JZ</w:t>
            </w:r>
          </w:p>
        </w:tc>
        <w:tc>
          <w:tcPr>
            <w:tcW w:w="945" w:type="dxa"/>
            <w:tcBorders>
              <w:top w:val="single" w:sz="4" w:space="0" w:color="auto"/>
              <w:left w:val="nil"/>
              <w:bottom w:val="single" w:sz="4" w:space="0" w:color="auto"/>
              <w:right w:val="single" w:sz="4" w:space="0" w:color="auto"/>
            </w:tcBorders>
            <w:noWrap/>
            <w:vAlign w:val="center"/>
            <w:hideMark/>
          </w:tcPr>
          <w:p w14:paraId="677AD5D2" w14:textId="77777777" w:rsidR="00F56995" w:rsidRPr="00394EB6" w:rsidRDefault="00F56995">
            <w:pPr>
              <w:jc w:val="center"/>
              <w:rPr>
                <w:rFonts w:ascii="Arial" w:hAnsi="Arial" w:cs="Arial"/>
              </w:rPr>
            </w:pPr>
            <w:r w:rsidRPr="00394EB6">
              <w:rPr>
                <w:rFonts w:ascii="Arial" w:hAnsi="Arial" w:cs="Arial"/>
              </w:rPr>
              <w:t>Z</w:t>
            </w:r>
          </w:p>
        </w:tc>
        <w:tc>
          <w:tcPr>
            <w:tcW w:w="945" w:type="dxa"/>
            <w:tcBorders>
              <w:top w:val="single" w:sz="4" w:space="0" w:color="auto"/>
              <w:left w:val="nil"/>
              <w:bottom w:val="single" w:sz="4" w:space="0" w:color="auto"/>
              <w:right w:val="single" w:sz="4" w:space="0" w:color="auto"/>
            </w:tcBorders>
            <w:noWrap/>
            <w:vAlign w:val="center"/>
            <w:hideMark/>
          </w:tcPr>
          <w:p w14:paraId="6E69C290" w14:textId="77777777" w:rsidR="00F56995" w:rsidRPr="00394EB6" w:rsidRDefault="00F56995">
            <w:pPr>
              <w:jc w:val="center"/>
              <w:rPr>
                <w:rFonts w:ascii="Arial" w:hAnsi="Arial" w:cs="Arial"/>
              </w:rPr>
            </w:pPr>
            <w:r w:rsidRPr="00394EB6">
              <w:rPr>
                <w:rFonts w:ascii="Arial" w:hAnsi="Arial" w:cs="Arial"/>
              </w:rPr>
              <w:t>SZ</w:t>
            </w:r>
          </w:p>
        </w:tc>
      </w:tr>
      <w:tr w:rsidR="00394EB6" w:rsidRPr="00394EB6" w14:paraId="1F18097B" w14:textId="77777777" w:rsidTr="00F56995">
        <w:trPr>
          <w:trHeight w:val="250"/>
        </w:trPr>
        <w:tc>
          <w:tcPr>
            <w:tcW w:w="1674" w:type="dxa"/>
            <w:tcBorders>
              <w:top w:val="nil"/>
              <w:left w:val="single" w:sz="4" w:space="0" w:color="auto"/>
              <w:bottom w:val="single" w:sz="4" w:space="0" w:color="auto"/>
              <w:right w:val="single" w:sz="4" w:space="0" w:color="auto"/>
            </w:tcBorders>
            <w:noWrap/>
            <w:vAlign w:val="center"/>
            <w:hideMark/>
          </w:tcPr>
          <w:p w14:paraId="1759C443" w14:textId="77777777" w:rsidR="00F56995" w:rsidRPr="00394EB6" w:rsidRDefault="00F56995">
            <w:pPr>
              <w:jc w:val="center"/>
              <w:rPr>
                <w:rFonts w:ascii="Arial" w:hAnsi="Arial" w:cs="Arial"/>
              </w:rPr>
            </w:pPr>
            <w:r w:rsidRPr="00394EB6">
              <w:rPr>
                <w:rFonts w:ascii="Arial" w:hAnsi="Arial" w:cs="Arial"/>
              </w:rPr>
              <w:t>2020</w:t>
            </w:r>
          </w:p>
        </w:tc>
        <w:tc>
          <w:tcPr>
            <w:tcW w:w="945" w:type="dxa"/>
            <w:tcBorders>
              <w:top w:val="nil"/>
              <w:left w:val="nil"/>
              <w:bottom w:val="single" w:sz="4" w:space="0" w:color="auto"/>
              <w:right w:val="single" w:sz="4" w:space="0" w:color="auto"/>
            </w:tcBorders>
            <w:noWrap/>
            <w:vAlign w:val="center"/>
            <w:hideMark/>
          </w:tcPr>
          <w:p w14:paraId="69CB0D03" w14:textId="77777777" w:rsidR="00F56995" w:rsidRPr="00394EB6" w:rsidRDefault="00F56995">
            <w:pPr>
              <w:jc w:val="center"/>
              <w:rPr>
                <w:rFonts w:ascii="Arial" w:hAnsi="Arial" w:cs="Arial"/>
              </w:rPr>
            </w:pPr>
            <w:r w:rsidRPr="00394EB6">
              <w:rPr>
                <w:rFonts w:ascii="Arial" w:hAnsi="Arial" w:cs="Arial"/>
              </w:rPr>
              <w:t>12,6</w:t>
            </w:r>
          </w:p>
        </w:tc>
        <w:tc>
          <w:tcPr>
            <w:tcW w:w="945" w:type="dxa"/>
            <w:tcBorders>
              <w:top w:val="nil"/>
              <w:left w:val="nil"/>
              <w:bottom w:val="single" w:sz="4" w:space="0" w:color="auto"/>
              <w:right w:val="single" w:sz="4" w:space="0" w:color="auto"/>
            </w:tcBorders>
            <w:noWrap/>
            <w:vAlign w:val="center"/>
            <w:hideMark/>
          </w:tcPr>
          <w:p w14:paraId="2DBF21A7" w14:textId="77777777" w:rsidR="00F56995" w:rsidRPr="00394EB6" w:rsidRDefault="00F56995">
            <w:pPr>
              <w:jc w:val="center"/>
              <w:rPr>
                <w:rFonts w:ascii="Arial" w:hAnsi="Arial" w:cs="Arial"/>
              </w:rPr>
            </w:pPr>
            <w:r w:rsidRPr="00394EB6">
              <w:rPr>
                <w:rFonts w:ascii="Arial" w:hAnsi="Arial" w:cs="Arial"/>
              </w:rPr>
              <w:t>16,9</w:t>
            </w:r>
          </w:p>
        </w:tc>
        <w:tc>
          <w:tcPr>
            <w:tcW w:w="945" w:type="dxa"/>
            <w:tcBorders>
              <w:top w:val="nil"/>
              <w:left w:val="nil"/>
              <w:bottom w:val="single" w:sz="4" w:space="0" w:color="auto"/>
              <w:right w:val="single" w:sz="4" w:space="0" w:color="auto"/>
            </w:tcBorders>
            <w:noWrap/>
            <w:vAlign w:val="center"/>
            <w:hideMark/>
          </w:tcPr>
          <w:p w14:paraId="187ADD49" w14:textId="77777777" w:rsidR="00F56995" w:rsidRPr="00394EB6" w:rsidRDefault="00F56995">
            <w:pPr>
              <w:jc w:val="center"/>
              <w:rPr>
                <w:rFonts w:ascii="Arial" w:hAnsi="Arial" w:cs="Arial"/>
              </w:rPr>
            </w:pPr>
            <w:r w:rsidRPr="00394EB6">
              <w:rPr>
                <w:rFonts w:ascii="Arial" w:hAnsi="Arial" w:cs="Arial"/>
              </w:rPr>
              <w:t>7,7</w:t>
            </w:r>
          </w:p>
        </w:tc>
        <w:tc>
          <w:tcPr>
            <w:tcW w:w="945" w:type="dxa"/>
            <w:tcBorders>
              <w:top w:val="nil"/>
              <w:left w:val="nil"/>
              <w:bottom w:val="single" w:sz="4" w:space="0" w:color="auto"/>
              <w:right w:val="single" w:sz="4" w:space="0" w:color="auto"/>
            </w:tcBorders>
            <w:noWrap/>
            <w:vAlign w:val="center"/>
            <w:hideMark/>
          </w:tcPr>
          <w:p w14:paraId="3C87F649" w14:textId="77777777" w:rsidR="00F56995" w:rsidRPr="00394EB6" w:rsidRDefault="00F56995">
            <w:pPr>
              <w:jc w:val="center"/>
              <w:rPr>
                <w:rFonts w:ascii="Arial" w:hAnsi="Arial" w:cs="Arial"/>
              </w:rPr>
            </w:pPr>
            <w:r w:rsidRPr="00394EB6">
              <w:rPr>
                <w:rFonts w:ascii="Arial" w:hAnsi="Arial" w:cs="Arial"/>
              </w:rPr>
              <w:t>13,5</w:t>
            </w:r>
          </w:p>
        </w:tc>
        <w:tc>
          <w:tcPr>
            <w:tcW w:w="945" w:type="dxa"/>
            <w:tcBorders>
              <w:top w:val="nil"/>
              <w:left w:val="nil"/>
              <w:bottom w:val="single" w:sz="4" w:space="0" w:color="auto"/>
              <w:right w:val="single" w:sz="4" w:space="0" w:color="auto"/>
            </w:tcBorders>
            <w:noWrap/>
            <w:vAlign w:val="center"/>
            <w:hideMark/>
          </w:tcPr>
          <w:p w14:paraId="47003446" w14:textId="77777777" w:rsidR="00F56995" w:rsidRPr="00394EB6" w:rsidRDefault="00F56995">
            <w:pPr>
              <w:jc w:val="center"/>
              <w:rPr>
                <w:rFonts w:ascii="Arial" w:hAnsi="Arial" w:cs="Arial"/>
              </w:rPr>
            </w:pPr>
            <w:r w:rsidRPr="00394EB6">
              <w:rPr>
                <w:rFonts w:ascii="Arial" w:hAnsi="Arial" w:cs="Arial"/>
              </w:rPr>
              <w:t>5,4</w:t>
            </w:r>
          </w:p>
        </w:tc>
        <w:tc>
          <w:tcPr>
            <w:tcW w:w="945" w:type="dxa"/>
            <w:tcBorders>
              <w:top w:val="nil"/>
              <w:left w:val="nil"/>
              <w:bottom w:val="single" w:sz="4" w:space="0" w:color="auto"/>
              <w:right w:val="single" w:sz="4" w:space="0" w:color="auto"/>
            </w:tcBorders>
            <w:noWrap/>
            <w:vAlign w:val="center"/>
            <w:hideMark/>
          </w:tcPr>
          <w:p w14:paraId="6DE22E87" w14:textId="77777777" w:rsidR="00F56995" w:rsidRPr="00394EB6" w:rsidRDefault="00F56995">
            <w:pPr>
              <w:jc w:val="center"/>
              <w:rPr>
                <w:rFonts w:ascii="Arial" w:hAnsi="Arial" w:cs="Arial"/>
              </w:rPr>
            </w:pPr>
            <w:r w:rsidRPr="00394EB6">
              <w:rPr>
                <w:rFonts w:ascii="Arial" w:hAnsi="Arial" w:cs="Arial"/>
              </w:rPr>
              <w:t>6,2</w:t>
            </w:r>
          </w:p>
        </w:tc>
        <w:tc>
          <w:tcPr>
            <w:tcW w:w="945" w:type="dxa"/>
            <w:tcBorders>
              <w:top w:val="nil"/>
              <w:left w:val="nil"/>
              <w:bottom w:val="single" w:sz="4" w:space="0" w:color="auto"/>
              <w:right w:val="single" w:sz="4" w:space="0" w:color="auto"/>
            </w:tcBorders>
            <w:noWrap/>
            <w:vAlign w:val="center"/>
            <w:hideMark/>
          </w:tcPr>
          <w:p w14:paraId="191FEDBA" w14:textId="77777777" w:rsidR="00F56995" w:rsidRPr="00394EB6" w:rsidRDefault="00F56995">
            <w:pPr>
              <w:jc w:val="center"/>
              <w:rPr>
                <w:rFonts w:ascii="Arial" w:hAnsi="Arial" w:cs="Arial"/>
              </w:rPr>
            </w:pPr>
            <w:r w:rsidRPr="00394EB6">
              <w:rPr>
                <w:rFonts w:ascii="Arial" w:hAnsi="Arial" w:cs="Arial"/>
              </w:rPr>
              <w:t>12,1</w:t>
            </w:r>
          </w:p>
        </w:tc>
        <w:tc>
          <w:tcPr>
            <w:tcW w:w="945" w:type="dxa"/>
            <w:tcBorders>
              <w:top w:val="nil"/>
              <w:left w:val="nil"/>
              <w:bottom w:val="single" w:sz="4" w:space="0" w:color="auto"/>
              <w:right w:val="single" w:sz="4" w:space="0" w:color="auto"/>
            </w:tcBorders>
            <w:noWrap/>
            <w:vAlign w:val="center"/>
            <w:hideMark/>
          </w:tcPr>
          <w:p w14:paraId="78EFB5A2" w14:textId="77777777" w:rsidR="00F56995" w:rsidRPr="00394EB6" w:rsidRDefault="00F56995">
            <w:pPr>
              <w:jc w:val="center"/>
              <w:rPr>
                <w:rFonts w:ascii="Arial" w:hAnsi="Arial" w:cs="Arial"/>
              </w:rPr>
            </w:pPr>
            <w:r w:rsidRPr="00394EB6">
              <w:rPr>
                <w:rFonts w:ascii="Arial" w:hAnsi="Arial" w:cs="Arial"/>
              </w:rPr>
              <w:t>23,7</w:t>
            </w:r>
          </w:p>
        </w:tc>
      </w:tr>
    </w:tbl>
    <w:p w14:paraId="78307073" w14:textId="4529F554" w:rsidR="00F56995" w:rsidRPr="00F14F84" w:rsidRDefault="00F56995" w:rsidP="00F14F84">
      <w:pPr>
        <w:pStyle w:val="tabu"/>
        <w:tabs>
          <w:tab w:val="num" w:pos="0"/>
        </w:tabs>
        <w:spacing w:before="0" w:after="0"/>
        <w:jc w:val="center"/>
        <w:rPr>
          <w:rFonts w:cs="Arial"/>
          <w:iCs/>
          <w:sz w:val="18"/>
          <w:szCs w:val="18"/>
          <w:lang w:eastAsia="en-US"/>
        </w:rPr>
      </w:pPr>
      <w:r w:rsidRPr="00F14F84">
        <w:rPr>
          <w:rFonts w:cs="Arial"/>
          <w:iCs/>
          <w:sz w:val="18"/>
          <w:szCs w:val="18"/>
          <w:lang w:eastAsia="en-US"/>
        </w:rPr>
        <w:t>Zdroj: Ročenky klimatologických pozorovaní meteorologických staníc na území SR , SHMÚ, Bratislava</w:t>
      </w:r>
    </w:p>
    <w:p w14:paraId="11B5AEBE" w14:textId="77777777" w:rsidR="003152FD" w:rsidRDefault="003152FD" w:rsidP="00A13955">
      <w:pPr>
        <w:pStyle w:val="A-Text11"/>
        <w:ind w:firstLine="0"/>
        <w:rPr>
          <w:b/>
          <w:bCs/>
        </w:rPr>
      </w:pPr>
    </w:p>
    <w:p w14:paraId="3363DA3D" w14:textId="4C7077ED" w:rsidR="00E570DD" w:rsidRPr="00E04C7B" w:rsidRDefault="00E570DD" w:rsidP="00A13955">
      <w:pPr>
        <w:pStyle w:val="A-Text11"/>
        <w:ind w:firstLine="0"/>
        <w:rPr>
          <w:b/>
          <w:bCs/>
        </w:rPr>
      </w:pPr>
      <w:r w:rsidRPr="00E04C7B">
        <w:rPr>
          <w:b/>
          <w:bCs/>
        </w:rPr>
        <w:lastRenderedPageBreak/>
        <w:t>Hydrologické pomery</w:t>
      </w:r>
    </w:p>
    <w:p w14:paraId="102AEF19" w14:textId="77777777" w:rsidR="00F56995" w:rsidRPr="00E04C7B" w:rsidRDefault="00F56995" w:rsidP="00A13955">
      <w:pPr>
        <w:pStyle w:val="A-Text11"/>
        <w:rPr>
          <w:i/>
          <w:iCs/>
          <w:u w:val="single"/>
        </w:rPr>
      </w:pPr>
      <w:r w:rsidRPr="00E04C7B">
        <w:rPr>
          <w:i/>
          <w:iCs/>
          <w:u w:val="single"/>
        </w:rPr>
        <w:t>Povrchové vody</w:t>
      </w:r>
    </w:p>
    <w:p w14:paraId="5A23445C" w14:textId="77777777" w:rsidR="00F56995" w:rsidRPr="00E04C7B" w:rsidRDefault="00F56995" w:rsidP="00A13955">
      <w:pPr>
        <w:pStyle w:val="A-Text11"/>
      </w:pPr>
      <w:r w:rsidRPr="00E04C7B">
        <w:t>Záujmové územie patrí do povodia rieky Malý Dunaj (4-21-15), ktorá odvodňuje predmetnú lokalitu a preteká v smere Z-V vo vzdialenosti cca 4,5 km južne od záujmového územia. Malý Dunaj vyteká ako ľavostranný tok z rieky Dunaj. Dominantný vplyv na oblasť Bratislavy má najmä samotný tok Dunaj, ktorý dlhodobo výrazne ovplyvňuje hydrologické pomery širšieho územia a ovplyvňuje aj horný úsek Malého Dunaja. Územie sa nachádza v podrobnom povodí (4-21-15-001) a patrí k vrchovinovo-nížinnej oblasti, s dažďovo-snehovým režimom odtoku.</w:t>
      </w:r>
    </w:p>
    <w:p w14:paraId="160252B1" w14:textId="77777777" w:rsidR="00F56995" w:rsidRPr="00E04C7B" w:rsidRDefault="00F56995" w:rsidP="00A13955">
      <w:pPr>
        <w:pStyle w:val="A-Text11"/>
      </w:pPr>
      <w:r w:rsidRPr="00E04C7B">
        <w:t>Hydrologické charakteristiky Malého Dunaja ovplyvňuje tok Dunaj, ako aj karpatské toky pritekajúce do neho v jeho hornom úseku. Malý Dunaj je najdlhším ľavostranným ramenom Dunaja, z ktorého vyteká pod Bratislavou pri Malom Pálenisku a svojim 128 km dlhým tokom tvorí severnú hranicu Žitného ostrova. Malý Dunaj odvádza okrem dunajských vôd aj vody z juhovýchodných svahov Malých Karpát. Jeho najväčším prítokom je tok Čierna voda a tzv. Stará Čierna voda. Plocha celého povodia Malého Dunaja je 3 173 km</w:t>
      </w:r>
      <w:r w:rsidRPr="00E04C7B">
        <w:rPr>
          <w:vertAlign w:val="superscript"/>
        </w:rPr>
        <w:t>2</w:t>
      </w:r>
      <w:r w:rsidRPr="00E04C7B">
        <w:t>. Od nápustného objektu pri Slovnafte tečie kanálom po obec Most na Ostrove, ďalej pokračuje vo svojom pôvodnom koryte so šírkou 30 až 50 m. Na tomto úseku vytvára množstvo meandrov obklopených lužným lesom. Malý Dunaj sa vlieva pri Kolárove do toku Váh.</w:t>
      </w:r>
    </w:p>
    <w:p w14:paraId="722B1EE6" w14:textId="77777777" w:rsidR="00F56995" w:rsidRPr="00E04C7B" w:rsidRDefault="00F56995" w:rsidP="00A13955">
      <w:pPr>
        <w:pStyle w:val="A-Text11"/>
        <w:rPr>
          <w:spacing w:val="2"/>
        </w:rPr>
      </w:pPr>
      <w:r w:rsidRPr="00E04C7B">
        <w:rPr>
          <w:spacing w:val="2"/>
        </w:rPr>
        <w:t xml:space="preserve">Prirodzený odtok oblasti Malého Dunaja tvorí hydrologický režim tokov s relatívne malou vodnosťou, stekajúcich z východných svahov Malých Karpát. Hodnoty priemerných ročných prietokov na týchto tokoch sa pohybovali v roku 2019 v rozpätí 29 až 72 % dlhodobých hodnôt dlhodobého ročného priemeru. Maximálne priemerné mesačné prietoky sa na tokoch danej oblasti vyskytli v januári, marci a máji a pohybovali sa v rozpätí 99 % až 133% príslušných dlhodobých mesačných hodnôt dlhodobého priemerného mesačného prietoku. </w:t>
      </w:r>
    </w:p>
    <w:p w14:paraId="7B4D4C25" w14:textId="77777777" w:rsidR="00F56995" w:rsidRPr="00E04C7B" w:rsidRDefault="00F56995" w:rsidP="00A13955">
      <w:pPr>
        <w:pStyle w:val="A-Text11"/>
      </w:pPr>
      <w:r w:rsidRPr="00E04C7B">
        <w:rPr>
          <w:spacing w:val="2"/>
        </w:rPr>
        <w:t xml:space="preserve">Malý Dunaj je umelo regulovaný tok, ktorého hydrologické parametre sa sledujú na začiatku povrchového toku Malý Dunaj na </w:t>
      </w:r>
      <w:r w:rsidRPr="00E04C7B">
        <w:t>vodomernej stanici Malé Pálenisko (rkm 126,00, plocha povodia 0,10 km</w:t>
      </w:r>
      <w:r w:rsidRPr="00E04C7B">
        <w:rPr>
          <w:vertAlign w:val="superscript"/>
        </w:rPr>
        <w:t>2</w:t>
      </w:r>
      <w:r w:rsidRPr="00E04C7B">
        <w:t xml:space="preserve">) a ďalej </w:t>
      </w:r>
      <w:r w:rsidRPr="00E04C7B">
        <w:rPr>
          <w:spacing w:val="2"/>
        </w:rPr>
        <w:t xml:space="preserve">na </w:t>
      </w:r>
      <w:r w:rsidRPr="00E04C7B">
        <w:t>vodomernej stanici Nová Dedinka (rkm 107,50, plocha povodia 215,30 km</w:t>
      </w:r>
      <w:r w:rsidRPr="00E04C7B">
        <w:rPr>
          <w:vertAlign w:val="superscript"/>
        </w:rPr>
        <w:t>2</w:t>
      </w:r>
      <w:r w:rsidRPr="00E04C7B">
        <w:t>). Najbližší hydrologický profil Malé Pálenisko sa nachádza vo vzdialenosti cca 5,5 km južne od záujmového územia.</w:t>
      </w:r>
    </w:p>
    <w:p w14:paraId="5F6F2B8A" w14:textId="622EC289" w:rsidR="00F56995" w:rsidRPr="00E04C7B" w:rsidRDefault="00F56995" w:rsidP="00A13955">
      <w:pPr>
        <w:pStyle w:val="A-Text11"/>
        <w:rPr>
          <w:spacing w:val="2"/>
        </w:rPr>
      </w:pPr>
      <w:r w:rsidRPr="00E04C7B">
        <w:t>V rámci hydrologických charakteristík na vodomernej stanici Malé Pálenisko dosiahol v roku 2019 priemerný ročný prietok hodnotu 28,88 m</w:t>
      </w:r>
      <w:r w:rsidRPr="00E04C7B">
        <w:rPr>
          <w:vertAlign w:val="superscript"/>
        </w:rPr>
        <w:t>3</w:t>
      </w:r>
      <w:r w:rsidRPr="00E04C7B">
        <w:t>.s</w:t>
      </w:r>
      <w:r w:rsidRPr="00E04C7B">
        <w:rPr>
          <w:vertAlign w:val="superscript"/>
        </w:rPr>
        <w:t>-1</w:t>
      </w:r>
      <w:r w:rsidRPr="00E04C7B">
        <w:t>. Maximálny priemerný mesačný prietok bol pritom zaznamenaný v mesiaci september o hodnote 30,41 m</w:t>
      </w:r>
      <w:r w:rsidRPr="00E04C7B">
        <w:rPr>
          <w:vertAlign w:val="superscript"/>
        </w:rPr>
        <w:t>3</w:t>
      </w:r>
      <w:r w:rsidRPr="00E04C7B">
        <w:t>.s</w:t>
      </w:r>
      <w:r w:rsidRPr="00E04C7B">
        <w:rPr>
          <w:vertAlign w:val="superscript"/>
        </w:rPr>
        <w:t xml:space="preserve">-1 </w:t>
      </w:r>
      <w:r w:rsidRPr="00E04C7B">
        <w:t>a minimálny priemerný mesačný prietok v mesiaci február o hodnote 27,27 m</w:t>
      </w:r>
      <w:r w:rsidRPr="00E04C7B">
        <w:rPr>
          <w:vertAlign w:val="superscript"/>
        </w:rPr>
        <w:t>3</w:t>
      </w:r>
      <w:r w:rsidRPr="00E04C7B">
        <w:t>.s</w:t>
      </w:r>
      <w:r w:rsidRPr="00E04C7B">
        <w:rPr>
          <w:vertAlign w:val="superscript"/>
        </w:rPr>
        <w:t>-1</w:t>
      </w:r>
      <w:r w:rsidRPr="00E04C7B">
        <w:t xml:space="preserve">. </w:t>
      </w:r>
      <w:r w:rsidRPr="00E04C7B">
        <w:rPr>
          <w:spacing w:val="2"/>
          <w:szCs w:val="20"/>
        </w:rPr>
        <w:t>Maximálny denný priemerný prietok dosiahol v mesiaci august 33,89 m</w:t>
      </w:r>
      <w:r w:rsidRPr="00E04C7B">
        <w:rPr>
          <w:spacing w:val="2"/>
          <w:szCs w:val="20"/>
          <w:vertAlign w:val="superscript"/>
        </w:rPr>
        <w:t>3</w:t>
      </w:r>
      <w:r w:rsidRPr="00E04C7B">
        <w:rPr>
          <w:spacing w:val="2"/>
          <w:szCs w:val="20"/>
        </w:rPr>
        <w:t>.s</w:t>
      </w:r>
      <w:r w:rsidRPr="00E04C7B">
        <w:rPr>
          <w:spacing w:val="2"/>
          <w:szCs w:val="20"/>
          <w:vertAlign w:val="superscript"/>
        </w:rPr>
        <w:t>-1</w:t>
      </w:r>
      <w:r w:rsidRPr="00E04C7B">
        <w:rPr>
          <w:spacing w:val="2"/>
          <w:szCs w:val="20"/>
        </w:rPr>
        <w:t xml:space="preserve"> a minimálny denný priemerný prietok v mesiaci november 22,85 m</w:t>
      </w:r>
      <w:r w:rsidRPr="00E04C7B">
        <w:rPr>
          <w:spacing w:val="2"/>
          <w:szCs w:val="20"/>
          <w:vertAlign w:val="superscript"/>
        </w:rPr>
        <w:t>3</w:t>
      </w:r>
      <w:r w:rsidRPr="00E04C7B">
        <w:rPr>
          <w:spacing w:val="2"/>
          <w:szCs w:val="20"/>
        </w:rPr>
        <w:t>.s</w:t>
      </w:r>
      <w:r w:rsidRPr="00E04C7B">
        <w:rPr>
          <w:spacing w:val="2"/>
          <w:szCs w:val="20"/>
          <w:vertAlign w:val="superscript"/>
        </w:rPr>
        <w:t>-1</w:t>
      </w:r>
      <w:r w:rsidRPr="00E04C7B">
        <w:rPr>
          <w:spacing w:val="2"/>
          <w:szCs w:val="20"/>
        </w:rPr>
        <w:t xml:space="preserve">. Za obdobie 1968 – 2018 najvyšší </w:t>
      </w:r>
      <w:r w:rsidRPr="00E04C7B">
        <w:rPr>
          <w:spacing w:val="2"/>
        </w:rPr>
        <w:t>kulminačný prietok dosiahol 96,74 m</w:t>
      </w:r>
      <w:r w:rsidRPr="00E04C7B">
        <w:rPr>
          <w:spacing w:val="2"/>
          <w:vertAlign w:val="superscript"/>
        </w:rPr>
        <w:t>3</w:t>
      </w:r>
      <w:r w:rsidRPr="00E04C7B">
        <w:rPr>
          <w:spacing w:val="2"/>
        </w:rPr>
        <w:t>.s</w:t>
      </w:r>
      <w:r w:rsidRPr="00E04C7B">
        <w:rPr>
          <w:spacing w:val="2"/>
          <w:vertAlign w:val="superscript"/>
        </w:rPr>
        <w:t>-1</w:t>
      </w:r>
      <w:r w:rsidRPr="00E04C7B">
        <w:rPr>
          <w:spacing w:val="2"/>
        </w:rPr>
        <w:t xml:space="preserve"> a najnižší kulminačný prietok 0,03 m</w:t>
      </w:r>
      <w:r w:rsidRPr="00E04C7B">
        <w:rPr>
          <w:spacing w:val="2"/>
          <w:vertAlign w:val="superscript"/>
        </w:rPr>
        <w:t>3</w:t>
      </w:r>
      <w:r w:rsidRPr="00E04C7B">
        <w:rPr>
          <w:spacing w:val="2"/>
        </w:rPr>
        <w:t>.s</w:t>
      </w:r>
      <w:r w:rsidRPr="00E04C7B">
        <w:rPr>
          <w:spacing w:val="2"/>
          <w:vertAlign w:val="superscript"/>
        </w:rPr>
        <w:t>-1</w:t>
      </w:r>
      <w:r w:rsidRPr="00E04C7B">
        <w:rPr>
          <w:spacing w:val="2"/>
        </w:rPr>
        <w:t>.</w:t>
      </w:r>
    </w:p>
    <w:p w14:paraId="46E62FF7" w14:textId="18967340" w:rsidR="00F56995" w:rsidRPr="005145B5" w:rsidRDefault="00F56995" w:rsidP="00624198">
      <w:pPr>
        <w:pStyle w:val="poznmka"/>
        <w:rPr>
          <w:rFonts w:cs="Arial"/>
          <w:bCs/>
          <w:i/>
          <w:szCs w:val="18"/>
          <w:lang w:val="sk-SK"/>
        </w:rPr>
      </w:pPr>
      <w:r w:rsidRPr="005145B5">
        <w:rPr>
          <w:rFonts w:cs="Arial"/>
          <w:bCs/>
          <w:i/>
          <w:szCs w:val="18"/>
          <w:lang w:val="sk-SK"/>
        </w:rPr>
        <w:t xml:space="preserve">Tab. </w:t>
      </w:r>
      <w:r w:rsidR="00624198" w:rsidRPr="005145B5">
        <w:rPr>
          <w:rFonts w:cs="Arial"/>
          <w:bCs/>
          <w:i/>
          <w:szCs w:val="18"/>
          <w:lang w:val="sk-SK"/>
        </w:rPr>
        <w:t>č. III.1.8</w:t>
      </w:r>
      <w:r w:rsidRPr="005145B5">
        <w:rPr>
          <w:rFonts w:cs="Arial"/>
          <w:bCs/>
          <w:i/>
          <w:szCs w:val="18"/>
          <w:lang w:val="sk-SK"/>
        </w:rPr>
        <w:t>: Zoznam vodomerných staníc riešeného územia</w:t>
      </w:r>
    </w:p>
    <w:tbl>
      <w:tblPr>
        <w:tblW w:w="9573" w:type="dxa"/>
        <w:tblInd w:w="57" w:type="dxa"/>
        <w:tblCellMar>
          <w:left w:w="70" w:type="dxa"/>
          <w:right w:w="70" w:type="dxa"/>
        </w:tblCellMar>
        <w:tblLook w:val="04A0" w:firstRow="1" w:lastRow="0" w:firstColumn="1" w:lastColumn="0" w:noHBand="0" w:noVBand="1"/>
      </w:tblPr>
      <w:tblGrid>
        <w:gridCol w:w="1147"/>
        <w:gridCol w:w="1642"/>
        <w:gridCol w:w="1777"/>
        <w:gridCol w:w="1153"/>
        <w:gridCol w:w="1571"/>
        <w:gridCol w:w="2283"/>
      </w:tblGrid>
      <w:tr w:rsidR="00E04C7B" w:rsidRPr="003152FD" w14:paraId="3DB70559" w14:textId="77777777" w:rsidTr="00F56995">
        <w:trPr>
          <w:trHeight w:val="118"/>
        </w:trPr>
        <w:tc>
          <w:tcPr>
            <w:tcW w:w="1147" w:type="dxa"/>
            <w:tcBorders>
              <w:top w:val="single" w:sz="4" w:space="0" w:color="auto"/>
              <w:left w:val="single" w:sz="4" w:space="0" w:color="auto"/>
              <w:bottom w:val="single" w:sz="4" w:space="0" w:color="auto"/>
              <w:right w:val="single" w:sz="4" w:space="0" w:color="auto"/>
            </w:tcBorders>
            <w:noWrap/>
            <w:vAlign w:val="bottom"/>
            <w:hideMark/>
          </w:tcPr>
          <w:p w14:paraId="07CAE09D" w14:textId="77777777" w:rsidR="00F56995" w:rsidRPr="003152FD" w:rsidRDefault="00F56995">
            <w:pPr>
              <w:jc w:val="center"/>
              <w:rPr>
                <w:rFonts w:ascii="Arial" w:hAnsi="Arial" w:cs="Arial"/>
                <w:sz w:val="18"/>
                <w:szCs w:val="18"/>
              </w:rPr>
            </w:pPr>
            <w:r w:rsidRPr="003152FD">
              <w:rPr>
                <w:rFonts w:ascii="Arial" w:hAnsi="Arial" w:cs="Arial"/>
                <w:sz w:val="18"/>
                <w:szCs w:val="18"/>
              </w:rPr>
              <w:t xml:space="preserve">Tok </w:t>
            </w:r>
          </w:p>
        </w:tc>
        <w:tc>
          <w:tcPr>
            <w:tcW w:w="1642" w:type="dxa"/>
            <w:tcBorders>
              <w:top w:val="single" w:sz="4" w:space="0" w:color="auto"/>
              <w:left w:val="nil"/>
              <w:bottom w:val="single" w:sz="4" w:space="0" w:color="auto"/>
              <w:right w:val="single" w:sz="4" w:space="0" w:color="auto"/>
            </w:tcBorders>
            <w:noWrap/>
            <w:vAlign w:val="bottom"/>
            <w:hideMark/>
          </w:tcPr>
          <w:p w14:paraId="0D179E43" w14:textId="77777777" w:rsidR="00F56995" w:rsidRPr="003152FD" w:rsidRDefault="00F56995">
            <w:pPr>
              <w:jc w:val="center"/>
              <w:rPr>
                <w:rFonts w:ascii="Arial" w:hAnsi="Arial" w:cs="Arial"/>
                <w:sz w:val="18"/>
                <w:szCs w:val="18"/>
              </w:rPr>
            </w:pPr>
            <w:r w:rsidRPr="003152FD">
              <w:rPr>
                <w:rFonts w:ascii="Arial" w:hAnsi="Arial" w:cs="Arial"/>
                <w:sz w:val="18"/>
                <w:szCs w:val="18"/>
              </w:rPr>
              <w:t xml:space="preserve">Stanica </w:t>
            </w:r>
          </w:p>
        </w:tc>
        <w:tc>
          <w:tcPr>
            <w:tcW w:w="1777" w:type="dxa"/>
            <w:tcBorders>
              <w:top w:val="single" w:sz="4" w:space="0" w:color="auto"/>
              <w:left w:val="nil"/>
              <w:bottom w:val="single" w:sz="4" w:space="0" w:color="auto"/>
              <w:right w:val="single" w:sz="4" w:space="0" w:color="auto"/>
            </w:tcBorders>
            <w:noWrap/>
            <w:vAlign w:val="bottom"/>
            <w:hideMark/>
          </w:tcPr>
          <w:p w14:paraId="5E1F1ECB" w14:textId="77777777" w:rsidR="00F56995" w:rsidRPr="003152FD" w:rsidRDefault="00F56995">
            <w:pPr>
              <w:jc w:val="center"/>
              <w:rPr>
                <w:rFonts w:ascii="Arial" w:hAnsi="Arial" w:cs="Arial"/>
                <w:sz w:val="18"/>
                <w:szCs w:val="18"/>
              </w:rPr>
            </w:pPr>
            <w:r w:rsidRPr="003152FD">
              <w:rPr>
                <w:rFonts w:ascii="Arial" w:hAnsi="Arial" w:cs="Arial"/>
                <w:sz w:val="18"/>
                <w:szCs w:val="18"/>
              </w:rPr>
              <w:t>Hydrologické číslo</w:t>
            </w:r>
          </w:p>
        </w:tc>
        <w:tc>
          <w:tcPr>
            <w:tcW w:w="1153" w:type="dxa"/>
            <w:tcBorders>
              <w:top w:val="single" w:sz="4" w:space="0" w:color="auto"/>
              <w:left w:val="nil"/>
              <w:bottom w:val="single" w:sz="4" w:space="0" w:color="auto"/>
              <w:right w:val="single" w:sz="4" w:space="0" w:color="auto"/>
            </w:tcBorders>
            <w:noWrap/>
            <w:vAlign w:val="bottom"/>
            <w:hideMark/>
          </w:tcPr>
          <w:p w14:paraId="6AED4343" w14:textId="77777777" w:rsidR="00F56995" w:rsidRPr="003152FD" w:rsidRDefault="00F56995">
            <w:pPr>
              <w:jc w:val="center"/>
              <w:rPr>
                <w:rFonts w:ascii="Arial" w:hAnsi="Arial" w:cs="Arial"/>
                <w:sz w:val="18"/>
                <w:szCs w:val="18"/>
              </w:rPr>
            </w:pPr>
            <w:r w:rsidRPr="003152FD">
              <w:rPr>
                <w:rFonts w:ascii="Arial" w:hAnsi="Arial" w:cs="Arial"/>
                <w:sz w:val="18"/>
                <w:szCs w:val="18"/>
              </w:rPr>
              <w:t>Riečny km</w:t>
            </w:r>
          </w:p>
        </w:tc>
        <w:tc>
          <w:tcPr>
            <w:tcW w:w="1571" w:type="dxa"/>
            <w:tcBorders>
              <w:top w:val="single" w:sz="4" w:space="0" w:color="auto"/>
              <w:left w:val="nil"/>
              <w:bottom w:val="single" w:sz="4" w:space="0" w:color="auto"/>
              <w:right w:val="single" w:sz="4" w:space="0" w:color="auto"/>
            </w:tcBorders>
            <w:noWrap/>
            <w:vAlign w:val="bottom"/>
            <w:hideMark/>
          </w:tcPr>
          <w:p w14:paraId="2B3A424C" w14:textId="77777777" w:rsidR="00F56995" w:rsidRPr="003152FD" w:rsidRDefault="00F56995">
            <w:pPr>
              <w:jc w:val="center"/>
              <w:rPr>
                <w:rFonts w:ascii="Arial" w:hAnsi="Arial" w:cs="Arial"/>
                <w:sz w:val="18"/>
                <w:szCs w:val="18"/>
              </w:rPr>
            </w:pPr>
            <w:r w:rsidRPr="003152FD">
              <w:rPr>
                <w:rFonts w:ascii="Arial" w:hAnsi="Arial" w:cs="Arial"/>
                <w:sz w:val="18"/>
                <w:szCs w:val="18"/>
              </w:rPr>
              <w:t>Plocha povodia</w:t>
            </w:r>
          </w:p>
        </w:tc>
        <w:tc>
          <w:tcPr>
            <w:tcW w:w="2283" w:type="dxa"/>
            <w:tcBorders>
              <w:top w:val="single" w:sz="4" w:space="0" w:color="auto"/>
              <w:left w:val="nil"/>
              <w:bottom w:val="single" w:sz="4" w:space="0" w:color="auto"/>
              <w:right w:val="single" w:sz="4" w:space="0" w:color="auto"/>
            </w:tcBorders>
            <w:noWrap/>
            <w:vAlign w:val="bottom"/>
            <w:hideMark/>
          </w:tcPr>
          <w:p w14:paraId="750E393E" w14:textId="77777777" w:rsidR="00F56995" w:rsidRPr="003152FD" w:rsidRDefault="00F56995">
            <w:pPr>
              <w:jc w:val="center"/>
              <w:rPr>
                <w:rFonts w:ascii="Arial" w:hAnsi="Arial" w:cs="Arial"/>
                <w:sz w:val="18"/>
                <w:szCs w:val="18"/>
              </w:rPr>
            </w:pPr>
            <w:r w:rsidRPr="003152FD">
              <w:rPr>
                <w:rFonts w:ascii="Arial" w:hAnsi="Arial" w:cs="Arial"/>
                <w:sz w:val="18"/>
                <w:szCs w:val="18"/>
              </w:rPr>
              <w:t>Nadm. výška (m n. m.)</w:t>
            </w:r>
          </w:p>
        </w:tc>
      </w:tr>
      <w:tr w:rsidR="00E04C7B" w:rsidRPr="003152FD" w14:paraId="7D9EB734" w14:textId="77777777" w:rsidTr="00F56995">
        <w:trPr>
          <w:trHeight w:val="118"/>
        </w:trPr>
        <w:tc>
          <w:tcPr>
            <w:tcW w:w="1147" w:type="dxa"/>
            <w:tcBorders>
              <w:top w:val="nil"/>
              <w:left w:val="single" w:sz="4" w:space="0" w:color="auto"/>
              <w:bottom w:val="single" w:sz="4" w:space="0" w:color="auto"/>
              <w:right w:val="single" w:sz="4" w:space="0" w:color="auto"/>
            </w:tcBorders>
            <w:noWrap/>
            <w:vAlign w:val="bottom"/>
            <w:hideMark/>
          </w:tcPr>
          <w:p w14:paraId="3154EAB2" w14:textId="77777777" w:rsidR="00F56995" w:rsidRPr="003152FD" w:rsidRDefault="00F56995">
            <w:pPr>
              <w:jc w:val="center"/>
              <w:rPr>
                <w:rFonts w:ascii="Arial" w:hAnsi="Arial" w:cs="Arial"/>
                <w:sz w:val="18"/>
                <w:szCs w:val="18"/>
              </w:rPr>
            </w:pPr>
            <w:r w:rsidRPr="003152FD">
              <w:rPr>
                <w:rFonts w:ascii="Arial" w:hAnsi="Arial" w:cs="Arial"/>
                <w:sz w:val="18"/>
                <w:szCs w:val="18"/>
              </w:rPr>
              <w:t>Malý Dunaj</w:t>
            </w:r>
          </w:p>
        </w:tc>
        <w:tc>
          <w:tcPr>
            <w:tcW w:w="1642" w:type="dxa"/>
            <w:tcBorders>
              <w:top w:val="nil"/>
              <w:left w:val="nil"/>
              <w:bottom w:val="single" w:sz="4" w:space="0" w:color="auto"/>
              <w:right w:val="single" w:sz="4" w:space="0" w:color="auto"/>
            </w:tcBorders>
            <w:noWrap/>
            <w:vAlign w:val="bottom"/>
            <w:hideMark/>
          </w:tcPr>
          <w:p w14:paraId="21BC6D75" w14:textId="77777777" w:rsidR="00F56995" w:rsidRPr="003152FD" w:rsidRDefault="00F56995">
            <w:pPr>
              <w:jc w:val="center"/>
              <w:rPr>
                <w:rFonts w:ascii="Arial" w:hAnsi="Arial" w:cs="Arial"/>
                <w:sz w:val="18"/>
                <w:szCs w:val="18"/>
              </w:rPr>
            </w:pPr>
            <w:r w:rsidRPr="003152FD">
              <w:rPr>
                <w:rFonts w:ascii="Arial" w:hAnsi="Arial" w:cs="Arial"/>
                <w:sz w:val="18"/>
                <w:szCs w:val="18"/>
              </w:rPr>
              <w:t>Malé Pálenisko</w:t>
            </w:r>
          </w:p>
        </w:tc>
        <w:tc>
          <w:tcPr>
            <w:tcW w:w="1777" w:type="dxa"/>
            <w:tcBorders>
              <w:top w:val="nil"/>
              <w:left w:val="nil"/>
              <w:bottom w:val="single" w:sz="4" w:space="0" w:color="auto"/>
              <w:right w:val="single" w:sz="4" w:space="0" w:color="auto"/>
            </w:tcBorders>
            <w:noWrap/>
            <w:vAlign w:val="bottom"/>
            <w:hideMark/>
          </w:tcPr>
          <w:p w14:paraId="54BFDD39" w14:textId="77777777" w:rsidR="00F56995" w:rsidRPr="003152FD" w:rsidRDefault="00F56995">
            <w:pPr>
              <w:jc w:val="center"/>
              <w:rPr>
                <w:rFonts w:ascii="Arial" w:hAnsi="Arial" w:cs="Arial"/>
                <w:sz w:val="18"/>
                <w:szCs w:val="18"/>
              </w:rPr>
            </w:pPr>
            <w:r w:rsidRPr="003152FD">
              <w:rPr>
                <w:rFonts w:ascii="Arial" w:hAnsi="Arial" w:cs="Arial"/>
                <w:sz w:val="18"/>
                <w:szCs w:val="18"/>
              </w:rPr>
              <w:t>4-21-15-001-01</w:t>
            </w:r>
          </w:p>
        </w:tc>
        <w:tc>
          <w:tcPr>
            <w:tcW w:w="1153" w:type="dxa"/>
            <w:tcBorders>
              <w:top w:val="nil"/>
              <w:left w:val="nil"/>
              <w:bottom w:val="single" w:sz="4" w:space="0" w:color="auto"/>
              <w:right w:val="single" w:sz="4" w:space="0" w:color="auto"/>
            </w:tcBorders>
            <w:noWrap/>
            <w:vAlign w:val="bottom"/>
            <w:hideMark/>
          </w:tcPr>
          <w:p w14:paraId="5F96A4A1" w14:textId="77777777" w:rsidR="00F56995" w:rsidRPr="003152FD" w:rsidRDefault="00F56995">
            <w:pPr>
              <w:jc w:val="center"/>
              <w:rPr>
                <w:rFonts w:ascii="Arial" w:hAnsi="Arial" w:cs="Arial"/>
                <w:sz w:val="18"/>
                <w:szCs w:val="18"/>
              </w:rPr>
            </w:pPr>
            <w:r w:rsidRPr="003152FD">
              <w:rPr>
                <w:rFonts w:ascii="Arial" w:hAnsi="Arial" w:cs="Arial"/>
                <w:sz w:val="18"/>
                <w:szCs w:val="18"/>
              </w:rPr>
              <w:t>126,00</w:t>
            </w:r>
          </w:p>
        </w:tc>
        <w:tc>
          <w:tcPr>
            <w:tcW w:w="1571" w:type="dxa"/>
            <w:tcBorders>
              <w:top w:val="nil"/>
              <w:left w:val="nil"/>
              <w:bottom w:val="single" w:sz="4" w:space="0" w:color="auto"/>
              <w:right w:val="single" w:sz="4" w:space="0" w:color="auto"/>
            </w:tcBorders>
            <w:noWrap/>
            <w:vAlign w:val="bottom"/>
            <w:hideMark/>
          </w:tcPr>
          <w:p w14:paraId="313694EC" w14:textId="77777777" w:rsidR="00F56995" w:rsidRPr="003152FD" w:rsidRDefault="00F56995">
            <w:pPr>
              <w:jc w:val="center"/>
              <w:rPr>
                <w:rFonts w:ascii="Arial" w:hAnsi="Arial" w:cs="Arial"/>
                <w:sz w:val="18"/>
                <w:szCs w:val="18"/>
              </w:rPr>
            </w:pPr>
            <w:r w:rsidRPr="003152FD">
              <w:rPr>
                <w:rFonts w:ascii="Arial" w:hAnsi="Arial" w:cs="Arial"/>
                <w:sz w:val="18"/>
                <w:szCs w:val="18"/>
              </w:rPr>
              <w:t>0,10</w:t>
            </w:r>
          </w:p>
        </w:tc>
        <w:tc>
          <w:tcPr>
            <w:tcW w:w="2283" w:type="dxa"/>
            <w:tcBorders>
              <w:top w:val="nil"/>
              <w:left w:val="nil"/>
              <w:bottom w:val="single" w:sz="4" w:space="0" w:color="auto"/>
              <w:right w:val="single" w:sz="4" w:space="0" w:color="auto"/>
            </w:tcBorders>
            <w:noWrap/>
            <w:vAlign w:val="bottom"/>
            <w:hideMark/>
          </w:tcPr>
          <w:p w14:paraId="15FBF2CF" w14:textId="77777777" w:rsidR="00F56995" w:rsidRPr="003152FD" w:rsidRDefault="00F56995">
            <w:pPr>
              <w:jc w:val="center"/>
              <w:rPr>
                <w:rFonts w:ascii="Arial" w:hAnsi="Arial" w:cs="Arial"/>
                <w:sz w:val="18"/>
                <w:szCs w:val="18"/>
              </w:rPr>
            </w:pPr>
            <w:r w:rsidRPr="003152FD">
              <w:rPr>
                <w:rFonts w:ascii="Arial" w:hAnsi="Arial" w:cs="Arial"/>
                <w:sz w:val="18"/>
                <w:szCs w:val="18"/>
              </w:rPr>
              <w:t>126,72</w:t>
            </w:r>
          </w:p>
        </w:tc>
      </w:tr>
    </w:tbl>
    <w:p w14:paraId="5CEC55BF" w14:textId="26E832B6" w:rsidR="00F56995" w:rsidRPr="005145B5" w:rsidRDefault="00F56995" w:rsidP="00624198">
      <w:pPr>
        <w:pStyle w:val="poznmka"/>
        <w:rPr>
          <w:rFonts w:cs="Arial"/>
          <w:bCs/>
          <w:i/>
          <w:szCs w:val="18"/>
          <w:lang w:val="sk-SK"/>
        </w:rPr>
      </w:pPr>
      <w:r w:rsidRPr="005145B5">
        <w:rPr>
          <w:rFonts w:cs="Arial"/>
          <w:bCs/>
          <w:i/>
          <w:szCs w:val="18"/>
          <w:lang w:val="sk-SK"/>
        </w:rPr>
        <w:t>Tab. č</w:t>
      </w:r>
      <w:r w:rsidR="00624198" w:rsidRPr="005145B5">
        <w:rPr>
          <w:rFonts w:cs="Arial"/>
          <w:bCs/>
          <w:i/>
          <w:szCs w:val="18"/>
          <w:lang w:val="sk-SK"/>
        </w:rPr>
        <w:t>. III.1.9</w:t>
      </w:r>
      <w:r w:rsidRPr="005145B5">
        <w:rPr>
          <w:rFonts w:cs="Arial"/>
          <w:bCs/>
          <w:i/>
          <w:szCs w:val="18"/>
          <w:lang w:val="sk-SK"/>
        </w:rPr>
        <w:t>: Priemerné mesačne a extrémne prietoky (m3.s-1)</w:t>
      </w:r>
    </w:p>
    <w:tbl>
      <w:tblPr>
        <w:tblW w:w="9676" w:type="dxa"/>
        <w:tblInd w:w="57" w:type="dxa"/>
        <w:tblCellMar>
          <w:left w:w="70" w:type="dxa"/>
          <w:right w:w="70" w:type="dxa"/>
        </w:tblCellMar>
        <w:tblLook w:val="04A0" w:firstRow="1" w:lastRow="0" w:firstColumn="1" w:lastColumn="0" w:noHBand="0" w:noVBand="1"/>
      </w:tblPr>
      <w:tblGrid>
        <w:gridCol w:w="808"/>
        <w:gridCol w:w="682"/>
        <w:gridCol w:w="682"/>
        <w:gridCol w:w="682"/>
        <w:gridCol w:w="682"/>
        <w:gridCol w:w="682"/>
        <w:gridCol w:w="682"/>
        <w:gridCol w:w="682"/>
        <w:gridCol w:w="682"/>
        <w:gridCol w:w="682"/>
        <w:gridCol w:w="682"/>
        <w:gridCol w:w="682"/>
        <w:gridCol w:w="682"/>
        <w:gridCol w:w="684"/>
      </w:tblGrid>
      <w:tr w:rsidR="00E04C7B" w:rsidRPr="003152FD" w14:paraId="6F28D34D" w14:textId="77777777" w:rsidTr="00F56995">
        <w:trPr>
          <w:trHeight w:val="251"/>
        </w:trPr>
        <w:tc>
          <w:tcPr>
            <w:tcW w:w="808" w:type="dxa"/>
            <w:tcBorders>
              <w:top w:val="single" w:sz="8" w:space="0" w:color="auto"/>
              <w:left w:val="single" w:sz="8" w:space="0" w:color="auto"/>
              <w:bottom w:val="single" w:sz="8" w:space="0" w:color="auto"/>
              <w:right w:val="single" w:sz="8" w:space="0" w:color="auto"/>
            </w:tcBorders>
            <w:noWrap/>
            <w:vAlign w:val="bottom"/>
            <w:hideMark/>
          </w:tcPr>
          <w:p w14:paraId="71A26889" w14:textId="77777777" w:rsidR="00F56995" w:rsidRPr="003152FD" w:rsidRDefault="00F56995">
            <w:pPr>
              <w:rPr>
                <w:rFonts w:ascii="Arial" w:hAnsi="Arial" w:cs="Arial"/>
                <w:sz w:val="18"/>
                <w:szCs w:val="18"/>
              </w:rPr>
            </w:pPr>
            <w:r w:rsidRPr="003152FD">
              <w:rPr>
                <w:rFonts w:ascii="Arial" w:hAnsi="Arial" w:cs="Arial"/>
                <w:sz w:val="18"/>
                <w:szCs w:val="18"/>
              </w:rPr>
              <w:t>Stanica</w:t>
            </w:r>
          </w:p>
        </w:tc>
        <w:tc>
          <w:tcPr>
            <w:tcW w:w="682" w:type="dxa"/>
            <w:tcBorders>
              <w:top w:val="single" w:sz="8" w:space="0" w:color="auto"/>
              <w:left w:val="nil"/>
              <w:bottom w:val="single" w:sz="8" w:space="0" w:color="auto"/>
              <w:right w:val="single" w:sz="8" w:space="0" w:color="auto"/>
            </w:tcBorders>
            <w:noWrap/>
            <w:vAlign w:val="bottom"/>
            <w:hideMark/>
          </w:tcPr>
          <w:p w14:paraId="7E913C0A" w14:textId="77777777" w:rsidR="00F56995" w:rsidRPr="003152FD" w:rsidRDefault="00F56995">
            <w:pPr>
              <w:jc w:val="center"/>
              <w:rPr>
                <w:rFonts w:ascii="Arial" w:hAnsi="Arial" w:cs="Arial"/>
                <w:sz w:val="18"/>
                <w:szCs w:val="18"/>
              </w:rPr>
            </w:pPr>
            <w:r w:rsidRPr="003152FD">
              <w:rPr>
                <w:rFonts w:ascii="Arial" w:hAnsi="Arial" w:cs="Arial"/>
                <w:sz w:val="18"/>
                <w:szCs w:val="18"/>
              </w:rPr>
              <w:t>I</w:t>
            </w:r>
          </w:p>
        </w:tc>
        <w:tc>
          <w:tcPr>
            <w:tcW w:w="682" w:type="dxa"/>
            <w:tcBorders>
              <w:top w:val="single" w:sz="8" w:space="0" w:color="auto"/>
              <w:left w:val="nil"/>
              <w:bottom w:val="single" w:sz="8" w:space="0" w:color="auto"/>
              <w:right w:val="single" w:sz="8" w:space="0" w:color="auto"/>
            </w:tcBorders>
            <w:noWrap/>
            <w:vAlign w:val="bottom"/>
            <w:hideMark/>
          </w:tcPr>
          <w:p w14:paraId="24B9379B" w14:textId="77777777" w:rsidR="00F56995" w:rsidRPr="003152FD" w:rsidRDefault="00F56995">
            <w:pPr>
              <w:jc w:val="center"/>
              <w:rPr>
                <w:rFonts w:ascii="Arial" w:hAnsi="Arial" w:cs="Arial"/>
                <w:sz w:val="18"/>
                <w:szCs w:val="18"/>
              </w:rPr>
            </w:pPr>
            <w:r w:rsidRPr="003152FD">
              <w:rPr>
                <w:rFonts w:ascii="Arial" w:hAnsi="Arial" w:cs="Arial"/>
                <w:sz w:val="18"/>
                <w:szCs w:val="18"/>
              </w:rPr>
              <w:t>II</w:t>
            </w:r>
          </w:p>
        </w:tc>
        <w:tc>
          <w:tcPr>
            <w:tcW w:w="682" w:type="dxa"/>
            <w:tcBorders>
              <w:top w:val="single" w:sz="8" w:space="0" w:color="auto"/>
              <w:left w:val="nil"/>
              <w:bottom w:val="single" w:sz="8" w:space="0" w:color="auto"/>
              <w:right w:val="single" w:sz="8" w:space="0" w:color="auto"/>
            </w:tcBorders>
            <w:noWrap/>
            <w:vAlign w:val="bottom"/>
            <w:hideMark/>
          </w:tcPr>
          <w:p w14:paraId="70970568" w14:textId="77777777" w:rsidR="00F56995" w:rsidRPr="003152FD" w:rsidRDefault="00F56995">
            <w:pPr>
              <w:jc w:val="center"/>
              <w:rPr>
                <w:rFonts w:ascii="Arial" w:hAnsi="Arial" w:cs="Arial"/>
                <w:sz w:val="18"/>
                <w:szCs w:val="18"/>
              </w:rPr>
            </w:pPr>
            <w:r w:rsidRPr="003152FD">
              <w:rPr>
                <w:rFonts w:ascii="Arial" w:hAnsi="Arial" w:cs="Arial"/>
                <w:sz w:val="18"/>
                <w:szCs w:val="18"/>
              </w:rPr>
              <w:t>III</w:t>
            </w:r>
          </w:p>
        </w:tc>
        <w:tc>
          <w:tcPr>
            <w:tcW w:w="682" w:type="dxa"/>
            <w:tcBorders>
              <w:top w:val="single" w:sz="8" w:space="0" w:color="auto"/>
              <w:left w:val="nil"/>
              <w:bottom w:val="single" w:sz="8" w:space="0" w:color="auto"/>
              <w:right w:val="single" w:sz="8" w:space="0" w:color="auto"/>
            </w:tcBorders>
            <w:noWrap/>
            <w:vAlign w:val="bottom"/>
            <w:hideMark/>
          </w:tcPr>
          <w:p w14:paraId="6CB74749" w14:textId="77777777" w:rsidR="00F56995" w:rsidRPr="003152FD" w:rsidRDefault="00F56995">
            <w:pPr>
              <w:jc w:val="center"/>
              <w:rPr>
                <w:rFonts w:ascii="Arial" w:hAnsi="Arial" w:cs="Arial"/>
                <w:sz w:val="18"/>
                <w:szCs w:val="18"/>
              </w:rPr>
            </w:pPr>
            <w:r w:rsidRPr="003152FD">
              <w:rPr>
                <w:rFonts w:ascii="Arial" w:hAnsi="Arial" w:cs="Arial"/>
                <w:sz w:val="18"/>
                <w:szCs w:val="18"/>
              </w:rPr>
              <w:t>IV</w:t>
            </w:r>
          </w:p>
        </w:tc>
        <w:tc>
          <w:tcPr>
            <w:tcW w:w="682" w:type="dxa"/>
            <w:tcBorders>
              <w:top w:val="single" w:sz="8" w:space="0" w:color="auto"/>
              <w:left w:val="nil"/>
              <w:bottom w:val="single" w:sz="8" w:space="0" w:color="auto"/>
              <w:right w:val="single" w:sz="8" w:space="0" w:color="auto"/>
            </w:tcBorders>
            <w:noWrap/>
            <w:vAlign w:val="bottom"/>
            <w:hideMark/>
          </w:tcPr>
          <w:p w14:paraId="4E36B9EC" w14:textId="77777777" w:rsidR="00F56995" w:rsidRPr="003152FD" w:rsidRDefault="00F56995">
            <w:pPr>
              <w:jc w:val="center"/>
              <w:rPr>
                <w:rFonts w:ascii="Arial" w:hAnsi="Arial" w:cs="Arial"/>
                <w:sz w:val="18"/>
                <w:szCs w:val="18"/>
              </w:rPr>
            </w:pPr>
            <w:r w:rsidRPr="003152FD">
              <w:rPr>
                <w:rFonts w:ascii="Arial" w:hAnsi="Arial" w:cs="Arial"/>
                <w:sz w:val="18"/>
                <w:szCs w:val="18"/>
              </w:rPr>
              <w:t>V</w:t>
            </w:r>
          </w:p>
        </w:tc>
        <w:tc>
          <w:tcPr>
            <w:tcW w:w="682" w:type="dxa"/>
            <w:tcBorders>
              <w:top w:val="single" w:sz="8" w:space="0" w:color="auto"/>
              <w:left w:val="nil"/>
              <w:bottom w:val="single" w:sz="8" w:space="0" w:color="auto"/>
              <w:right w:val="single" w:sz="8" w:space="0" w:color="auto"/>
            </w:tcBorders>
            <w:noWrap/>
            <w:vAlign w:val="bottom"/>
            <w:hideMark/>
          </w:tcPr>
          <w:p w14:paraId="24877D0F" w14:textId="77777777" w:rsidR="00F56995" w:rsidRPr="003152FD" w:rsidRDefault="00F56995">
            <w:pPr>
              <w:jc w:val="center"/>
              <w:rPr>
                <w:rFonts w:ascii="Arial" w:hAnsi="Arial" w:cs="Arial"/>
                <w:sz w:val="18"/>
                <w:szCs w:val="18"/>
              </w:rPr>
            </w:pPr>
            <w:r w:rsidRPr="003152FD">
              <w:rPr>
                <w:rFonts w:ascii="Arial" w:hAnsi="Arial" w:cs="Arial"/>
                <w:sz w:val="18"/>
                <w:szCs w:val="18"/>
              </w:rPr>
              <w:t>VI</w:t>
            </w:r>
          </w:p>
        </w:tc>
        <w:tc>
          <w:tcPr>
            <w:tcW w:w="682" w:type="dxa"/>
            <w:tcBorders>
              <w:top w:val="single" w:sz="8" w:space="0" w:color="auto"/>
              <w:left w:val="nil"/>
              <w:bottom w:val="single" w:sz="8" w:space="0" w:color="auto"/>
              <w:right w:val="single" w:sz="8" w:space="0" w:color="auto"/>
            </w:tcBorders>
            <w:noWrap/>
            <w:vAlign w:val="bottom"/>
            <w:hideMark/>
          </w:tcPr>
          <w:p w14:paraId="7CD5789E" w14:textId="77777777" w:rsidR="00F56995" w:rsidRPr="003152FD" w:rsidRDefault="00F56995">
            <w:pPr>
              <w:jc w:val="center"/>
              <w:rPr>
                <w:rFonts w:ascii="Arial" w:hAnsi="Arial" w:cs="Arial"/>
                <w:sz w:val="18"/>
                <w:szCs w:val="18"/>
              </w:rPr>
            </w:pPr>
            <w:r w:rsidRPr="003152FD">
              <w:rPr>
                <w:rFonts w:ascii="Arial" w:hAnsi="Arial" w:cs="Arial"/>
                <w:sz w:val="18"/>
                <w:szCs w:val="18"/>
              </w:rPr>
              <w:t>VII</w:t>
            </w:r>
          </w:p>
        </w:tc>
        <w:tc>
          <w:tcPr>
            <w:tcW w:w="682" w:type="dxa"/>
            <w:tcBorders>
              <w:top w:val="single" w:sz="8" w:space="0" w:color="auto"/>
              <w:left w:val="nil"/>
              <w:bottom w:val="single" w:sz="8" w:space="0" w:color="auto"/>
              <w:right w:val="single" w:sz="8" w:space="0" w:color="auto"/>
            </w:tcBorders>
            <w:noWrap/>
            <w:vAlign w:val="bottom"/>
            <w:hideMark/>
          </w:tcPr>
          <w:p w14:paraId="2481533D" w14:textId="77777777" w:rsidR="00F56995" w:rsidRPr="003152FD" w:rsidRDefault="00F56995">
            <w:pPr>
              <w:jc w:val="center"/>
              <w:rPr>
                <w:rFonts w:ascii="Arial" w:hAnsi="Arial" w:cs="Arial"/>
                <w:sz w:val="18"/>
                <w:szCs w:val="18"/>
              </w:rPr>
            </w:pPr>
            <w:r w:rsidRPr="003152FD">
              <w:rPr>
                <w:rFonts w:ascii="Arial" w:hAnsi="Arial" w:cs="Arial"/>
                <w:sz w:val="18"/>
                <w:szCs w:val="18"/>
              </w:rPr>
              <w:t>VIII</w:t>
            </w:r>
          </w:p>
        </w:tc>
        <w:tc>
          <w:tcPr>
            <w:tcW w:w="682" w:type="dxa"/>
            <w:tcBorders>
              <w:top w:val="single" w:sz="8" w:space="0" w:color="auto"/>
              <w:left w:val="nil"/>
              <w:bottom w:val="single" w:sz="8" w:space="0" w:color="auto"/>
              <w:right w:val="single" w:sz="8" w:space="0" w:color="auto"/>
            </w:tcBorders>
            <w:noWrap/>
            <w:vAlign w:val="bottom"/>
            <w:hideMark/>
          </w:tcPr>
          <w:p w14:paraId="10631F28" w14:textId="77777777" w:rsidR="00F56995" w:rsidRPr="003152FD" w:rsidRDefault="00F56995">
            <w:pPr>
              <w:jc w:val="center"/>
              <w:rPr>
                <w:rFonts w:ascii="Arial" w:hAnsi="Arial" w:cs="Arial"/>
                <w:sz w:val="18"/>
                <w:szCs w:val="18"/>
              </w:rPr>
            </w:pPr>
            <w:r w:rsidRPr="003152FD">
              <w:rPr>
                <w:rFonts w:ascii="Arial" w:hAnsi="Arial" w:cs="Arial"/>
                <w:sz w:val="18"/>
                <w:szCs w:val="18"/>
              </w:rPr>
              <w:t>IX</w:t>
            </w:r>
          </w:p>
        </w:tc>
        <w:tc>
          <w:tcPr>
            <w:tcW w:w="682" w:type="dxa"/>
            <w:tcBorders>
              <w:top w:val="single" w:sz="8" w:space="0" w:color="auto"/>
              <w:left w:val="nil"/>
              <w:bottom w:val="single" w:sz="8" w:space="0" w:color="auto"/>
              <w:right w:val="single" w:sz="8" w:space="0" w:color="auto"/>
            </w:tcBorders>
            <w:noWrap/>
            <w:vAlign w:val="bottom"/>
            <w:hideMark/>
          </w:tcPr>
          <w:p w14:paraId="45AF0CC2" w14:textId="77777777" w:rsidR="00F56995" w:rsidRPr="003152FD" w:rsidRDefault="00F56995">
            <w:pPr>
              <w:jc w:val="center"/>
              <w:rPr>
                <w:rFonts w:ascii="Arial" w:hAnsi="Arial" w:cs="Arial"/>
                <w:sz w:val="18"/>
                <w:szCs w:val="18"/>
              </w:rPr>
            </w:pPr>
            <w:r w:rsidRPr="003152FD">
              <w:rPr>
                <w:rFonts w:ascii="Arial" w:hAnsi="Arial" w:cs="Arial"/>
                <w:sz w:val="18"/>
                <w:szCs w:val="18"/>
              </w:rPr>
              <w:t>X</w:t>
            </w:r>
          </w:p>
        </w:tc>
        <w:tc>
          <w:tcPr>
            <w:tcW w:w="682" w:type="dxa"/>
            <w:tcBorders>
              <w:top w:val="single" w:sz="8" w:space="0" w:color="auto"/>
              <w:left w:val="nil"/>
              <w:bottom w:val="single" w:sz="8" w:space="0" w:color="auto"/>
              <w:right w:val="single" w:sz="8" w:space="0" w:color="auto"/>
            </w:tcBorders>
            <w:noWrap/>
            <w:vAlign w:val="bottom"/>
            <w:hideMark/>
          </w:tcPr>
          <w:p w14:paraId="67895666" w14:textId="77777777" w:rsidR="00F56995" w:rsidRPr="003152FD" w:rsidRDefault="00F56995">
            <w:pPr>
              <w:jc w:val="center"/>
              <w:rPr>
                <w:rFonts w:ascii="Arial" w:hAnsi="Arial" w:cs="Arial"/>
                <w:sz w:val="18"/>
                <w:szCs w:val="18"/>
              </w:rPr>
            </w:pPr>
            <w:r w:rsidRPr="003152FD">
              <w:rPr>
                <w:rFonts w:ascii="Arial" w:hAnsi="Arial" w:cs="Arial"/>
                <w:sz w:val="18"/>
                <w:szCs w:val="18"/>
              </w:rPr>
              <w:t>XI</w:t>
            </w:r>
          </w:p>
        </w:tc>
        <w:tc>
          <w:tcPr>
            <w:tcW w:w="682" w:type="dxa"/>
            <w:tcBorders>
              <w:top w:val="single" w:sz="8" w:space="0" w:color="auto"/>
              <w:left w:val="nil"/>
              <w:bottom w:val="single" w:sz="8" w:space="0" w:color="auto"/>
              <w:right w:val="single" w:sz="8" w:space="0" w:color="auto"/>
            </w:tcBorders>
            <w:noWrap/>
            <w:vAlign w:val="bottom"/>
            <w:hideMark/>
          </w:tcPr>
          <w:p w14:paraId="1AC484C9" w14:textId="77777777" w:rsidR="00F56995" w:rsidRPr="003152FD" w:rsidRDefault="00F56995">
            <w:pPr>
              <w:jc w:val="center"/>
              <w:rPr>
                <w:rFonts w:ascii="Arial" w:hAnsi="Arial" w:cs="Arial"/>
                <w:sz w:val="18"/>
                <w:szCs w:val="18"/>
              </w:rPr>
            </w:pPr>
            <w:r w:rsidRPr="003152FD">
              <w:rPr>
                <w:rFonts w:ascii="Arial" w:hAnsi="Arial" w:cs="Arial"/>
                <w:sz w:val="18"/>
                <w:szCs w:val="18"/>
              </w:rPr>
              <w:t>XII</w:t>
            </w:r>
          </w:p>
        </w:tc>
        <w:tc>
          <w:tcPr>
            <w:tcW w:w="684" w:type="dxa"/>
            <w:tcBorders>
              <w:top w:val="single" w:sz="8" w:space="0" w:color="auto"/>
              <w:left w:val="nil"/>
              <w:bottom w:val="single" w:sz="8" w:space="0" w:color="auto"/>
              <w:right w:val="single" w:sz="8" w:space="0" w:color="auto"/>
            </w:tcBorders>
            <w:noWrap/>
            <w:vAlign w:val="bottom"/>
            <w:hideMark/>
          </w:tcPr>
          <w:p w14:paraId="0026E4EC" w14:textId="77777777" w:rsidR="00F56995" w:rsidRPr="003152FD" w:rsidRDefault="00F56995">
            <w:pPr>
              <w:jc w:val="center"/>
              <w:rPr>
                <w:rFonts w:ascii="Arial" w:hAnsi="Arial" w:cs="Arial"/>
                <w:sz w:val="18"/>
                <w:szCs w:val="18"/>
              </w:rPr>
            </w:pPr>
            <w:r w:rsidRPr="003152FD">
              <w:rPr>
                <w:rFonts w:ascii="Arial" w:hAnsi="Arial" w:cs="Arial"/>
                <w:sz w:val="18"/>
                <w:szCs w:val="18"/>
              </w:rPr>
              <w:t>Rok</w:t>
            </w:r>
          </w:p>
        </w:tc>
      </w:tr>
      <w:tr w:rsidR="00E04C7B" w:rsidRPr="003152FD" w14:paraId="6BB694DD" w14:textId="77777777" w:rsidTr="00F56995">
        <w:trPr>
          <w:trHeight w:val="251"/>
        </w:trPr>
        <w:tc>
          <w:tcPr>
            <w:tcW w:w="9676" w:type="dxa"/>
            <w:gridSpan w:val="14"/>
            <w:tcBorders>
              <w:top w:val="single" w:sz="8" w:space="0" w:color="auto"/>
              <w:left w:val="single" w:sz="8" w:space="0" w:color="auto"/>
              <w:bottom w:val="single" w:sz="8" w:space="0" w:color="auto"/>
              <w:right w:val="single" w:sz="8" w:space="0" w:color="000000"/>
            </w:tcBorders>
            <w:noWrap/>
            <w:vAlign w:val="bottom"/>
            <w:hideMark/>
          </w:tcPr>
          <w:p w14:paraId="0C3F1934" w14:textId="77777777" w:rsidR="00F56995" w:rsidRPr="003152FD" w:rsidRDefault="00F56995">
            <w:pPr>
              <w:rPr>
                <w:rFonts w:ascii="Arial" w:hAnsi="Arial" w:cs="Arial"/>
                <w:sz w:val="18"/>
                <w:szCs w:val="18"/>
              </w:rPr>
            </w:pPr>
            <w:r w:rsidRPr="003152FD">
              <w:rPr>
                <w:rFonts w:ascii="Arial" w:hAnsi="Arial" w:cs="Arial"/>
                <w:sz w:val="18"/>
                <w:szCs w:val="18"/>
              </w:rPr>
              <w:t>Tok: Malý Dunaj                      Stanica: Malé Pálenisko                               riečny kilometer: 126,00</w:t>
            </w:r>
          </w:p>
        </w:tc>
      </w:tr>
      <w:tr w:rsidR="00E04C7B" w:rsidRPr="003152FD" w14:paraId="4A2CFD03" w14:textId="77777777" w:rsidTr="00F56995">
        <w:trPr>
          <w:trHeight w:val="251"/>
        </w:trPr>
        <w:tc>
          <w:tcPr>
            <w:tcW w:w="808" w:type="dxa"/>
            <w:tcBorders>
              <w:top w:val="nil"/>
              <w:left w:val="single" w:sz="8" w:space="0" w:color="auto"/>
              <w:bottom w:val="single" w:sz="8" w:space="0" w:color="auto"/>
              <w:right w:val="single" w:sz="8" w:space="0" w:color="auto"/>
            </w:tcBorders>
            <w:noWrap/>
            <w:vAlign w:val="bottom"/>
            <w:hideMark/>
          </w:tcPr>
          <w:p w14:paraId="5679CC3C" w14:textId="77777777" w:rsidR="00F56995" w:rsidRPr="003152FD" w:rsidRDefault="00F56995">
            <w:pPr>
              <w:rPr>
                <w:rFonts w:ascii="Arial" w:hAnsi="Arial" w:cs="Arial"/>
                <w:sz w:val="18"/>
                <w:szCs w:val="18"/>
              </w:rPr>
            </w:pPr>
            <w:r w:rsidRPr="003152FD">
              <w:rPr>
                <w:rFonts w:ascii="Arial" w:hAnsi="Arial" w:cs="Arial"/>
                <w:sz w:val="18"/>
                <w:szCs w:val="18"/>
              </w:rPr>
              <w:t>Qm</w:t>
            </w:r>
          </w:p>
        </w:tc>
        <w:tc>
          <w:tcPr>
            <w:tcW w:w="682" w:type="dxa"/>
            <w:tcBorders>
              <w:top w:val="nil"/>
              <w:left w:val="nil"/>
              <w:bottom w:val="single" w:sz="8" w:space="0" w:color="auto"/>
              <w:right w:val="single" w:sz="8" w:space="0" w:color="auto"/>
            </w:tcBorders>
            <w:noWrap/>
            <w:vAlign w:val="bottom"/>
            <w:hideMark/>
          </w:tcPr>
          <w:p w14:paraId="199CEDA5" w14:textId="77777777" w:rsidR="00F56995" w:rsidRPr="003152FD" w:rsidRDefault="00F56995">
            <w:pPr>
              <w:jc w:val="center"/>
              <w:rPr>
                <w:rFonts w:ascii="Arial" w:hAnsi="Arial" w:cs="Arial"/>
                <w:sz w:val="18"/>
                <w:szCs w:val="18"/>
              </w:rPr>
            </w:pPr>
            <w:r w:rsidRPr="003152FD">
              <w:rPr>
                <w:rFonts w:ascii="Arial" w:hAnsi="Arial" w:cs="Arial"/>
                <w:sz w:val="18"/>
                <w:szCs w:val="18"/>
              </w:rPr>
              <w:t>28,32</w:t>
            </w:r>
          </w:p>
        </w:tc>
        <w:tc>
          <w:tcPr>
            <w:tcW w:w="682" w:type="dxa"/>
            <w:tcBorders>
              <w:top w:val="nil"/>
              <w:left w:val="nil"/>
              <w:bottom w:val="single" w:sz="8" w:space="0" w:color="auto"/>
              <w:right w:val="single" w:sz="8" w:space="0" w:color="auto"/>
            </w:tcBorders>
            <w:noWrap/>
            <w:vAlign w:val="bottom"/>
            <w:hideMark/>
          </w:tcPr>
          <w:p w14:paraId="3455903C" w14:textId="77777777" w:rsidR="00F56995" w:rsidRPr="003152FD" w:rsidRDefault="00F56995">
            <w:pPr>
              <w:jc w:val="center"/>
              <w:rPr>
                <w:rFonts w:ascii="Arial" w:hAnsi="Arial" w:cs="Arial"/>
                <w:sz w:val="18"/>
                <w:szCs w:val="18"/>
              </w:rPr>
            </w:pPr>
            <w:r w:rsidRPr="003152FD">
              <w:rPr>
                <w:rFonts w:ascii="Arial" w:hAnsi="Arial" w:cs="Arial"/>
                <w:sz w:val="18"/>
                <w:szCs w:val="18"/>
              </w:rPr>
              <w:t>27,27</w:t>
            </w:r>
          </w:p>
        </w:tc>
        <w:tc>
          <w:tcPr>
            <w:tcW w:w="682" w:type="dxa"/>
            <w:tcBorders>
              <w:top w:val="nil"/>
              <w:left w:val="nil"/>
              <w:bottom w:val="single" w:sz="8" w:space="0" w:color="auto"/>
              <w:right w:val="single" w:sz="8" w:space="0" w:color="auto"/>
            </w:tcBorders>
            <w:noWrap/>
            <w:vAlign w:val="bottom"/>
            <w:hideMark/>
          </w:tcPr>
          <w:p w14:paraId="518B179A" w14:textId="77777777" w:rsidR="00F56995" w:rsidRPr="003152FD" w:rsidRDefault="00F56995">
            <w:pPr>
              <w:jc w:val="center"/>
              <w:rPr>
                <w:rFonts w:ascii="Arial" w:hAnsi="Arial" w:cs="Arial"/>
                <w:sz w:val="18"/>
                <w:szCs w:val="18"/>
              </w:rPr>
            </w:pPr>
            <w:r w:rsidRPr="003152FD">
              <w:rPr>
                <w:rFonts w:ascii="Arial" w:hAnsi="Arial" w:cs="Arial"/>
                <w:sz w:val="18"/>
                <w:szCs w:val="18"/>
              </w:rPr>
              <w:t>28,24</w:t>
            </w:r>
          </w:p>
        </w:tc>
        <w:tc>
          <w:tcPr>
            <w:tcW w:w="682" w:type="dxa"/>
            <w:tcBorders>
              <w:top w:val="nil"/>
              <w:left w:val="nil"/>
              <w:bottom w:val="single" w:sz="8" w:space="0" w:color="auto"/>
              <w:right w:val="single" w:sz="8" w:space="0" w:color="auto"/>
            </w:tcBorders>
            <w:noWrap/>
            <w:vAlign w:val="bottom"/>
            <w:hideMark/>
          </w:tcPr>
          <w:p w14:paraId="60154590" w14:textId="77777777" w:rsidR="00F56995" w:rsidRPr="003152FD" w:rsidRDefault="00F56995">
            <w:pPr>
              <w:jc w:val="center"/>
              <w:rPr>
                <w:rFonts w:ascii="Arial" w:hAnsi="Arial" w:cs="Arial"/>
                <w:sz w:val="18"/>
                <w:szCs w:val="18"/>
              </w:rPr>
            </w:pPr>
            <w:r w:rsidRPr="003152FD">
              <w:rPr>
                <w:rFonts w:ascii="Arial" w:hAnsi="Arial" w:cs="Arial"/>
                <w:sz w:val="18"/>
                <w:szCs w:val="18"/>
              </w:rPr>
              <w:t>28,50</w:t>
            </w:r>
          </w:p>
        </w:tc>
        <w:tc>
          <w:tcPr>
            <w:tcW w:w="682" w:type="dxa"/>
            <w:tcBorders>
              <w:top w:val="nil"/>
              <w:left w:val="nil"/>
              <w:bottom w:val="single" w:sz="8" w:space="0" w:color="auto"/>
              <w:right w:val="single" w:sz="8" w:space="0" w:color="auto"/>
            </w:tcBorders>
            <w:noWrap/>
            <w:vAlign w:val="bottom"/>
            <w:hideMark/>
          </w:tcPr>
          <w:p w14:paraId="2B1A7E41" w14:textId="77777777" w:rsidR="00F56995" w:rsidRPr="003152FD" w:rsidRDefault="00F56995">
            <w:pPr>
              <w:jc w:val="center"/>
              <w:rPr>
                <w:rFonts w:ascii="Arial" w:hAnsi="Arial" w:cs="Arial"/>
                <w:sz w:val="18"/>
                <w:szCs w:val="18"/>
              </w:rPr>
            </w:pPr>
            <w:r w:rsidRPr="003152FD">
              <w:rPr>
                <w:rFonts w:ascii="Arial" w:hAnsi="Arial" w:cs="Arial"/>
                <w:sz w:val="18"/>
                <w:szCs w:val="18"/>
              </w:rPr>
              <w:t>28,32</w:t>
            </w:r>
          </w:p>
        </w:tc>
        <w:tc>
          <w:tcPr>
            <w:tcW w:w="682" w:type="dxa"/>
            <w:tcBorders>
              <w:top w:val="nil"/>
              <w:left w:val="nil"/>
              <w:bottom w:val="single" w:sz="8" w:space="0" w:color="auto"/>
              <w:right w:val="single" w:sz="8" w:space="0" w:color="auto"/>
            </w:tcBorders>
            <w:noWrap/>
            <w:vAlign w:val="bottom"/>
            <w:hideMark/>
          </w:tcPr>
          <w:p w14:paraId="326A4E65" w14:textId="77777777" w:rsidR="00F56995" w:rsidRPr="003152FD" w:rsidRDefault="00F56995">
            <w:pPr>
              <w:jc w:val="center"/>
              <w:rPr>
                <w:rFonts w:ascii="Arial" w:hAnsi="Arial" w:cs="Arial"/>
                <w:sz w:val="18"/>
                <w:szCs w:val="18"/>
              </w:rPr>
            </w:pPr>
            <w:r w:rsidRPr="003152FD">
              <w:rPr>
                <w:rFonts w:ascii="Arial" w:hAnsi="Arial" w:cs="Arial"/>
                <w:sz w:val="18"/>
                <w:szCs w:val="18"/>
              </w:rPr>
              <w:t>29,07</w:t>
            </w:r>
          </w:p>
        </w:tc>
        <w:tc>
          <w:tcPr>
            <w:tcW w:w="682" w:type="dxa"/>
            <w:tcBorders>
              <w:top w:val="nil"/>
              <w:left w:val="nil"/>
              <w:bottom w:val="single" w:sz="8" w:space="0" w:color="auto"/>
              <w:right w:val="single" w:sz="8" w:space="0" w:color="auto"/>
            </w:tcBorders>
            <w:noWrap/>
            <w:vAlign w:val="bottom"/>
            <w:hideMark/>
          </w:tcPr>
          <w:p w14:paraId="334E36CF" w14:textId="77777777" w:rsidR="00F56995" w:rsidRPr="003152FD" w:rsidRDefault="00F56995">
            <w:pPr>
              <w:jc w:val="center"/>
              <w:rPr>
                <w:rFonts w:ascii="Arial" w:hAnsi="Arial" w:cs="Arial"/>
                <w:sz w:val="18"/>
                <w:szCs w:val="18"/>
              </w:rPr>
            </w:pPr>
            <w:r w:rsidRPr="003152FD">
              <w:rPr>
                <w:rFonts w:ascii="Arial" w:hAnsi="Arial" w:cs="Arial"/>
                <w:sz w:val="18"/>
                <w:szCs w:val="18"/>
              </w:rPr>
              <w:t>29,76</w:t>
            </w:r>
          </w:p>
        </w:tc>
        <w:tc>
          <w:tcPr>
            <w:tcW w:w="682" w:type="dxa"/>
            <w:tcBorders>
              <w:top w:val="nil"/>
              <w:left w:val="nil"/>
              <w:bottom w:val="single" w:sz="8" w:space="0" w:color="auto"/>
              <w:right w:val="single" w:sz="8" w:space="0" w:color="auto"/>
            </w:tcBorders>
            <w:noWrap/>
            <w:vAlign w:val="bottom"/>
            <w:hideMark/>
          </w:tcPr>
          <w:p w14:paraId="5A996CED" w14:textId="77777777" w:rsidR="00F56995" w:rsidRPr="003152FD" w:rsidRDefault="00F56995">
            <w:pPr>
              <w:jc w:val="center"/>
              <w:rPr>
                <w:rFonts w:ascii="Arial" w:hAnsi="Arial" w:cs="Arial"/>
                <w:sz w:val="18"/>
                <w:szCs w:val="18"/>
              </w:rPr>
            </w:pPr>
            <w:r w:rsidRPr="003152FD">
              <w:rPr>
                <w:rFonts w:ascii="Arial" w:hAnsi="Arial" w:cs="Arial"/>
                <w:sz w:val="18"/>
                <w:szCs w:val="18"/>
              </w:rPr>
              <w:t>30,30</w:t>
            </w:r>
          </w:p>
        </w:tc>
        <w:tc>
          <w:tcPr>
            <w:tcW w:w="682" w:type="dxa"/>
            <w:tcBorders>
              <w:top w:val="nil"/>
              <w:left w:val="nil"/>
              <w:bottom w:val="single" w:sz="8" w:space="0" w:color="auto"/>
              <w:right w:val="single" w:sz="8" w:space="0" w:color="auto"/>
            </w:tcBorders>
            <w:noWrap/>
            <w:vAlign w:val="bottom"/>
            <w:hideMark/>
          </w:tcPr>
          <w:p w14:paraId="4AF4B61C" w14:textId="77777777" w:rsidR="00F56995" w:rsidRPr="003152FD" w:rsidRDefault="00F56995">
            <w:pPr>
              <w:jc w:val="center"/>
              <w:rPr>
                <w:rFonts w:ascii="Arial" w:hAnsi="Arial" w:cs="Arial"/>
                <w:sz w:val="18"/>
                <w:szCs w:val="18"/>
              </w:rPr>
            </w:pPr>
            <w:r w:rsidRPr="003152FD">
              <w:rPr>
                <w:rFonts w:ascii="Arial" w:hAnsi="Arial" w:cs="Arial"/>
                <w:sz w:val="18"/>
                <w:szCs w:val="18"/>
              </w:rPr>
              <w:t>30,41</w:t>
            </w:r>
          </w:p>
        </w:tc>
        <w:tc>
          <w:tcPr>
            <w:tcW w:w="682" w:type="dxa"/>
            <w:tcBorders>
              <w:top w:val="nil"/>
              <w:left w:val="nil"/>
              <w:bottom w:val="single" w:sz="8" w:space="0" w:color="auto"/>
              <w:right w:val="single" w:sz="8" w:space="0" w:color="auto"/>
            </w:tcBorders>
            <w:noWrap/>
            <w:vAlign w:val="bottom"/>
            <w:hideMark/>
          </w:tcPr>
          <w:p w14:paraId="28FB2D3C" w14:textId="77777777" w:rsidR="00F56995" w:rsidRPr="003152FD" w:rsidRDefault="00F56995">
            <w:pPr>
              <w:jc w:val="center"/>
              <w:rPr>
                <w:rFonts w:ascii="Arial" w:hAnsi="Arial" w:cs="Arial"/>
                <w:sz w:val="18"/>
                <w:szCs w:val="18"/>
              </w:rPr>
            </w:pPr>
            <w:r w:rsidRPr="003152FD">
              <w:rPr>
                <w:rFonts w:ascii="Arial" w:hAnsi="Arial" w:cs="Arial"/>
                <w:sz w:val="18"/>
                <w:szCs w:val="18"/>
              </w:rPr>
              <w:t>29,72</w:t>
            </w:r>
          </w:p>
        </w:tc>
        <w:tc>
          <w:tcPr>
            <w:tcW w:w="682" w:type="dxa"/>
            <w:tcBorders>
              <w:top w:val="nil"/>
              <w:left w:val="nil"/>
              <w:bottom w:val="single" w:sz="8" w:space="0" w:color="auto"/>
              <w:right w:val="single" w:sz="8" w:space="0" w:color="auto"/>
            </w:tcBorders>
            <w:noWrap/>
            <w:vAlign w:val="bottom"/>
            <w:hideMark/>
          </w:tcPr>
          <w:p w14:paraId="47032133" w14:textId="77777777" w:rsidR="00F56995" w:rsidRPr="003152FD" w:rsidRDefault="00F56995">
            <w:pPr>
              <w:jc w:val="center"/>
              <w:rPr>
                <w:rFonts w:ascii="Arial" w:hAnsi="Arial" w:cs="Arial"/>
                <w:sz w:val="18"/>
                <w:szCs w:val="18"/>
              </w:rPr>
            </w:pPr>
            <w:r w:rsidRPr="003152FD">
              <w:rPr>
                <w:rFonts w:ascii="Arial" w:hAnsi="Arial" w:cs="Arial"/>
                <w:sz w:val="18"/>
                <w:szCs w:val="18"/>
              </w:rPr>
              <w:t>28,52</w:t>
            </w:r>
          </w:p>
        </w:tc>
        <w:tc>
          <w:tcPr>
            <w:tcW w:w="682" w:type="dxa"/>
            <w:tcBorders>
              <w:top w:val="nil"/>
              <w:left w:val="nil"/>
              <w:bottom w:val="single" w:sz="8" w:space="0" w:color="auto"/>
              <w:right w:val="single" w:sz="8" w:space="0" w:color="auto"/>
            </w:tcBorders>
            <w:noWrap/>
            <w:vAlign w:val="bottom"/>
            <w:hideMark/>
          </w:tcPr>
          <w:p w14:paraId="5E1D8987" w14:textId="77777777" w:rsidR="00F56995" w:rsidRPr="003152FD" w:rsidRDefault="00F56995">
            <w:pPr>
              <w:jc w:val="center"/>
              <w:rPr>
                <w:rFonts w:ascii="Arial" w:hAnsi="Arial" w:cs="Arial"/>
                <w:sz w:val="18"/>
                <w:szCs w:val="18"/>
              </w:rPr>
            </w:pPr>
            <w:r w:rsidRPr="003152FD">
              <w:rPr>
                <w:rFonts w:ascii="Arial" w:hAnsi="Arial" w:cs="Arial"/>
                <w:sz w:val="18"/>
                <w:szCs w:val="18"/>
              </w:rPr>
              <w:t>28,03</w:t>
            </w:r>
          </w:p>
        </w:tc>
        <w:tc>
          <w:tcPr>
            <w:tcW w:w="684" w:type="dxa"/>
            <w:tcBorders>
              <w:top w:val="nil"/>
              <w:left w:val="nil"/>
              <w:bottom w:val="single" w:sz="8" w:space="0" w:color="auto"/>
              <w:right w:val="single" w:sz="8" w:space="0" w:color="auto"/>
            </w:tcBorders>
            <w:noWrap/>
            <w:vAlign w:val="bottom"/>
            <w:hideMark/>
          </w:tcPr>
          <w:p w14:paraId="2E31DE61" w14:textId="77777777" w:rsidR="00F56995" w:rsidRPr="003152FD" w:rsidRDefault="00F56995">
            <w:pPr>
              <w:jc w:val="center"/>
              <w:rPr>
                <w:rFonts w:ascii="Arial" w:hAnsi="Arial" w:cs="Arial"/>
                <w:sz w:val="18"/>
                <w:szCs w:val="18"/>
              </w:rPr>
            </w:pPr>
            <w:r w:rsidRPr="003152FD">
              <w:rPr>
                <w:rFonts w:ascii="Arial" w:hAnsi="Arial" w:cs="Arial"/>
                <w:sz w:val="18"/>
                <w:szCs w:val="18"/>
              </w:rPr>
              <w:t>28,88</w:t>
            </w:r>
          </w:p>
        </w:tc>
      </w:tr>
      <w:tr w:rsidR="00E04C7B" w:rsidRPr="003152FD" w14:paraId="50A39858" w14:textId="77777777" w:rsidTr="00F56995">
        <w:trPr>
          <w:trHeight w:val="278"/>
        </w:trPr>
        <w:tc>
          <w:tcPr>
            <w:tcW w:w="4900" w:type="dxa"/>
            <w:gridSpan w:val="7"/>
            <w:tcBorders>
              <w:top w:val="single" w:sz="8" w:space="0" w:color="auto"/>
              <w:left w:val="single" w:sz="8" w:space="0" w:color="auto"/>
              <w:bottom w:val="single" w:sz="8" w:space="0" w:color="auto"/>
              <w:right w:val="single" w:sz="8" w:space="0" w:color="000000"/>
            </w:tcBorders>
            <w:noWrap/>
            <w:vAlign w:val="bottom"/>
            <w:hideMark/>
          </w:tcPr>
          <w:p w14:paraId="3AF34AC2" w14:textId="77777777" w:rsidR="00F56995" w:rsidRPr="003152FD" w:rsidRDefault="00F56995">
            <w:pPr>
              <w:rPr>
                <w:rFonts w:ascii="Arial" w:hAnsi="Arial" w:cs="Arial"/>
                <w:sz w:val="18"/>
                <w:szCs w:val="18"/>
              </w:rPr>
            </w:pPr>
            <w:r w:rsidRPr="003152FD">
              <w:rPr>
                <w:rFonts w:ascii="Arial" w:hAnsi="Arial" w:cs="Arial"/>
                <w:sz w:val="18"/>
                <w:szCs w:val="18"/>
              </w:rPr>
              <w:t>Qmax 2019                                      33,890</w:t>
            </w:r>
          </w:p>
        </w:tc>
        <w:tc>
          <w:tcPr>
            <w:tcW w:w="4776" w:type="dxa"/>
            <w:gridSpan w:val="7"/>
            <w:tcBorders>
              <w:top w:val="single" w:sz="8" w:space="0" w:color="auto"/>
              <w:left w:val="nil"/>
              <w:bottom w:val="single" w:sz="8" w:space="0" w:color="auto"/>
              <w:right w:val="single" w:sz="8" w:space="0" w:color="000000"/>
            </w:tcBorders>
            <w:noWrap/>
            <w:vAlign w:val="bottom"/>
            <w:hideMark/>
          </w:tcPr>
          <w:p w14:paraId="2287D92F" w14:textId="77777777" w:rsidR="00F56995" w:rsidRPr="003152FD" w:rsidRDefault="00F56995">
            <w:pPr>
              <w:rPr>
                <w:rFonts w:ascii="Arial" w:hAnsi="Arial" w:cs="Arial"/>
                <w:sz w:val="18"/>
                <w:szCs w:val="18"/>
              </w:rPr>
            </w:pPr>
            <w:r w:rsidRPr="003152FD">
              <w:rPr>
                <w:rFonts w:ascii="Arial" w:hAnsi="Arial" w:cs="Arial"/>
                <w:sz w:val="18"/>
                <w:szCs w:val="18"/>
              </w:rPr>
              <w:t>Qmin 2019                                  22,848</w:t>
            </w:r>
          </w:p>
        </w:tc>
      </w:tr>
      <w:tr w:rsidR="00E04C7B" w:rsidRPr="003152FD" w14:paraId="40F05255" w14:textId="77777777" w:rsidTr="00F56995">
        <w:trPr>
          <w:trHeight w:val="278"/>
        </w:trPr>
        <w:tc>
          <w:tcPr>
            <w:tcW w:w="4900" w:type="dxa"/>
            <w:gridSpan w:val="7"/>
            <w:tcBorders>
              <w:top w:val="single" w:sz="8" w:space="0" w:color="auto"/>
              <w:left w:val="single" w:sz="8" w:space="0" w:color="auto"/>
              <w:bottom w:val="single" w:sz="8" w:space="0" w:color="auto"/>
              <w:right w:val="single" w:sz="8" w:space="0" w:color="000000"/>
            </w:tcBorders>
            <w:noWrap/>
            <w:vAlign w:val="bottom"/>
            <w:hideMark/>
          </w:tcPr>
          <w:p w14:paraId="2F18519E" w14:textId="77777777" w:rsidR="00F56995" w:rsidRPr="003152FD" w:rsidRDefault="00F56995">
            <w:pPr>
              <w:rPr>
                <w:rFonts w:ascii="Arial" w:hAnsi="Arial" w:cs="Arial"/>
                <w:sz w:val="18"/>
                <w:szCs w:val="18"/>
              </w:rPr>
            </w:pPr>
            <w:r w:rsidRPr="003152FD">
              <w:rPr>
                <w:rFonts w:ascii="Arial" w:hAnsi="Arial" w:cs="Arial"/>
                <w:sz w:val="18"/>
                <w:szCs w:val="18"/>
              </w:rPr>
              <w:t>Qmax 1968 - 2018                            96,740</w:t>
            </w:r>
          </w:p>
        </w:tc>
        <w:tc>
          <w:tcPr>
            <w:tcW w:w="4776" w:type="dxa"/>
            <w:gridSpan w:val="7"/>
            <w:tcBorders>
              <w:top w:val="single" w:sz="8" w:space="0" w:color="auto"/>
              <w:left w:val="nil"/>
              <w:bottom w:val="single" w:sz="8" w:space="0" w:color="auto"/>
              <w:right w:val="single" w:sz="8" w:space="0" w:color="000000"/>
            </w:tcBorders>
            <w:noWrap/>
            <w:vAlign w:val="bottom"/>
            <w:hideMark/>
          </w:tcPr>
          <w:p w14:paraId="52FFF895" w14:textId="77777777" w:rsidR="00F56995" w:rsidRPr="003152FD" w:rsidRDefault="00F56995">
            <w:pPr>
              <w:rPr>
                <w:rFonts w:ascii="Arial" w:hAnsi="Arial" w:cs="Arial"/>
                <w:sz w:val="18"/>
                <w:szCs w:val="18"/>
              </w:rPr>
            </w:pPr>
            <w:r w:rsidRPr="003152FD">
              <w:rPr>
                <w:rFonts w:ascii="Arial" w:hAnsi="Arial" w:cs="Arial"/>
                <w:sz w:val="18"/>
                <w:szCs w:val="18"/>
              </w:rPr>
              <w:t xml:space="preserve">Qmin 1968 - 2018                         0,030            </w:t>
            </w:r>
          </w:p>
        </w:tc>
      </w:tr>
    </w:tbl>
    <w:p w14:paraId="5E93576D" w14:textId="77777777" w:rsidR="00F56995" w:rsidRPr="00E04C7B" w:rsidRDefault="00F56995" w:rsidP="00E04C7B">
      <w:pPr>
        <w:pStyle w:val="tabu"/>
        <w:tabs>
          <w:tab w:val="num" w:pos="0"/>
        </w:tabs>
        <w:spacing w:before="0" w:after="0"/>
        <w:jc w:val="center"/>
        <w:rPr>
          <w:rFonts w:cs="Arial"/>
          <w:iCs/>
          <w:sz w:val="18"/>
          <w:szCs w:val="18"/>
          <w:lang w:eastAsia="en-US"/>
        </w:rPr>
      </w:pPr>
      <w:r w:rsidRPr="00E04C7B">
        <w:rPr>
          <w:rFonts w:cs="Arial"/>
          <w:iCs/>
          <w:sz w:val="18"/>
          <w:szCs w:val="18"/>
          <w:lang w:eastAsia="en-US"/>
        </w:rPr>
        <w:t>Zdroj: Hydrologická ročenka – Povrchové vody 2019, SHMÚ, 2020</w:t>
      </w:r>
    </w:p>
    <w:p w14:paraId="395FAE2E" w14:textId="77777777" w:rsidR="00624198" w:rsidRPr="00E04C7B" w:rsidRDefault="00624198" w:rsidP="00E04C7B">
      <w:pPr>
        <w:rPr>
          <w:rFonts w:ascii="Arial" w:hAnsi="Arial" w:cs="Arial"/>
          <w:bCs/>
          <w:i/>
          <w:iCs/>
          <w:sz w:val="18"/>
          <w:szCs w:val="18"/>
          <w:u w:val="single"/>
        </w:rPr>
      </w:pPr>
    </w:p>
    <w:p w14:paraId="558DD48D" w14:textId="67581662" w:rsidR="00F56995" w:rsidRPr="00E04C7B" w:rsidRDefault="00F56995" w:rsidP="00BE6226">
      <w:pPr>
        <w:pStyle w:val="A-Text11"/>
        <w:rPr>
          <w:i/>
          <w:iCs/>
          <w:u w:val="single"/>
        </w:rPr>
      </w:pPr>
      <w:r w:rsidRPr="00E04C7B">
        <w:rPr>
          <w:i/>
          <w:iCs/>
          <w:u w:val="single"/>
        </w:rPr>
        <w:t>Vodné plochy</w:t>
      </w:r>
    </w:p>
    <w:p w14:paraId="3D200AE7" w14:textId="77777777" w:rsidR="00F56995" w:rsidRPr="00E04C7B" w:rsidRDefault="00F56995" w:rsidP="00BE6226">
      <w:pPr>
        <w:pStyle w:val="A-Text11"/>
        <w:rPr>
          <w:spacing w:val="2"/>
        </w:rPr>
      </w:pPr>
      <w:r w:rsidRPr="00E04C7B">
        <w:rPr>
          <w:spacing w:val="2"/>
        </w:rPr>
        <w:t>V záujmovom území ani v jeho blízkom okolí sa vodné plochy prírodného a umelého charakteru ako sú vodné nádrže, rybníky a štrkoviská nenachádzajú. Najbližšie k predmetnej lokalite sa nachádzajú zaplavené štrkové ťažobné jamy tzv. štrkoviská Zlaté piesky a Kuchajda. Zlaté piesky sa nachádzajú cca 1,2 km severovýchodným smerom a štrkovisko Kuchajda sa nachádza 1,8 km juhozápadným smerom od predmetnej lokality. V území Bratislavy sa nachádza viacero takýchto vodných plôch, ktoré vznikli v</w:t>
      </w:r>
      <w:r w:rsidRPr="00E04C7B">
        <w:t> </w:t>
      </w:r>
      <w:r w:rsidRPr="00E04C7B">
        <w:rPr>
          <w:spacing w:val="2"/>
        </w:rPr>
        <w:t>minulosti v</w:t>
      </w:r>
      <w:r w:rsidRPr="00E04C7B">
        <w:t> </w:t>
      </w:r>
      <w:r w:rsidRPr="00E04C7B">
        <w:rPr>
          <w:spacing w:val="2"/>
        </w:rPr>
        <w:t>rámci povrchovej ťažby štrkov a v súčasnosti väčšina týchto vodných plôch plní rekreačný účel. Pôvodné ťažobné jamy boli ponechané na zaplavenie podzemnou vodou a na ťažbu nie sú ďalej využívané. Realizácia zámeru ochranné pásma týchto vodných plôch nijako neohrozuje.</w:t>
      </w:r>
    </w:p>
    <w:p w14:paraId="114F060E" w14:textId="77777777" w:rsidR="00F56995" w:rsidRPr="00E04C7B" w:rsidRDefault="00F56995" w:rsidP="00BE6226">
      <w:pPr>
        <w:pStyle w:val="A-Text11"/>
        <w:rPr>
          <w:i/>
          <w:iCs/>
          <w:u w:val="single"/>
        </w:rPr>
      </w:pPr>
      <w:r w:rsidRPr="00E04C7B">
        <w:rPr>
          <w:i/>
          <w:iCs/>
          <w:u w:val="single"/>
        </w:rPr>
        <w:t>Podzemné vody</w:t>
      </w:r>
    </w:p>
    <w:p w14:paraId="1FA7FB2A" w14:textId="77777777" w:rsidR="00F56995" w:rsidRPr="00E04C7B" w:rsidRDefault="00F56995" w:rsidP="00BE6226">
      <w:pPr>
        <w:pStyle w:val="A-Text11"/>
        <w:rPr>
          <w:spacing w:val="2"/>
        </w:rPr>
      </w:pPr>
      <w:r w:rsidRPr="00E04C7B">
        <w:rPr>
          <w:spacing w:val="2"/>
        </w:rPr>
        <w:t>Záujmové územie sa podľa Vymedzenia útvarov podzemných vôd na Slovensku v zmysle Rámcovej smernice o vodách 2000/60/ES nachádza v kvartérnom útvare SK1000300P Medzizrnové podzemné vody kvartérnych náplavov centrálnej časti Podunajskej panvy a podľa Hydrologickej rajonizácie Slovenska v hydrogeologickom rajóne Q 051 Kvartér západného okraja Podunajskej roviny,</w:t>
      </w:r>
      <w:r w:rsidRPr="00E04C7B">
        <w:t> </w:t>
      </w:r>
      <w:r w:rsidRPr="00E04C7B">
        <w:rPr>
          <w:spacing w:val="2"/>
        </w:rPr>
        <w:t>čiastkového rajóna VH 00 - subrajón povodia Váh (Slovenský Hydrometeorologický Ústav, Bratislava 1984).</w:t>
      </w:r>
    </w:p>
    <w:p w14:paraId="0A5B36F4" w14:textId="77777777" w:rsidR="00F56995" w:rsidRPr="00E04C7B" w:rsidRDefault="00F56995" w:rsidP="00BE6226">
      <w:pPr>
        <w:pStyle w:val="A-Text11"/>
        <w:rPr>
          <w:spacing w:val="2"/>
        </w:rPr>
      </w:pPr>
      <w:r w:rsidRPr="00E04C7B">
        <w:rPr>
          <w:spacing w:val="2"/>
        </w:rPr>
        <w:t xml:space="preserve">Hydrogeologické pomery v záujmovom území sú podmienené geologickou stavbou, úložnými, litologickými, hydrogeologickými a geomorfologickými pomermi. Záujmové územie centrálnej časti Podunajskej panvy, resp. kvartéru západného okraja Podunajskej roviny má medzizrnovú priepustnosť. </w:t>
      </w:r>
    </w:p>
    <w:p w14:paraId="6857E70F" w14:textId="77777777" w:rsidR="00F56995" w:rsidRPr="00E04C7B" w:rsidRDefault="00F56995" w:rsidP="00BE6226">
      <w:pPr>
        <w:pStyle w:val="A-Text11"/>
        <w:rPr>
          <w:spacing w:val="2"/>
        </w:rPr>
      </w:pPr>
      <w:r w:rsidRPr="00E04C7B">
        <w:rPr>
          <w:spacing w:val="2"/>
        </w:rPr>
        <w:t>Najvýznamnejším kolektrom a hlavným zdrojom podzemných vôd v záujmovom území a jeho širšom okolí sú fluviálne piesčité štrky terás a dejakačného kužeľa toku Dunaj. Všeobecne terasové štrky sú v širšom území viac zahlinené, menšej mocnosti a výdatnosti. Sedimenty dejakačného kužeľa sú hydrogeologicky priaznivejšie. Kolektor štrkov je v rámci širokého územia, ktoré ďalej pokračuje územím najmä Žitného ostrova, veľkých mocností, veľkých zdrojov podzemnej vody a tak tvorí významnú vodohospodársku oblasť. Hrúbka fluviálnych piesčitých štrkov dosahuje hrúbku od 10 do 100 metrov a ich mocnosť narastá od oblasti Pečianskeho lesa smerom na juhovýchod. Generálny smer prúdenia podzemnej vody je SZ – JV až SSZ – JJV. Hlavným režimovým činiteľom je tok Dunaj, v menšej miere sa na doplňovaní zásob podzemnej vody podieľajú zrážky a podzemné vody Malých Karpát. Vplyv Dunaja a jeho režimu na režim podzemnej vody klesá v závislosti vzdialenosti od toku.</w:t>
      </w:r>
    </w:p>
    <w:p w14:paraId="0F48220A" w14:textId="77777777" w:rsidR="00F56995" w:rsidRPr="00E04C7B" w:rsidRDefault="00F56995" w:rsidP="00BE6226">
      <w:pPr>
        <w:pStyle w:val="A-Text11"/>
        <w:rPr>
          <w:spacing w:val="2"/>
        </w:rPr>
      </w:pPr>
      <w:r w:rsidRPr="00E04C7B">
        <w:rPr>
          <w:spacing w:val="2"/>
        </w:rPr>
        <w:t>Hydrogeologické pomery záujmového územia sa dajú charakterizovať ako priaznivé s trvalou zvodnenosťou, voľnou hladinou podzemnej vody a vysokou transmisivitou. Priepustnosť je smerovo variabilná, lokálne veľmi rozdielna. Vo všeobecnosti má komplex kvartérnych sedimentov koeficient filtrácie 2 až 4.10</w:t>
      </w:r>
      <w:r w:rsidRPr="00E04C7B">
        <w:rPr>
          <w:spacing w:val="2"/>
          <w:vertAlign w:val="superscript"/>
        </w:rPr>
        <w:t>-3</w:t>
      </w:r>
      <w:r w:rsidRPr="00E04C7B">
        <w:rPr>
          <w:spacing w:val="2"/>
        </w:rPr>
        <w:t xml:space="preserve"> až 7.10</w:t>
      </w:r>
      <w:r w:rsidRPr="00E04C7B">
        <w:rPr>
          <w:spacing w:val="2"/>
          <w:vertAlign w:val="superscript"/>
        </w:rPr>
        <w:t>-4</w:t>
      </w:r>
      <w:r w:rsidRPr="00E04C7B">
        <w:rPr>
          <w:spacing w:val="2"/>
        </w:rPr>
        <w:t xml:space="preserve"> m.s</w:t>
      </w:r>
      <w:r w:rsidRPr="00E04C7B">
        <w:rPr>
          <w:spacing w:val="2"/>
          <w:vertAlign w:val="superscript"/>
        </w:rPr>
        <w:t>-1</w:t>
      </w:r>
      <w:r w:rsidRPr="00E04C7B">
        <w:rPr>
          <w:spacing w:val="2"/>
        </w:rPr>
        <w:t>. Pod fluviálnymi náplavmi, štrkmi a piesčitými štrkmi, ako kolektorom podzemnej vody, sa nachádza hydrogeologický poloilzolátor, až izolátor, tvorený horninami paleozoika, neogénu a kvartéru. Sú to napríklad granitoidy, íly, íly piesčité, piesky ílovité, silty, piesčité silty, povodňové kaly a silty a piesčito-ílovité silty pochovaných mŕtvych ramien a</w:t>
      </w:r>
      <w:r w:rsidRPr="00E04C7B">
        <w:t> </w:t>
      </w:r>
      <w:r w:rsidRPr="00E04C7B">
        <w:rPr>
          <w:spacing w:val="2"/>
        </w:rPr>
        <w:t>tokov. V záujmovom území sa ako podložné sedimenty nachádzajú neogénne sedimenty, ktoré sa predpokladajú v</w:t>
      </w:r>
      <w:r w:rsidRPr="00E04C7B">
        <w:t> </w:t>
      </w:r>
      <w:r w:rsidRPr="00E04C7B">
        <w:rPr>
          <w:spacing w:val="2"/>
        </w:rPr>
        <w:t xml:space="preserve">hĺbke cca 15 m p. t. Podložný komplex neogénnych sedimentov, ktorý je </w:t>
      </w:r>
      <w:r w:rsidRPr="00E04C7B">
        <w:rPr>
          <w:spacing w:val="2"/>
        </w:rPr>
        <w:lastRenderedPageBreak/>
        <w:t>prevažne v ílovitom vývoji, predstavuje z hydrogeologického hľadiska poloizolátor až izolátor. Obeh vody v tomto prostredí je značne spomalený a tieto sedimenty z hydrogeologického hľadiska majú malý význam.</w:t>
      </w:r>
    </w:p>
    <w:p w14:paraId="5D4E8936" w14:textId="77777777" w:rsidR="00F56995" w:rsidRPr="00E04C7B" w:rsidRDefault="00F56995" w:rsidP="00BE6226">
      <w:pPr>
        <w:pStyle w:val="A-Text11"/>
        <w:rPr>
          <w:spacing w:val="2"/>
        </w:rPr>
      </w:pPr>
      <w:r w:rsidRPr="00E04C7B">
        <w:rPr>
          <w:spacing w:val="2"/>
        </w:rPr>
        <w:t>Najbližšie k záujmovej lokalite je monitorovaný objekt štátnej monitorovacej siete SHMÚ č. 721 – Bratislava – Pestovateľská, kde je podľa Hydrologickej ročenky – Podzemné vody 2020, SHMÚ, Bratislava, 2021, zaznamenaná dlhodobá priemerná hladina podzemnej vody na úrovni 128,66 m n. m., t. j. 3,71 m p. t. a hladina podzemnej vody pri tom na tomto objekte dlhodobo vystúpila maximálne na úroveň 129,82 m n. m., t. j. 2,55 m p. t. (Hydrologická ročenka – Podzemné vody 2020, SHMÚ, Bratislava, 2021)</w:t>
      </w:r>
    </w:p>
    <w:p w14:paraId="28F2C392" w14:textId="77777777" w:rsidR="00F56995" w:rsidRPr="00E04C7B" w:rsidRDefault="00F56995" w:rsidP="00BE6226">
      <w:pPr>
        <w:pStyle w:val="A-Text11"/>
        <w:rPr>
          <w:i/>
          <w:iCs/>
          <w:u w:val="single"/>
        </w:rPr>
      </w:pPr>
      <w:r w:rsidRPr="00E04C7B">
        <w:rPr>
          <w:i/>
          <w:iCs/>
          <w:u w:val="single"/>
        </w:rPr>
        <w:t>Pramene a pramenné oblasti</w:t>
      </w:r>
    </w:p>
    <w:p w14:paraId="0445818C" w14:textId="77777777" w:rsidR="00F56995" w:rsidRPr="00E04C7B" w:rsidRDefault="00F56995" w:rsidP="00BE6226">
      <w:pPr>
        <w:pStyle w:val="A-Text11"/>
      </w:pPr>
      <w:r w:rsidRPr="00E04C7B">
        <w:t>V rámci záujmového územia sa pramene, pramenné oblasti ako aj minerálne a termálne vody nevyskytujú. Predmetné územie Podunajskej roviny nemá žiadny potenciál pre výskyt takýchto oblastí a typu vôd.</w:t>
      </w:r>
    </w:p>
    <w:p w14:paraId="7987929A" w14:textId="77777777" w:rsidR="00F56995" w:rsidRPr="00C76116" w:rsidRDefault="00F56995" w:rsidP="00BE6226">
      <w:pPr>
        <w:pStyle w:val="A-Text11"/>
        <w:rPr>
          <w:i/>
          <w:iCs/>
          <w:u w:val="single"/>
        </w:rPr>
      </w:pPr>
      <w:r w:rsidRPr="00C76116">
        <w:rPr>
          <w:i/>
          <w:iCs/>
          <w:u w:val="single"/>
        </w:rPr>
        <w:t>Vodohospodársky chránené územia</w:t>
      </w:r>
    </w:p>
    <w:p w14:paraId="6110075E" w14:textId="77777777" w:rsidR="00F56995" w:rsidRPr="00E04C7B" w:rsidRDefault="00F56995" w:rsidP="00BE6226">
      <w:pPr>
        <w:pStyle w:val="A-Text11"/>
      </w:pPr>
      <w:r w:rsidRPr="00E04C7B">
        <w:t>Záujmové územie a predmetná lokalita sa nenachádza v chránenej vodohospodárskej oblasti (CHVO). Najbližšia CHVO – Žitný ostrov sa nachádza 4,2 km južne od predmetnej lokality a realizácia zámeru oblasť CHVO – Žitný ostrov ani režim podzemnej vody v nej nijako neovplyvní.</w:t>
      </w:r>
    </w:p>
    <w:p w14:paraId="3EF790DE" w14:textId="77777777" w:rsidR="00F56995" w:rsidRPr="00C76116" w:rsidRDefault="00F56995" w:rsidP="00BE6226">
      <w:pPr>
        <w:pStyle w:val="A-Text11"/>
        <w:rPr>
          <w:u w:val="single"/>
        </w:rPr>
      </w:pPr>
      <w:r w:rsidRPr="00C76116">
        <w:rPr>
          <w:u w:val="single"/>
        </w:rPr>
        <w:t>PHO</w:t>
      </w:r>
    </w:p>
    <w:p w14:paraId="3A7D67D2" w14:textId="77777777" w:rsidR="00F56995" w:rsidRPr="00E04C7B" w:rsidRDefault="00F56995" w:rsidP="00BE6226">
      <w:pPr>
        <w:pStyle w:val="A-Text11"/>
      </w:pPr>
      <w:r w:rsidRPr="00E04C7B">
        <w:t>Predmetné územie ako aj širšie okolie sa nenachádza v pásme hygienickej ochrany (PHO).</w:t>
      </w:r>
    </w:p>
    <w:p w14:paraId="297A2F96" w14:textId="4E285D29" w:rsidR="00E65CA9" w:rsidRPr="00504211" w:rsidRDefault="00E65CA9" w:rsidP="006D764F">
      <w:pPr>
        <w:widowControl/>
        <w:spacing w:before="120"/>
        <w:jc w:val="both"/>
        <w:rPr>
          <w:rFonts w:ascii="Arial" w:hAnsi="Arial" w:cs="Arial"/>
          <w:b/>
          <w:i/>
          <w:sz w:val="22"/>
          <w:szCs w:val="24"/>
          <w:lang w:eastAsia="en-US"/>
        </w:rPr>
      </w:pPr>
      <w:r w:rsidRPr="00504211">
        <w:rPr>
          <w:rFonts w:ascii="Arial" w:hAnsi="Arial" w:cs="Arial"/>
          <w:b/>
          <w:i/>
          <w:sz w:val="22"/>
          <w:szCs w:val="24"/>
          <w:lang w:eastAsia="en-US"/>
        </w:rPr>
        <w:t>Pôdne pomery</w:t>
      </w:r>
    </w:p>
    <w:p w14:paraId="4F805BCB" w14:textId="77777777" w:rsidR="00E65CA9" w:rsidRPr="00504211" w:rsidRDefault="00E65CA9" w:rsidP="006D764F">
      <w:pPr>
        <w:pStyle w:val="Zarkazkladnhotextu3"/>
        <w:suppressAutoHyphens w:val="0"/>
        <w:spacing w:before="120" w:after="120"/>
        <w:ind w:left="0" w:firstLine="0"/>
        <w:rPr>
          <w:rFonts w:cs="Times New Roman"/>
          <w:sz w:val="22"/>
          <w:szCs w:val="24"/>
          <w:lang w:eastAsia="en-US"/>
        </w:rPr>
      </w:pPr>
      <w:bookmarkStart w:id="169" w:name="_Toc218146779"/>
      <w:bookmarkStart w:id="170" w:name="_Toc80536537"/>
      <w:bookmarkEnd w:id="159"/>
      <w:bookmarkEnd w:id="160"/>
      <w:bookmarkEnd w:id="161"/>
      <w:bookmarkEnd w:id="162"/>
      <w:bookmarkEnd w:id="163"/>
      <w:bookmarkEnd w:id="164"/>
      <w:bookmarkEnd w:id="165"/>
      <w:bookmarkEnd w:id="166"/>
      <w:r w:rsidRPr="00504211">
        <w:rPr>
          <w:rFonts w:cs="Times New Roman"/>
          <w:sz w:val="22"/>
          <w:szCs w:val="24"/>
          <w:lang w:eastAsia="en-US"/>
        </w:rPr>
        <w:t>Na karbonátových sedimentoch časti Podunajskej nížiny sú prevažne  zastúpené pôdy hydromorfného charakteru, sčasti semiteristrické a na starých agradačných valoch, kde vplyv podzemnej vody na pôdotvorné procesy zanikol sa vyvinuli pôdy teristrického charakteru.  Celkovo dominujú fluvizeme typické, ľahšie, na fluviálnych sedimentoch, čiernice typické karbonátové a glejové, komplexy černozemí a čierníc, ktoré patria k najúrodnejším pôdam v SR. V depresných polohách nivy Dunaja sa nachádzajú glejové subtypy uvedených pôdnych typov a gleje typické, ktoré sú lokalizované v blízkosti toku Dunaja, v Šúrskej depresii, ako i pod lesnými lužnými porastami (Hrnčiarová a kol., 2000).</w:t>
      </w:r>
    </w:p>
    <w:p w14:paraId="421A4F6B" w14:textId="23D37A41" w:rsidR="00E65CA9" w:rsidRPr="00504211" w:rsidRDefault="00E65CA9" w:rsidP="006D764F">
      <w:pPr>
        <w:widowControl/>
        <w:spacing w:before="120"/>
        <w:jc w:val="both"/>
        <w:rPr>
          <w:rFonts w:ascii="Arial" w:hAnsi="Arial" w:cs="Arial"/>
          <w:sz w:val="22"/>
          <w:szCs w:val="22"/>
          <w:lang w:eastAsia="en-US"/>
        </w:rPr>
      </w:pPr>
      <w:r w:rsidRPr="00504211">
        <w:rPr>
          <w:rFonts w:ascii="Arial" w:hAnsi="Arial" w:cs="Arial"/>
          <w:sz w:val="22"/>
          <w:szCs w:val="22"/>
          <w:lang w:eastAsia="en-US"/>
        </w:rPr>
        <w:t>Na hodnotenej lokalite  možno pôdny podklad označiť ako</w:t>
      </w:r>
      <w:r w:rsidRPr="00504211">
        <w:rPr>
          <w:rFonts w:ascii="Arial" w:hAnsi="Arial" w:cs="Arial"/>
          <w:i/>
          <w:sz w:val="22"/>
          <w:szCs w:val="22"/>
          <w:lang w:eastAsia="en-US"/>
        </w:rPr>
        <w:t xml:space="preserve"> Antrozem </w:t>
      </w:r>
      <w:r w:rsidRPr="00504211">
        <w:rPr>
          <w:rFonts w:ascii="Arial" w:hAnsi="Arial" w:cs="Arial"/>
          <w:sz w:val="22"/>
          <w:szCs w:val="22"/>
          <w:lang w:eastAsia="en-US"/>
        </w:rPr>
        <w:t>(AN), čo  je človekom vytvorená umelá pôda na nepôvodných substrátoch. Zaraďované sú tu pôdy na umelých substrátoch, napr. navážky v sídlach a na rekultivovaných plochách, násypy železníc a ciest, zastavané plochy.</w:t>
      </w:r>
    </w:p>
    <w:p w14:paraId="2B9383B9" w14:textId="77777777" w:rsidR="00B816F2" w:rsidRPr="00462DC6" w:rsidRDefault="00B816F2" w:rsidP="00B816F2">
      <w:pPr>
        <w:pStyle w:val="A-Text11"/>
        <w:rPr>
          <w:b/>
          <w:bCs/>
        </w:rPr>
      </w:pPr>
      <w:bookmarkStart w:id="171" w:name="_Toc258954670"/>
      <w:bookmarkStart w:id="172" w:name="_Toc80536541"/>
      <w:bookmarkStart w:id="173" w:name="_Toc132078688"/>
      <w:bookmarkEnd w:id="169"/>
      <w:bookmarkEnd w:id="170"/>
      <w:r w:rsidRPr="00462DC6">
        <w:rPr>
          <w:b/>
          <w:bCs/>
        </w:rPr>
        <w:t>Fauna, flóra, vegetácia</w:t>
      </w:r>
    </w:p>
    <w:p w14:paraId="55311C68" w14:textId="77777777" w:rsidR="00B816F2" w:rsidRPr="00462DC6" w:rsidRDefault="00B816F2" w:rsidP="00B816F2">
      <w:pPr>
        <w:pStyle w:val="A-Text11"/>
        <w:rPr>
          <w:rFonts w:eastAsia="Calibri"/>
        </w:rPr>
      </w:pPr>
      <w:r w:rsidRPr="00462DC6">
        <w:rPr>
          <w:rFonts w:eastAsia="Calibri"/>
        </w:rPr>
        <w:t xml:space="preserve">Podľa </w:t>
      </w:r>
      <w:r w:rsidRPr="00462DC6">
        <w:rPr>
          <w:rFonts w:eastAsia="Calibri"/>
          <w:u w:val="single"/>
        </w:rPr>
        <w:t>fytogeografického členenia</w:t>
      </w:r>
      <w:r w:rsidRPr="00462DC6">
        <w:rPr>
          <w:rFonts w:eastAsia="Calibri"/>
        </w:rPr>
        <w:t xml:space="preserve"> (</w:t>
      </w:r>
      <w:r w:rsidRPr="00462DC6">
        <w:rPr>
          <w:rFonts w:eastAsia="Calibri"/>
          <w:smallCaps/>
        </w:rPr>
        <w:t>Futák, 1980</w:t>
      </w:r>
      <w:r w:rsidRPr="00462DC6">
        <w:rPr>
          <w:rFonts w:eastAsia="Calibri"/>
        </w:rPr>
        <w:t>) sledované územie a jeho širšie okolie spadá do oblasti panónskej flóry (</w:t>
      </w:r>
      <w:r w:rsidRPr="00462DC6">
        <w:rPr>
          <w:rFonts w:eastAsia="Calibri"/>
          <w:i/>
        </w:rPr>
        <w:t>Pannonicum</w:t>
      </w:r>
      <w:r w:rsidRPr="00462DC6">
        <w:rPr>
          <w:rFonts w:eastAsia="Calibri"/>
        </w:rPr>
        <w:t>), obvodu eupanónskej xerotermnej flóry (</w:t>
      </w:r>
      <w:r w:rsidRPr="00462DC6">
        <w:rPr>
          <w:rFonts w:eastAsia="Calibri"/>
          <w:i/>
        </w:rPr>
        <w:t>Eupannonicum</w:t>
      </w:r>
      <w:r w:rsidRPr="00462DC6">
        <w:rPr>
          <w:rFonts w:eastAsia="Calibri"/>
        </w:rPr>
        <w:t>), okresu Podunajská nížina. Podľa členenia Slovenska na fytogeograficko-vegetačné oblasti (</w:t>
      </w:r>
      <w:r w:rsidRPr="00462DC6">
        <w:rPr>
          <w:rFonts w:eastAsia="Calibri"/>
          <w:smallCaps/>
        </w:rPr>
        <w:t>Plesník, 2002</w:t>
      </w:r>
      <w:r w:rsidRPr="00462DC6">
        <w:rPr>
          <w:rFonts w:eastAsia="Calibri"/>
        </w:rPr>
        <w:t>) patrí hodnotené územie do dubovej zóny, nížinnej podzóny, rovinnej oblasti, nemokraďového okresu, lužného podokresu.</w:t>
      </w:r>
      <w:r w:rsidRPr="00462DC6">
        <w:t xml:space="preserve"> Zo severu sem však zasahuje aj vplyv oblasti západokarpatskej flóry (</w:t>
      </w:r>
      <w:r w:rsidRPr="00462DC6">
        <w:rPr>
          <w:i/>
        </w:rPr>
        <w:t>Carpaticum occidentale</w:t>
      </w:r>
      <w:r w:rsidRPr="00462DC6">
        <w:t>) s obvodom predkarpatskej flóry (</w:t>
      </w:r>
      <w:r w:rsidRPr="00462DC6">
        <w:rPr>
          <w:i/>
        </w:rPr>
        <w:t>Praecarpaticum</w:t>
      </w:r>
      <w:r w:rsidRPr="00462DC6">
        <w:t>) s okresom Malé Karpaty. Styk karpatskej a panónskej oblasti rozšírenia flóry sa prejavuje v zastúpení jednotlivých druhov, kde v</w:t>
      </w:r>
      <w:r w:rsidRPr="00462DC6">
        <w:rPr>
          <w:rFonts w:eastAsia="Calibri"/>
        </w:rPr>
        <w:t xml:space="preserve">o flóre dotknutého územia a jeho zázemia </w:t>
      </w:r>
      <w:r w:rsidRPr="00462DC6">
        <w:rPr>
          <w:rFonts w:eastAsia="Calibri"/>
        </w:rPr>
        <w:lastRenderedPageBreak/>
        <w:t>prevládajú teplomilné nížinné druhy, no možno tu zaznamenať aj výskyt druhov karpatskej oblasti.</w:t>
      </w:r>
    </w:p>
    <w:p w14:paraId="581BB791" w14:textId="77777777" w:rsidR="00B816F2" w:rsidRPr="00462DC6" w:rsidRDefault="00B816F2" w:rsidP="00B816F2">
      <w:pPr>
        <w:pStyle w:val="A-Text11"/>
        <w:rPr>
          <w:rFonts w:eastAsiaTheme="minorHAnsi"/>
        </w:rPr>
      </w:pPr>
      <w:r w:rsidRPr="00462DC6">
        <w:t>Styk karpatskej a panónskej oblasti rozšírenia flóry na území Bratislavy sa prejavuje vo vysokej koncentrácii fytogeograficky významných prvkov, z ktorých mnohé tu dosahujú severnú alebo západnú hranicu rozšírenia svojho areálu. Vzhľadom na umiestnenie sledovaného územia v rámci Bratislavy vo flóre dotknutého územia a jeho zázemia prevládajú teplomilné nížinné druhy. Na priamo dotknutom území sú zastúpené najmä druhy trávnatých plôch parkového charakteru, trávnatých okrajov ciest, neúžitkov a pod. V dôsledku častého výskytu rôznych skládok, navážok, zborenísk, zastavaných plôch, prídomových záhrad, rôznych priemyselno-skladových areálov a pod. sú tu vytvorené hlavne podmienky pre šírenie ruderálnych druhov. Pôvodné druhy sa tu vyskytujú len na plochách parkovej vegetácie, kde sa presadili v konkurencii s vysadenými alebo vysiatymi druhmi v rámci predchádzajúcich rekultivácií územia.</w:t>
      </w:r>
    </w:p>
    <w:p w14:paraId="3A5E2432" w14:textId="77777777" w:rsidR="00B816F2" w:rsidRPr="00462DC6" w:rsidRDefault="00B816F2" w:rsidP="00B816F2">
      <w:pPr>
        <w:pStyle w:val="A-Text11"/>
      </w:pPr>
      <w:r w:rsidRPr="00462DC6">
        <w:rPr>
          <w:u w:val="single"/>
        </w:rPr>
        <w:t>Potenciálna prirodzená vegetácia</w:t>
      </w:r>
      <w:r w:rsidRPr="00462DC6">
        <w:t xml:space="preserve"> je vegetáciou, ktorá by sa za daných klimatických, pôdnych a hydrologických pomerov vyvinula na určitom mieste (biotope), keby vplyv ľudskej činnosti ihneď prestal (</w:t>
      </w:r>
      <w:r w:rsidRPr="00462DC6">
        <w:rPr>
          <w:smallCaps/>
        </w:rPr>
        <w:t>Michalko a kol., 1986</w:t>
      </w:r>
      <w:r w:rsidRPr="00462DC6">
        <w:t xml:space="preserve">). Potenciálnu vegetáciu sledovaného územia predstavujú </w:t>
      </w:r>
      <w:r w:rsidRPr="00462DC6">
        <w:rPr>
          <w:u w:val="single"/>
        </w:rPr>
        <w:t>lužné lesy vŕbovo-topoľové</w:t>
      </w:r>
      <w:r w:rsidRPr="00462DC6">
        <w:t xml:space="preserve"> (mäkké lužné lesy) a </w:t>
      </w:r>
      <w:r w:rsidRPr="00462DC6">
        <w:rPr>
          <w:u w:val="single"/>
        </w:rPr>
        <w:t>lužné lesy nížinné</w:t>
      </w:r>
      <w:r w:rsidRPr="00462DC6">
        <w:t xml:space="preserve"> (jaseňovo-brestovo-dubové lesy – tvrdé lužné lesy). Na priamo dotknutom území sa v dôsledku jeho intenzívneho využívania ako aj okolitého urbanizačného tlaku nezachovali pôvodné biotopy.</w:t>
      </w:r>
    </w:p>
    <w:p w14:paraId="489F68EE" w14:textId="77777777" w:rsidR="00B816F2" w:rsidRPr="00462DC6" w:rsidRDefault="00B816F2" w:rsidP="00B816F2">
      <w:pPr>
        <w:pStyle w:val="A-Text11"/>
      </w:pPr>
      <w:r w:rsidRPr="00462DC6">
        <w:t xml:space="preserve">Z hľadiska </w:t>
      </w:r>
      <w:r w:rsidRPr="00462DC6">
        <w:rPr>
          <w:u w:val="single"/>
        </w:rPr>
        <w:t>súčasnej reálnej vegetácie</w:t>
      </w:r>
      <w:r w:rsidRPr="00462DC6">
        <w:t xml:space="preserve"> je nutné konštatovať, že spoločenstvá vŕbovo-topoľových lužných lesov, nížinných jaseňovo-brestovo-dubových lužných lesov, ako aj pôvodnej travinno-bylinnej vegetácie, sa v území nezachovali v dôsledku činnosti človeka v minulosti a aj v dôsledku súčasného stáleho rastu antropického tlaku na prírodné prostredie územia. Aj drevinná vegetácia v okolí je značne pozmenená a zachovalo sa tu len niekoľko jedincov drevín, ktoré zodpovedajú pôvodným biotopom. Tieto dreviny tvoria prvky nelesnej drevinnej vegetácie, ktorá je krajinným prvkom dotvárajúcim urbanizovanú krajinu. V dnešnej podobe v sledovanom území predstavuje zvyšky plôch, línií a solitérov drevinnej vegetácie v urbanizovanej krajine. Na riešenom území nachádzame NSKV ako vegetáciu na parkovo upravených plochách alebo ako líniu pozdĺž ciest a oplotení.</w:t>
      </w:r>
    </w:p>
    <w:p w14:paraId="26895957" w14:textId="77777777" w:rsidR="00B816F2" w:rsidRPr="00462DC6" w:rsidRDefault="00B816F2" w:rsidP="00B816F2">
      <w:pPr>
        <w:pStyle w:val="A-Text11"/>
      </w:pPr>
      <w:r w:rsidRPr="00462DC6">
        <w:rPr>
          <w:u w:val="single"/>
        </w:rPr>
        <w:t>Travinno-bylinné porasty</w:t>
      </w:r>
      <w:r w:rsidRPr="00462DC6">
        <w:t xml:space="preserve"> (resp. trvalé trávo-bylinné porasty – TTP) v sledovanom území tvoria podstatnú časť plôch s vegetáciou, sú to však výlučne ruderalizované porasty bývalých parkových plôch, alebo tvoria sprievodnú vegetáciu ciest, alebo sú to plochy zatrávnené po predchádzajúcej stavebnej činnosti v území a pod. Častejšie sú to však rôzne ruderalizované porasty rôzneho druhového zloženia.</w:t>
      </w:r>
    </w:p>
    <w:p w14:paraId="7E352123" w14:textId="77777777" w:rsidR="00B816F2" w:rsidRPr="00462DC6" w:rsidRDefault="00B816F2" w:rsidP="00B816F2">
      <w:pPr>
        <w:pStyle w:val="A-Text11"/>
      </w:pPr>
      <w:r w:rsidRPr="00462DC6">
        <w:t xml:space="preserve">Táto </w:t>
      </w:r>
      <w:r w:rsidRPr="00462DC6">
        <w:rPr>
          <w:u w:val="single"/>
        </w:rPr>
        <w:t>vegetácia urbanizovaného územia</w:t>
      </w:r>
      <w:r w:rsidRPr="00462DC6">
        <w:t xml:space="preserve"> má významné postavenie, nakoľko sa nachádza v území s prevahou rôzne zastavaných plôch. Urbanizovaná krajina je integrovaným celkom všetkých funkcií súvisiacich s civilizáciou. Na najdôležitejšie funkcie mesta – bývanie, výroba, služby, rekreácia a i. – nadväzuje vegetácia rôznej úrovne s primárnymi ako aj sekundárnymi účinkami na životné prostredie. Formovanie spoločenstiev rastlín, ale aj živočíchov, v urbanizovanom území je stále ovplyvňované urbanistickým tlakom a rozvojom mesta. O to významnejšiu ekostabilizačnú úlohu zohrávajú hlavne plochy vegetácie parkového typu.</w:t>
      </w:r>
    </w:p>
    <w:p w14:paraId="5745474E" w14:textId="77777777" w:rsidR="00B816F2" w:rsidRPr="00462DC6" w:rsidRDefault="00B816F2" w:rsidP="00B816F2">
      <w:pPr>
        <w:pStyle w:val="A-Text11"/>
        <w:rPr>
          <w:rFonts w:eastAsia="Calibri"/>
        </w:rPr>
      </w:pPr>
      <w:r w:rsidRPr="00462DC6">
        <w:t xml:space="preserve">Na základe dendrologickej štúdie (Dubovský, 2021) bolo v sledovanom území identifikovaných 44 drevín, z ktorých bolo 37 v kategórii stromov s obvodom kmeňa väčším ako 40 cm, 3 v kategórii stromov s obvodom kmeňa do 40 cm a 4 skupiny krovín s plochou </w:t>
      </w:r>
      <w:r w:rsidRPr="00462DC6">
        <w:lastRenderedPageBreak/>
        <w:t>väčšou ako 10 m</w:t>
      </w:r>
      <w:r w:rsidRPr="00462DC6">
        <w:rPr>
          <w:vertAlign w:val="superscript"/>
        </w:rPr>
        <w:t>2</w:t>
      </w:r>
      <w:r w:rsidRPr="00462DC6">
        <w:t>. Z drevín vyskytujúcich sa na priamo dotknutých lokalitách tu boli zistené stromy</w:t>
      </w:r>
      <w:r w:rsidRPr="00462DC6">
        <w:rPr>
          <w:rFonts w:eastAsia="Calibri"/>
        </w:rPr>
        <w:t xml:space="preserve"> III. skupiny (listnaté opadavé dreviny) zastúpené druhmi javor mliečny (</w:t>
      </w:r>
      <w:r w:rsidRPr="00462DC6">
        <w:rPr>
          <w:rFonts w:eastAsia="Calibri"/>
          <w:i/>
        </w:rPr>
        <w:t>Acer platanoides</w:t>
      </w:r>
      <w:r w:rsidRPr="00462DC6">
        <w:rPr>
          <w:rFonts w:eastAsia="Calibri"/>
        </w:rPr>
        <w:t xml:space="preserve">), </w:t>
      </w:r>
      <w:r w:rsidRPr="00462DC6">
        <w:t>marhuľa obyčajná</w:t>
      </w:r>
      <w:r w:rsidRPr="00462DC6">
        <w:rPr>
          <w:rFonts w:eastAsia="Calibri"/>
        </w:rPr>
        <w:t xml:space="preserve"> (</w:t>
      </w:r>
      <w:r w:rsidRPr="00462DC6">
        <w:rPr>
          <w:i/>
        </w:rPr>
        <w:t>Armeniaca vulgaris</w:t>
      </w:r>
      <w:r w:rsidRPr="00462DC6">
        <w:rPr>
          <w:rFonts w:eastAsia="Calibri"/>
        </w:rPr>
        <w:t xml:space="preserve">), </w:t>
      </w:r>
      <w:r w:rsidRPr="00462DC6">
        <w:t>čerešňa vtáčia (</w:t>
      </w:r>
      <w:r w:rsidRPr="00462DC6">
        <w:rPr>
          <w:i/>
        </w:rPr>
        <w:t>Cerasus avium</w:t>
      </w:r>
      <w:r w:rsidRPr="00462DC6">
        <w:t>), jaseň štíhly (</w:t>
      </w:r>
      <w:r w:rsidRPr="00462DC6">
        <w:rPr>
          <w:i/>
        </w:rPr>
        <w:t>Fraxinus excelsior</w:t>
      </w:r>
      <w:r w:rsidRPr="00462DC6">
        <w:t>), jaseň mannový (</w:t>
      </w:r>
      <w:r w:rsidRPr="00462DC6">
        <w:rPr>
          <w:i/>
        </w:rPr>
        <w:t>Fraxinus ornus</w:t>
      </w:r>
      <w:r w:rsidRPr="00462DC6">
        <w:t>),</w:t>
      </w:r>
      <w:r w:rsidRPr="00462DC6">
        <w:rPr>
          <w:rFonts w:eastAsia="Calibri"/>
        </w:rPr>
        <w:t xml:space="preserve"> </w:t>
      </w:r>
      <w:r w:rsidRPr="00462DC6">
        <w:t>orech kráľovský (</w:t>
      </w:r>
      <w:r w:rsidRPr="00462DC6">
        <w:rPr>
          <w:i/>
        </w:rPr>
        <w:t>Juglans regia</w:t>
      </w:r>
      <w:r w:rsidRPr="00462DC6">
        <w:t xml:space="preserve">), </w:t>
      </w:r>
      <w:r w:rsidRPr="00462DC6">
        <w:rPr>
          <w:rFonts w:eastAsia="Calibri"/>
        </w:rPr>
        <w:t>jabloň domáca (</w:t>
      </w:r>
      <w:r w:rsidRPr="00462DC6">
        <w:rPr>
          <w:rFonts w:eastAsia="Calibri"/>
          <w:i/>
        </w:rPr>
        <w:t>Malus domestica</w:t>
      </w:r>
      <w:r w:rsidRPr="00462DC6">
        <w:rPr>
          <w:rFonts w:eastAsia="Calibri"/>
        </w:rPr>
        <w:t xml:space="preserve">), </w:t>
      </w:r>
      <w:r w:rsidRPr="00462DC6">
        <w:t>moruša čierna</w:t>
      </w:r>
      <w:r w:rsidRPr="00462DC6">
        <w:rPr>
          <w:rFonts w:eastAsia="Calibri"/>
        </w:rPr>
        <w:t xml:space="preserve"> (</w:t>
      </w:r>
      <w:r w:rsidRPr="00462DC6">
        <w:rPr>
          <w:i/>
        </w:rPr>
        <w:t>Morus nigra</w:t>
      </w:r>
      <w:r w:rsidRPr="00462DC6">
        <w:rPr>
          <w:rFonts w:eastAsia="Calibri"/>
        </w:rPr>
        <w:t>), topoľ biely (</w:t>
      </w:r>
      <w:r w:rsidRPr="00462DC6">
        <w:rPr>
          <w:rFonts w:eastAsia="Calibri"/>
          <w:i/>
        </w:rPr>
        <w:t>Populus alba</w:t>
      </w:r>
      <w:r w:rsidRPr="00462DC6">
        <w:rPr>
          <w:rFonts w:eastAsia="Calibri"/>
        </w:rPr>
        <w:t xml:space="preserve">), </w:t>
      </w:r>
      <w:r w:rsidRPr="00462DC6">
        <w:t>topoľ čierny (</w:t>
      </w:r>
      <w:r w:rsidRPr="00462DC6">
        <w:rPr>
          <w:i/>
        </w:rPr>
        <w:t>Populus nigra</w:t>
      </w:r>
      <w:r w:rsidRPr="00462DC6">
        <w:t xml:space="preserve">), </w:t>
      </w:r>
      <w:r w:rsidRPr="00462DC6">
        <w:rPr>
          <w:rFonts w:eastAsia="Calibri"/>
        </w:rPr>
        <w:t>slivka čerešňoplodá</w:t>
      </w:r>
      <w:r w:rsidRPr="00462DC6">
        <w:t xml:space="preserve"> (</w:t>
      </w:r>
      <w:r w:rsidRPr="00462DC6">
        <w:rPr>
          <w:rFonts w:eastAsia="Calibri"/>
          <w:i/>
        </w:rPr>
        <w:t>Prunus cerasifera subsp. myrobalana</w:t>
      </w:r>
      <w:r w:rsidRPr="00462DC6">
        <w:t>), hruška obyčajná (</w:t>
      </w:r>
      <w:r w:rsidRPr="00462DC6">
        <w:rPr>
          <w:i/>
        </w:rPr>
        <w:t>Pyrus communis</w:t>
      </w:r>
      <w:r w:rsidRPr="00462DC6">
        <w:t xml:space="preserve">), </w:t>
      </w:r>
      <w:r w:rsidRPr="00462DC6">
        <w:rPr>
          <w:rFonts w:eastAsia="Calibri"/>
        </w:rPr>
        <w:t>dub červený (</w:t>
      </w:r>
      <w:r w:rsidRPr="00462DC6">
        <w:rPr>
          <w:rFonts w:eastAsia="Calibri"/>
          <w:i/>
        </w:rPr>
        <w:t>Quercus rubra</w:t>
      </w:r>
      <w:r w:rsidRPr="00462DC6">
        <w:rPr>
          <w:rFonts w:eastAsia="Calibri"/>
        </w:rPr>
        <w:t xml:space="preserve">), </w:t>
      </w:r>
      <w:r w:rsidRPr="00462DC6">
        <w:t>lipa malolistá (</w:t>
      </w:r>
      <w:r w:rsidRPr="00462DC6">
        <w:rPr>
          <w:i/>
        </w:rPr>
        <w:t>Tilia cordata</w:t>
      </w:r>
      <w:r w:rsidRPr="00462DC6">
        <w:t xml:space="preserve">) </w:t>
      </w:r>
      <w:r w:rsidRPr="00462DC6">
        <w:rPr>
          <w:rFonts w:eastAsia="Calibri"/>
        </w:rPr>
        <w:t>a </w:t>
      </w:r>
      <w:r w:rsidRPr="00462DC6">
        <w:t>stromy</w:t>
      </w:r>
      <w:r w:rsidRPr="00462DC6">
        <w:rPr>
          <w:rFonts w:eastAsia="Calibri"/>
        </w:rPr>
        <w:t xml:space="preserve"> II. skupiny (ihličnaté dreviny) zastupuje</w:t>
      </w:r>
      <w:r w:rsidRPr="00462DC6">
        <w:t xml:space="preserve"> tujovec východný</w:t>
      </w:r>
      <w:r w:rsidRPr="00462DC6">
        <w:rPr>
          <w:rFonts w:eastAsia="Calibri"/>
        </w:rPr>
        <w:t xml:space="preserve"> (</w:t>
      </w:r>
      <w:r w:rsidRPr="00462DC6">
        <w:rPr>
          <w:i/>
        </w:rPr>
        <w:t>Platycladus orientalis</w:t>
      </w:r>
      <w:r w:rsidRPr="00462DC6">
        <w:rPr>
          <w:rFonts w:eastAsia="Calibri"/>
        </w:rPr>
        <w:t>). Z krovín sú tu zastúpené</w:t>
      </w:r>
      <w:r w:rsidRPr="00462DC6">
        <w:t xml:space="preserve"> dreviny</w:t>
      </w:r>
      <w:r w:rsidRPr="00462DC6">
        <w:rPr>
          <w:rFonts w:eastAsia="Calibri"/>
        </w:rPr>
        <w:t xml:space="preserve"> III. skupiny (listnaté opadavé dreviny) baza čierna (</w:t>
      </w:r>
      <w:r w:rsidRPr="00462DC6">
        <w:rPr>
          <w:rFonts w:eastAsia="Calibri"/>
          <w:i/>
        </w:rPr>
        <w:t>Sambucus nigra</w:t>
      </w:r>
      <w:r w:rsidRPr="00462DC6">
        <w:rPr>
          <w:rFonts w:eastAsia="Calibri"/>
        </w:rPr>
        <w:t>) a</w:t>
      </w:r>
      <w:r w:rsidRPr="00462DC6">
        <w:t> svíb krvavý (</w:t>
      </w:r>
      <w:r w:rsidRPr="00462DC6">
        <w:rPr>
          <w:i/>
        </w:rPr>
        <w:t>Swida sanguinea</w:t>
      </w:r>
      <w:r w:rsidRPr="00462DC6">
        <w:t>). V okolí sa vyskytujú aj ďalšie druhy drevín.</w:t>
      </w:r>
    </w:p>
    <w:p w14:paraId="17CD6477" w14:textId="77777777" w:rsidR="00B816F2" w:rsidRPr="00462DC6" w:rsidRDefault="00B816F2" w:rsidP="00B816F2">
      <w:pPr>
        <w:pStyle w:val="A-Text11"/>
        <w:rPr>
          <w:rFonts w:eastAsiaTheme="minorHAnsi"/>
        </w:rPr>
      </w:pPr>
      <w:r w:rsidRPr="00462DC6">
        <w:t xml:space="preserve">V sledovanom území </w:t>
      </w:r>
      <w:r w:rsidRPr="00462DC6">
        <w:rPr>
          <w:u w:val="single"/>
        </w:rPr>
        <w:t>neboli zistené chránené druhy rastlín</w:t>
      </w:r>
      <w:r w:rsidRPr="00462DC6">
        <w:t xml:space="preserve"> v zmysle Zákona NR SR č. 543/2002 Z.z. o ochrane prírody a krajiny v znení neskorších predpisov a Vyhlášky MŽP SR č. 170/2021 Z.z., ktorou sa vykonáva zákon č. 543/2002 Z.z. o ochrane prírody a krajiny v znení neskorších predpisov. Ani žiadna z uvedených drevín nepatrí medzi chránené druhy a ani žiadna z nich nebola vyhlásená za chránený strom v zmysle platných legislatívnych predpisov.</w:t>
      </w:r>
    </w:p>
    <w:p w14:paraId="3D93D6A3" w14:textId="77777777" w:rsidR="00B816F2" w:rsidRPr="00462DC6" w:rsidRDefault="00B816F2" w:rsidP="00B816F2">
      <w:pPr>
        <w:pStyle w:val="A-Text11"/>
      </w:pPr>
      <w:r w:rsidRPr="00462DC6">
        <w:t xml:space="preserve">V sledovanom území sa </w:t>
      </w:r>
      <w:r w:rsidRPr="00462DC6">
        <w:rPr>
          <w:u w:val="single"/>
        </w:rPr>
        <w:t>nenachádzajú žiadne biotopy európskeho alebo národného významu</w:t>
      </w:r>
      <w:r w:rsidRPr="00462DC6">
        <w:t xml:space="preserve"> v zmysle Zákona NR SR č. 543/2002 Z.z. o ochrane prírody a krajiny v znení neskorších predpisov a Vyhlášky MŽP SR č. 170/2021 Z.z., ktorou sa vykonáva zákon č. 543/2002 Z.z. o ochrane prírody a krajiny v znení neskorších predpisov.</w:t>
      </w:r>
    </w:p>
    <w:p w14:paraId="6B9E07E6" w14:textId="77777777" w:rsidR="00B816F2" w:rsidRPr="00462DC6" w:rsidRDefault="00B816F2" w:rsidP="00B816F2">
      <w:pPr>
        <w:pStyle w:val="A-Text11"/>
      </w:pPr>
      <w:r w:rsidRPr="00462DC6">
        <w:rPr>
          <w:u w:val="single"/>
        </w:rPr>
        <w:t>Faunisticky</w:t>
      </w:r>
      <w:r w:rsidRPr="00462DC6">
        <w:t>, podľa živočíšnych regiónov (</w:t>
      </w:r>
      <w:r w:rsidRPr="00462DC6">
        <w:rPr>
          <w:smallCaps/>
        </w:rPr>
        <w:t>Čepelák, 1980</w:t>
      </w:r>
      <w:r w:rsidRPr="00462DC6">
        <w:t>), patrí sledované územie do provincie Vnútrokarpatskej zníženiny, Panónskej oblasti (</w:t>
      </w:r>
      <w:r w:rsidRPr="00462DC6">
        <w:rPr>
          <w:i/>
        </w:rPr>
        <w:t>Pannonikum</w:t>
      </w:r>
      <w:r w:rsidRPr="00462DC6">
        <w:t>), juhoslovenského obvodu, dunajského okrsku lužného. Zo severu a severozápadu sem zasahuje vplyv provincie Karpaty, oblasti Západné Karpaty, do vnútorného obvodu, západného okrsku. Existencia uvedeného rozhrania sa prejavuje aj v pestrom zastúpení teplomilných ale aj karpatských druhov fauny. Možno konštatovať, že najlepšie preskúmanou skupinou na sledovanom území sú vtáky. Vtáky, vzhľadom na ich špecifickú pôsobnosť a rozsah získaných poznatkov predstavujú spolu s mäkkýšmi, obojživelníkmi a plazmi jednu z najvýznamnejších skupín z hľadiska indikácie stavu životného prostredia.</w:t>
      </w:r>
    </w:p>
    <w:p w14:paraId="28A1F6D8" w14:textId="77777777" w:rsidR="00B816F2" w:rsidRPr="00462DC6" w:rsidRDefault="00B816F2" w:rsidP="00B816F2">
      <w:pPr>
        <w:pStyle w:val="A-Text11"/>
      </w:pPr>
      <w:r w:rsidRPr="00462DC6">
        <w:t xml:space="preserve">V dôsledku rastu mesta a silného antropického tlaku na biozložku územia boli pôvodné biotopy značne pozmenené. Na sledovanom území sa vyskytuje bežná fauna urbanizovaného prostredia, </w:t>
      </w:r>
      <w:r w:rsidRPr="00462DC6">
        <w:rPr>
          <w:rFonts w:eastAsia="Calibri"/>
        </w:rPr>
        <w:t>fauna rozsiahlejších parkových plôch a mozaiky prídomových záhrad a malých plôch verejnej zelene. Z</w:t>
      </w:r>
      <w:r w:rsidRPr="00462DC6">
        <w:t> bezstavovcov sa tu vyskytuje hlavne hmyz, slimáky, pôdne organizmy, zo stavovcov hlavne vtáky a drobné zemné cicavce. Významnejšie lokality z hľadiska výskytu druhov živočíchov sa nachádzajú v širšom okolí a sú to hlavne jazero Zlaté piesky a okolitá brehová vegetácia, jazero Kuchajda s okolím a väčšie parkové plochy (Park 1 Mierová kolónia, Park 2 Mierová kolónia) alebo opustené drevinami zarastené plochy pri Jurajovom dvore (Mierová kolónia, Vila Jurajov dvor).</w:t>
      </w:r>
    </w:p>
    <w:p w14:paraId="688792B6" w14:textId="77777777" w:rsidR="00B816F2" w:rsidRPr="00462DC6" w:rsidRDefault="00B816F2" w:rsidP="00B816F2">
      <w:pPr>
        <w:pStyle w:val="A-Text11"/>
      </w:pPr>
      <w:r w:rsidRPr="00462DC6">
        <w:t>Z </w:t>
      </w:r>
      <w:r w:rsidRPr="00462DC6">
        <w:rPr>
          <w:u w:val="single"/>
        </w:rPr>
        <w:t>bezstavovcov</w:t>
      </w:r>
      <w:r w:rsidRPr="00462DC6">
        <w:t xml:space="preserve"> tu možno nájsť niektorých zástupcov mäkkýšov (</w:t>
      </w:r>
      <w:r w:rsidRPr="00462DC6">
        <w:rPr>
          <w:i/>
        </w:rPr>
        <w:t>Mollusca</w:t>
      </w:r>
      <w:r w:rsidRPr="00462DC6">
        <w:t>), obrúčkavcov (</w:t>
      </w:r>
      <w:r w:rsidRPr="00462DC6">
        <w:rPr>
          <w:i/>
        </w:rPr>
        <w:t>Annelida</w:t>
      </w:r>
      <w:r w:rsidRPr="00462DC6">
        <w:t>), pavúkovcov (</w:t>
      </w:r>
      <w:r w:rsidRPr="00462DC6">
        <w:rPr>
          <w:i/>
        </w:rPr>
        <w:t>Arachnida</w:t>
      </w:r>
      <w:r w:rsidRPr="00462DC6">
        <w:t>), mnohonôžok (</w:t>
      </w:r>
      <w:r w:rsidRPr="00462DC6">
        <w:rPr>
          <w:i/>
        </w:rPr>
        <w:t>Diplopoda</w:t>
      </w:r>
      <w:r w:rsidRPr="00462DC6">
        <w:t>), stonôžok (</w:t>
      </w:r>
      <w:r w:rsidRPr="00462DC6">
        <w:rPr>
          <w:i/>
        </w:rPr>
        <w:t>Chilopoda</w:t>
      </w:r>
      <w:r w:rsidRPr="00462DC6">
        <w:t>) a i., veľkou skupinou živočíchov územia je hlavne hmyz (</w:t>
      </w:r>
      <w:r w:rsidRPr="00462DC6">
        <w:rPr>
          <w:i/>
        </w:rPr>
        <w:t>Insecta</w:t>
      </w:r>
      <w:r w:rsidRPr="00462DC6">
        <w:t>). Variabilita druhov je podmienená celkovým stavom životného prostredia, stavom a typom vegetácie a stupňom zastavanosti plôch. Najväčšia variabilita druhov je na plochách trvalých travinno-bylinných porastov, súvislých porastov drevín a v okolí skupín stromov až zvyškov porastov drevín s krovitým a bylinným podrastom. V porastoch na povrchu pôdy sa vyskytujú chvostoskoky (</w:t>
      </w:r>
      <w:r w:rsidRPr="00462DC6">
        <w:rPr>
          <w:i/>
        </w:rPr>
        <w:t>Collembola</w:t>
      </w:r>
      <w:r w:rsidRPr="00462DC6">
        <w:t xml:space="preserve">), </w:t>
      </w:r>
      <w:r w:rsidRPr="00462DC6">
        <w:lastRenderedPageBreak/>
        <w:t>bežné sú ucholaky (</w:t>
      </w:r>
      <w:r w:rsidRPr="00462DC6">
        <w:rPr>
          <w:i/>
        </w:rPr>
        <w:t>Dermoptera</w:t>
      </w:r>
      <w:r w:rsidRPr="00462DC6">
        <w:t>), šváby (</w:t>
      </w:r>
      <w:r w:rsidRPr="00462DC6">
        <w:rPr>
          <w:i/>
        </w:rPr>
        <w:t>Blattodea</w:t>
      </w:r>
      <w:r w:rsidRPr="00462DC6">
        <w:t>), cikády (</w:t>
      </w:r>
      <w:r w:rsidRPr="00462DC6">
        <w:rPr>
          <w:i/>
        </w:rPr>
        <w:t>Auchenorrhyncha</w:t>
      </w:r>
      <w:r w:rsidRPr="00462DC6">
        <w:t>), bzdochy (</w:t>
      </w:r>
      <w:r w:rsidRPr="00462DC6">
        <w:rPr>
          <w:i/>
        </w:rPr>
        <w:t>Heteroptera</w:t>
      </w:r>
      <w:r w:rsidRPr="00462DC6">
        <w:t>), z ktorých je najznámejšia cifruša bezkrídla (</w:t>
      </w:r>
      <w:r w:rsidRPr="00462DC6">
        <w:rPr>
          <w:i/>
        </w:rPr>
        <w:t>Pyrrhocoris apterus</w:t>
      </w:r>
      <w:r w:rsidRPr="00462DC6">
        <w:t>), na travinno-bylinných porastoch sa vyskytujú z rovnokrídlovcov (</w:t>
      </w:r>
      <w:r w:rsidRPr="00462DC6">
        <w:rPr>
          <w:i/>
        </w:rPr>
        <w:t>Orthoptera</w:t>
      </w:r>
      <w:r w:rsidRPr="00462DC6">
        <w:t>) hlavne koníky, zriedkavejšie aj kobylky, na mnohých druhoch rastlín parazitujú vošky (</w:t>
      </w:r>
      <w:r w:rsidRPr="00462DC6">
        <w:rPr>
          <w:i/>
        </w:rPr>
        <w:t>Aphidinea</w:t>
      </w:r>
      <w:r w:rsidRPr="00462DC6">
        <w:t>) a červce (</w:t>
      </w:r>
      <w:r w:rsidRPr="00462DC6">
        <w:rPr>
          <w:i/>
        </w:rPr>
        <w:t>Coccinea</w:t>
      </w:r>
      <w:r w:rsidRPr="00462DC6">
        <w:t>). Pomerne značnú skupinu tvoria druhy blanokrídlovcov (</w:t>
      </w:r>
      <w:r w:rsidRPr="00462DC6">
        <w:rPr>
          <w:i/>
        </w:rPr>
        <w:t>Hymenoptera</w:t>
      </w:r>
      <w:r w:rsidRPr="00462DC6">
        <w:t>), hlavne rôzne druhy mravcov, ôs, čmeľov, zalietavajú tu aj včely a druhy dvojkrídlovcov (</w:t>
      </w:r>
      <w:r w:rsidRPr="00462DC6">
        <w:rPr>
          <w:i/>
        </w:rPr>
        <w:t>Diptera</w:t>
      </w:r>
      <w:r w:rsidRPr="00462DC6">
        <w:t>), hlavne komáre, muchy a bzučivky. Z motýľov (</w:t>
      </w:r>
      <w:r w:rsidRPr="00462DC6">
        <w:rPr>
          <w:i/>
        </w:rPr>
        <w:t>Lepidoptera</w:t>
      </w:r>
      <w:r w:rsidRPr="00462DC6">
        <w:t>) sa tu vyskytujú hlavne viaceré druhy piadiviek, obaľovačov a mnohé iné druhy nočných a denných motýľov. Významnou skupinou sú tiež chrobáky (</w:t>
      </w:r>
      <w:r w:rsidRPr="00462DC6">
        <w:rPr>
          <w:i/>
        </w:rPr>
        <w:t>Coleoptera</w:t>
      </w:r>
      <w:r w:rsidRPr="00462DC6">
        <w:t>) z ktorých v území sú najviac zastúpené bežce, utekáčiky, lienky, ojedinele bystrušky a mnohé ďalšie. Zistené druhy bezstavovcov patria väčšinou medzi euryékne, hojné a rozšírené druhy. Zloženie spoločenstiev bezstavovcov priamo odráža stav prírodného prostredia. Na značne narušených a antropických habitatoch nie sú schopní prežívať ekologickí špecialisti.</w:t>
      </w:r>
    </w:p>
    <w:p w14:paraId="34142C94" w14:textId="77777777" w:rsidR="00B816F2" w:rsidRPr="00462DC6" w:rsidRDefault="00B816F2" w:rsidP="00B816F2">
      <w:pPr>
        <w:pStyle w:val="A-Text11"/>
      </w:pPr>
      <w:r w:rsidRPr="00462DC6">
        <w:t xml:space="preserve">Zo </w:t>
      </w:r>
      <w:r w:rsidRPr="00462DC6">
        <w:rPr>
          <w:u w:val="single"/>
        </w:rPr>
        <w:t>stavovcov</w:t>
      </w:r>
      <w:r w:rsidRPr="00462DC6">
        <w:t xml:space="preserve"> sa na sledovanom území a v jeho okolí vyskytujú druhy charakteristické pre urbanizované územie. Cicavce (</w:t>
      </w:r>
      <w:r w:rsidRPr="00462DC6">
        <w:rPr>
          <w:i/>
        </w:rPr>
        <w:t>Mammalia</w:t>
      </w:r>
      <w:r w:rsidRPr="00462DC6">
        <w:t>) sú tu zastúpené v menšej miere. Prevládajú druhy s vyššou tendenciou k synantropii ako krt obyčajný (</w:t>
      </w:r>
      <w:r w:rsidRPr="00462DC6">
        <w:rPr>
          <w:i/>
        </w:rPr>
        <w:t>Talpa europaea</w:t>
      </w:r>
      <w:r w:rsidRPr="00462DC6">
        <w:t>), potkan obyčajný (</w:t>
      </w:r>
      <w:r w:rsidRPr="00462DC6">
        <w:rPr>
          <w:i/>
        </w:rPr>
        <w:t>Rattus norvegicus</w:t>
      </w:r>
      <w:r w:rsidRPr="00462DC6">
        <w:t>), myš domová (</w:t>
      </w:r>
      <w:r w:rsidRPr="00462DC6">
        <w:rPr>
          <w:i/>
        </w:rPr>
        <w:t>Mus musculus</w:t>
      </w:r>
      <w:r w:rsidRPr="00462DC6">
        <w:t>) a iné drobné zemné cicavce. Územím prelietavajú aj niektoré druhy netopierov. Všeobecne najpočetnejšie sú tu zastúpené vtáky (</w:t>
      </w:r>
      <w:r w:rsidRPr="00462DC6">
        <w:rPr>
          <w:i/>
        </w:rPr>
        <w:t>Aves</w:t>
      </w:r>
      <w:r w:rsidRPr="00462DC6">
        <w:t>). Na záhradnú a sídelnú zeleň sa v hodnotenom území viaže výskyt takýchto vtákov ako holub hrivnák (</w:t>
      </w:r>
      <w:r w:rsidRPr="00462DC6">
        <w:rPr>
          <w:i/>
        </w:rPr>
        <w:t>Columba palumbus</w:t>
      </w:r>
      <w:r w:rsidRPr="00462DC6">
        <w:t>), hrdlička záhradná (</w:t>
      </w:r>
      <w:r w:rsidRPr="00462DC6">
        <w:rPr>
          <w:i/>
        </w:rPr>
        <w:t>Streptopelia decaocto</w:t>
      </w:r>
      <w:r w:rsidRPr="00462DC6">
        <w:t>), drozd čierny (</w:t>
      </w:r>
      <w:r w:rsidRPr="00462DC6">
        <w:rPr>
          <w:i/>
        </w:rPr>
        <w:t>Turdus merula</w:t>
      </w:r>
      <w:r w:rsidRPr="00462DC6">
        <w:t>), sýkorka veľká (</w:t>
      </w:r>
      <w:r w:rsidRPr="00462DC6">
        <w:rPr>
          <w:i/>
        </w:rPr>
        <w:t>Parus major</w:t>
      </w:r>
      <w:r w:rsidRPr="00462DC6">
        <w:t>), straka obyčajná (</w:t>
      </w:r>
      <w:r w:rsidRPr="00462DC6">
        <w:rPr>
          <w:i/>
        </w:rPr>
        <w:t>Pica pica</w:t>
      </w:r>
      <w:r w:rsidRPr="00462DC6">
        <w:t>) a vrabec domový (</w:t>
      </w:r>
      <w:r w:rsidRPr="00462DC6">
        <w:rPr>
          <w:i/>
        </w:rPr>
        <w:t>Passer domesticus</w:t>
      </w:r>
      <w:r w:rsidRPr="00462DC6">
        <w:t>). V zastavaných častiach dominujú druhy ako vrabec domový (</w:t>
      </w:r>
      <w:r w:rsidRPr="00462DC6">
        <w:rPr>
          <w:i/>
        </w:rPr>
        <w:t>Passer domesticus</w:t>
      </w:r>
      <w:r w:rsidRPr="00462DC6">
        <w:t>), belorítka (</w:t>
      </w:r>
      <w:r w:rsidRPr="00462DC6">
        <w:rPr>
          <w:i/>
        </w:rPr>
        <w:t>Delichon urbica</w:t>
      </w:r>
      <w:r w:rsidRPr="00462DC6">
        <w:t>), lastovička domová (</w:t>
      </w:r>
      <w:r w:rsidRPr="00462DC6">
        <w:rPr>
          <w:i/>
        </w:rPr>
        <w:t>Hirundo rustica</w:t>
      </w:r>
      <w:r w:rsidRPr="00462DC6">
        <w:t>), hrdlička záhradná (</w:t>
      </w:r>
      <w:r w:rsidRPr="00462DC6">
        <w:rPr>
          <w:i/>
        </w:rPr>
        <w:t>Streptopelia decaocto</w:t>
      </w:r>
      <w:r w:rsidRPr="00462DC6">
        <w:t>), žltochvost domový (</w:t>
      </w:r>
      <w:r w:rsidRPr="00462DC6">
        <w:rPr>
          <w:i/>
        </w:rPr>
        <w:t>Phoenicurus ochruros</w:t>
      </w:r>
      <w:r w:rsidRPr="00462DC6">
        <w:t>), vrany (</w:t>
      </w:r>
      <w:r w:rsidRPr="00462DC6">
        <w:rPr>
          <w:i/>
        </w:rPr>
        <w:t>Corvus corone</w:t>
      </w:r>
      <w:r w:rsidRPr="00462DC6">
        <w:t>), havran čierny (</w:t>
      </w:r>
      <w:r w:rsidRPr="00462DC6">
        <w:rPr>
          <w:i/>
        </w:rPr>
        <w:t>Corvus frugilegus</w:t>
      </w:r>
      <w:r w:rsidRPr="00462DC6">
        <w:t>), straka (</w:t>
      </w:r>
      <w:r w:rsidRPr="00462DC6">
        <w:rPr>
          <w:i/>
        </w:rPr>
        <w:t>Pica pica</w:t>
      </w:r>
      <w:r w:rsidRPr="00462DC6">
        <w:t>) alebo drozd čierny (</w:t>
      </w:r>
      <w:r w:rsidRPr="00462DC6">
        <w:rPr>
          <w:i/>
        </w:rPr>
        <w:t>Turdus merula</w:t>
      </w:r>
      <w:r w:rsidRPr="00462DC6">
        <w:t>), ktoré však do územia bežne zalietavajú za potravou. Z dravcov do územia najčastejšie zalietava sokol myšiar (</w:t>
      </w:r>
      <w:r w:rsidRPr="00462DC6">
        <w:rPr>
          <w:i/>
        </w:rPr>
        <w:t>Falco tinnunculus</w:t>
      </w:r>
      <w:r w:rsidRPr="00462DC6">
        <w:t>). Z ďalších druhov sa tu vyskytuje dážďovník obyčajný (</w:t>
      </w:r>
      <w:r w:rsidRPr="00462DC6">
        <w:rPr>
          <w:i/>
        </w:rPr>
        <w:t>Apus apus</w:t>
      </w:r>
      <w:r w:rsidRPr="00462DC6">
        <w:t>), stehlík obyčajný (</w:t>
      </w:r>
      <w:r w:rsidRPr="00462DC6">
        <w:rPr>
          <w:i/>
        </w:rPr>
        <w:t>Carduelis carduelis</w:t>
      </w:r>
      <w:r w:rsidRPr="00462DC6">
        <w:t>), penica obyčajná (</w:t>
      </w:r>
      <w:r w:rsidRPr="00462DC6">
        <w:rPr>
          <w:i/>
        </w:rPr>
        <w:t>Sylvia communis</w:t>
      </w:r>
      <w:r w:rsidRPr="00462DC6">
        <w:t>), vrabec poľný (</w:t>
      </w:r>
      <w:r w:rsidRPr="00462DC6">
        <w:rPr>
          <w:i/>
        </w:rPr>
        <w:t>Passer montanus</w:t>
      </w:r>
      <w:r w:rsidRPr="00462DC6">
        <w:t>) a mnohé ďalšie.</w:t>
      </w:r>
    </w:p>
    <w:p w14:paraId="04FF0927" w14:textId="77777777" w:rsidR="00B816F2" w:rsidRPr="00462DC6" w:rsidRDefault="00B816F2" w:rsidP="00B816F2">
      <w:pPr>
        <w:pStyle w:val="A-Text11"/>
      </w:pPr>
      <w:r w:rsidRPr="00462DC6">
        <w:rPr>
          <w:u w:val="single"/>
        </w:rPr>
        <w:t>Ochranu živočíchov</w:t>
      </w:r>
      <w:r w:rsidRPr="00462DC6">
        <w:t xml:space="preserve"> ako aj jednotlivé chránené druhy vymedzuje Zákon NR SR č. 543/2002 Z.z. o ochrane prírody a krajiny v znení neskorších predpisov a Vyhláška MŽP SR č. 170/2021 Z.z., ktorou sa vykonáva zákon č. 543/2002 Z.z. o ochrane prírody a krajiny v znení neskorších predpisov. Medzi </w:t>
      </w:r>
      <w:r w:rsidRPr="00462DC6">
        <w:rPr>
          <w:u w:val="single"/>
        </w:rPr>
        <w:t>chránené druhy živočíchov</w:t>
      </w:r>
      <w:r w:rsidRPr="00462DC6">
        <w:t xml:space="preserve"> európskeho alebo národného významu, zistené v sledovanom území, patria niektoré druhy bezstavovcov ako napr. všetky druhy čmeľov (rod </w:t>
      </w:r>
      <w:r w:rsidRPr="00462DC6">
        <w:rPr>
          <w:i/>
        </w:rPr>
        <w:t>Bombus</w:t>
      </w:r>
      <w:r w:rsidRPr="00462DC6">
        <w:t>), zo stavovcov všetky druhy vtákov (okrem holuba domáceho), jež bledý (</w:t>
      </w:r>
      <w:r w:rsidRPr="00462DC6">
        <w:rPr>
          <w:i/>
        </w:rPr>
        <w:t>Erinaceus concolor</w:t>
      </w:r>
      <w:r w:rsidRPr="00462DC6">
        <w:t>) a všetky druhy netopierov.</w:t>
      </w:r>
    </w:p>
    <w:p w14:paraId="66556449" w14:textId="177B413C" w:rsidR="00E65CA9" w:rsidRPr="00B816F2" w:rsidRDefault="00E65CA9" w:rsidP="008C6F96">
      <w:pPr>
        <w:pStyle w:val="Nadpis2"/>
      </w:pPr>
      <w:bookmarkStart w:id="174" w:name="_Toc132078684"/>
      <w:bookmarkStart w:id="175" w:name="_Toc488343980"/>
      <w:bookmarkStart w:id="176" w:name="_Toc495992961"/>
      <w:bookmarkStart w:id="177" w:name="_Toc93916826"/>
      <w:bookmarkEnd w:id="171"/>
      <w:r w:rsidRPr="00B816F2">
        <w:t>Krajina, krajinný obraz,  stabilita, ochrana, scenéria</w:t>
      </w:r>
      <w:bookmarkEnd w:id="174"/>
      <w:bookmarkEnd w:id="175"/>
      <w:bookmarkEnd w:id="176"/>
      <w:bookmarkEnd w:id="177"/>
    </w:p>
    <w:p w14:paraId="31FC2700" w14:textId="77777777" w:rsidR="00F149DD" w:rsidRPr="00462DC6" w:rsidRDefault="00F149DD" w:rsidP="00327E05">
      <w:pPr>
        <w:pStyle w:val="A-Text11"/>
        <w:rPr>
          <w:b/>
          <w:bCs/>
        </w:rPr>
      </w:pPr>
      <w:r w:rsidRPr="00462DC6">
        <w:rPr>
          <w:b/>
          <w:bCs/>
        </w:rPr>
        <w:t>Súčasná krajinná štruktúra</w:t>
      </w:r>
    </w:p>
    <w:p w14:paraId="317102E4" w14:textId="77777777" w:rsidR="00F149DD" w:rsidRPr="00462DC6" w:rsidRDefault="00F149DD" w:rsidP="00327E05">
      <w:pPr>
        <w:pStyle w:val="A-Text11"/>
      </w:pPr>
      <w:r w:rsidRPr="00462DC6">
        <w:t xml:space="preserve">Krajinný priestor je trojrozmerný útvar tvorený abiotickými, biotickými a antropickými prvkami, ktoré sa navzájom podmieňujú a ovplyvňujú, ale určujú aj charakter územia, priestorové usporiadanie a využívanie. Prvky </w:t>
      </w:r>
      <w:r w:rsidRPr="00462DC6">
        <w:rPr>
          <w:u w:val="single"/>
        </w:rPr>
        <w:t>súčasnej krajinnej štruktúry</w:t>
      </w:r>
      <w:r w:rsidRPr="00462DC6">
        <w:t xml:space="preserve"> (SKŠ) sú zo systémového hľadiska fyzicky existujúce objekty, ktoré zapĺňajú zemský povrch úplne. Odrážajú súčasné využitie zeme v sledovanom území. V hodnotenom území boli vyčlenené typy súčasnej krajinnej štruktúry, ktoré boli zoskupené do určitých skupín na základe fyziognómie alebo funkčného postavenia. Pri stanovení štruktúry krajiny sa vychádza zo </w:t>
      </w:r>
      <w:r w:rsidRPr="00462DC6">
        <w:lastRenderedPageBreak/>
        <w:t>štandardnej metódy výskumu využívania krajiny z aspektov vizuálnych (fyziognomické črty štruktúry krajiny), kultúrno-historických (tradičné a historické prvky v štruktúre krajiny), fyzických (napr. charakter reliéfu, vodná sieť a pod.), z krajinno-ekologickej štruktúry (komplex živých a neživých prvkov, prírodných a antropogénnych prvkov a ich interakcia) a z funkčnej štruktúry krajiny (využívanie krajiny).</w:t>
      </w:r>
    </w:p>
    <w:p w14:paraId="5788C123" w14:textId="77777777" w:rsidR="00F149DD" w:rsidRPr="00462DC6" w:rsidRDefault="00F149DD" w:rsidP="00F149DD">
      <w:pPr>
        <w:pStyle w:val="A-Text11"/>
      </w:pPr>
      <w:r w:rsidRPr="00462DC6">
        <w:t>V sledovanom území boli na základe vyššie uvedených kritérií vyčlenené nasledovné štruktúrne prvky:</w:t>
      </w:r>
    </w:p>
    <w:p w14:paraId="34665387" w14:textId="77777777" w:rsidR="00F149DD" w:rsidRPr="00462DC6" w:rsidRDefault="00F149DD" w:rsidP="0095439F">
      <w:pPr>
        <w:pStyle w:val="A-Text11"/>
        <w:numPr>
          <w:ilvl w:val="0"/>
          <w:numId w:val="25"/>
        </w:numPr>
      </w:pPr>
      <w:r w:rsidRPr="00462DC6">
        <w:t>urbánny komplex – zahrňuje priemyselné, skladové, administratívne, obslužné, dopravné, obytné a kultúrne prvky a príslušnú infraštruktúru – tento komplex zahrňuje vlastné mestské sídlo mestskej časti Ružinov – miestnej časti Trnávka;</w:t>
      </w:r>
    </w:p>
    <w:p w14:paraId="549F2687" w14:textId="77777777" w:rsidR="00F149DD" w:rsidRPr="00462DC6" w:rsidRDefault="00F149DD" w:rsidP="0095439F">
      <w:pPr>
        <w:pStyle w:val="A-Text11"/>
        <w:numPr>
          <w:ilvl w:val="0"/>
          <w:numId w:val="25"/>
        </w:numPr>
        <w:rPr>
          <w:szCs w:val="20"/>
        </w:rPr>
      </w:pPr>
      <w:r w:rsidRPr="00462DC6">
        <w:rPr>
          <w:szCs w:val="20"/>
        </w:rPr>
        <w:t>komunikačný a produktovodný komplex – predstavuje líniové dopravné prvky ako diaľnica D1, cesty I., II., III. triedy a ostatné cestné komunikácie, parkoviská, zariadenia odpočívadiel a benzínovej pumpy, chodníky a betónové plochy, železničné vlečky a produktovody ako elektrické vedenia, plynovod, vodovod, kanalizačný zberač, telekomunikačné siete a pod., v sledovanom území je významným prvkom aj celý neďaleký areál letiska;</w:t>
      </w:r>
    </w:p>
    <w:p w14:paraId="7895E3A1" w14:textId="77777777" w:rsidR="00F149DD" w:rsidRPr="00462DC6" w:rsidRDefault="00F149DD" w:rsidP="0095439F">
      <w:pPr>
        <w:pStyle w:val="A-Text11"/>
        <w:numPr>
          <w:ilvl w:val="0"/>
          <w:numId w:val="25"/>
        </w:numPr>
        <w:rPr>
          <w:szCs w:val="20"/>
        </w:rPr>
      </w:pPr>
      <w:r w:rsidRPr="00462DC6">
        <w:rPr>
          <w:szCs w:val="20"/>
        </w:rPr>
        <w:t>komplex poľnohospodársky využívaného územia – v sledovanom území hlavne typická poľnohospodárska krajina v širšom okolí, ktorú predstavuje veľkobloková orná pôda, v užšom okolí sú to hlavne záhradkárske osady, menej mozaika viníc, záhrad, sadov, úhorov, trvalých trávnych porastov rôzneho charakteru a druhového zloženia a pod.;</w:t>
      </w:r>
    </w:p>
    <w:p w14:paraId="294A887B" w14:textId="77777777" w:rsidR="00F149DD" w:rsidRPr="00462DC6" w:rsidRDefault="00F149DD" w:rsidP="0095439F">
      <w:pPr>
        <w:pStyle w:val="A-Text11"/>
        <w:numPr>
          <w:ilvl w:val="0"/>
          <w:numId w:val="25"/>
        </w:numPr>
        <w:rPr>
          <w:szCs w:val="20"/>
        </w:rPr>
      </w:pPr>
      <w:r w:rsidRPr="00462DC6">
        <w:t>vegetačné štruktúrne prvky – porasty lesného charakteru, kroviny, zarastajúce travinno-bylinné porasty, ruderálne spoločenstvá, vegetácia urbánnej štruktúry (parková mestská a vidiecka vegetácia, sprievodná vegetácia, trvalé trávne porasty neparkového charakteru, parkové trávniky, trávnaté okraje ciest, parkovísk a iných technických prvkov a pod.), odprírodnenú poľnohospodársku štruktúru (záhrady, záhradky a pridomové záhradky), nelesná stromová a krovinná vegetácia (líniová brehová vegetácia, líniová sprievodná vegetácia komunikácií, skupinová nelesná stromová a krovinná vegetácia, solitérne rastúce dreviny, živé ploty a pod.);</w:t>
      </w:r>
    </w:p>
    <w:p w14:paraId="2B62AD3A" w14:textId="77777777" w:rsidR="00F149DD" w:rsidRPr="00462DC6" w:rsidRDefault="00F149DD" w:rsidP="0095439F">
      <w:pPr>
        <w:pStyle w:val="A-Text11"/>
        <w:numPr>
          <w:ilvl w:val="0"/>
          <w:numId w:val="25"/>
        </w:numPr>
        <w:rPr>
          <w:szCs w:val="20"/>
        </w:rPr>
      </w:pPr>
      <w:r w:rsidRPr="00462DC6">
        <w:rPr>
          <w:szCs w:val="20"/>
        </w:rPr>
        <w:t xml:space="preserve">vodné prvky – vodné plochy a toky, ktoré zahŕňajú </w:t>
      </w:r>
      <w:r w:rsidRPr="00462DC6">
        <w:t>vodné plochy ako sú Zlaté piesky, Vajnorské jazero, jazero Kalná, Štrkovecké jazero, jazero Rohlík a významné vodné toky nachádzajúce sa v širšom okolí sledovaného územia ako je Dunaj a Malý Dunaj;</w:t>
      </w:r>
    </w:p>
    <w:p w14:paraId="039C5C0C" w14:textId="77777777" w:rsidR="00F149DD" w:rsidRPr="00462DC6" w:rsidRDefault="00F149DD" w:rsidP="0095439F">
      <w:pPr>
        <w:pStyle w:val="A-Text11"/>
        <w:numPr>
          <w:ilvl w:val="0"/>
          <w:numId w:val="25"/>
        </w:numPr>
        <w:rPr>
          <w:szCs w:val="20"/>
        </w:rPr>
      </w:pPr>
      <w:r w:rsidRPr="00462DC6">
        <w:t>areály bez funkčného využitia – zahŕňa rôzne devastované plochy, plochy skládok pôdy a hornín, neúžitky po predchádzajúcej stavebnej činnosti a pod.</w:t>
      </w:r>
    </w:p>
    <w:p w14:paraId="2083E0E6" w14:textId="77777777" w:rsidR="00F149DD" w:rsidRPr="00462DC6" w:rsidRDefault="00F149DD" w:rsidP="00F149DD">
      <w:pPr>
        <w:jc w:val="both"/>
        <w:rPr>
          <w:bCs/>
          <w:szCs w:val="22"/>
        </w:rPr>
      </w:pPr>
    </w:p>
    <w:p w14:paraId="7E57954B" w14:textId="2C306599" w:rsidR="00F149DD" w:rsidRPr="00327E05" w:rsidRDefault="00F149DD" w:rsidP="009020C1">
      <w:pPr>
        <w:jc w:val="center"/>
        <w:rPr>
          <w:bCs/>
          <w:color w:val="00B050"/>
        </w:rPr>
      </w:pPr>
      <w:r w:rsidRPr="00327E05">
        <w:rPr>
          <w:noProof/>
          <w:color w:val="00B050"/>
        </w:rPr>
        <w:lastRenderedPageBreak/>
        <w:drawing>
          <wp:inline distT="0" distB="0" distL="0" distR="0" wp14:anchorId="6237A1B4" wp14:editId="77828C4A">
            <wp:extent cx="5256000" cy="3112974"/>
            <wp:effectExtent l="19050" t="19050" r="20955" b="11430"/>
            <wp:docPr id="46" name="Obrázok 46" descr="Terchovská - ob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0" descr="Terchovská - obr 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56000" cy="3112974"/>
                    </a:xfrm>
                    <a:prstGeom prst="rect">
                      <a:avLst/>
                    </a:prstGeom>
                    <a:noFill/>
                    <a:ln w="12700" cmpd="sng">
                      <a:solidFill>
                        <a:srgbClr val="000000"/>
                      </a:solidFill>
                      <a:miter lim="800000"/>
                      <a:headEnd/>
                      <a:tailEnd/>
                    </a:ln>
                    <a:effectLst/>
                  </pic:spPr>
                </pic:pic>
              </a:graphicData>
            </a:graphic>
          </wp:inline>
        </w:drawing>
      </w:r>
    </w:p>
    <w:p w14:paraId="0C9A5CD6" w14:textId="2E004752" w:rsidR="00DB37E4" w:rsidRDefault="00DB37E4" w:rsidP="00DB37E4">
      <w:pPr>
        <w:pStyle w:val="A-Text11"/>
        <w:jc w:val="center"/>
        <w:rPr>
          <w:i/>
          <w:iCs/>
          <w:sz w:val="18"/>
          <w:szCs w:val="18"/>
        </w:rPr>
      </w:pPr>
      <w:r w:rsidRPr="00DB37E4">
        <w:rPr>
          <w:i/>
          <w:iCs/>
          <w:sz w:val="18"/>
          <w:szCs w:val="18"/>
        </w:rPr>
        <w:t>Obr. III.2.1: Širší náhľad na záujmové územie</w:t>
      </w:r>
    </w:p>
    <w:p w14:paraId="4897C87E" w14:textId="01F35AB3" w:rsidR="009020C1" w:rsidRDefault="00F149DD" w:rsidP="009020C1">
      <w:pPr>
        <w:pStyle w:val="A-Text11"/>
        <w:spacing w:before="240" w:after="360"/>
        <w:ind w:firstLine="425"/>
      </w:pPr>
      <w:r w:rsidRPr="00B44C57">
        <w:t>Vlastné územie ohraničujú ulice Rožňavská (úsek je súčasťou cesty I/61), Galvaniho, Banšelova, Terchovská. Z hľadiska súčasnej krajinnej štruktúry sledované územie predstavuje človekom značne pozmenenú krajinu s vysokým podielom zastavaných území s dominantnými prvkami obytných areálov, areálov obchodu, služieb, skladových priestorov, administratívno-prevádzkových areálov, doplnené cestnou sieťou a parkoviskami.</w:t>
      </w:r>
    </w:p>
    <w:p w14:paraId="69B0E60E" w14:textId="09E50B76" w:rsidR="00F149DD" w:rsidRPr="00B44C57" w:rsidRDefault="00F149DD" w:rsidP="009020C1">
      <w:pPr>
        <w:pStyle w:val="A-Text11"/>
        <w:ind w:firstLine="0"/>
        <w:jc w:val="center"/>
        <w:rPr>
          <w:bCs/>
        </w:rPr>
      </w:pPr>
      <w:r w:rsidRPr="00B44C57">
        <w:rPr>
          <w:noProof/>
        </w:rPr>
        <w:drawing>
          <wp:inline distT="0" distB="0" distL="0" distR="0" wp14:anchorId="0B435AB9" wp14:editId="004930ED">
            <wp:extent cx="5256000" cy="3660035"/>
            <wp:effectExtent l="19050" t="19050" r="20955" b="17145"/>
            <wp:docPr id="45" name="Obrázok 45" descr="Terchovská - ob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Terchovská - obr 2.jpg"/>
                    <pic:cNvPicPr>
                      <a:picLocks noChangeAspect="1" noChangeArrowheads="1"/>
                    </pic:cNvPicPr>
                  </pic:nvPicPr>
                  <pic:blipFill rotWithShape="1">
                    <a:blip r:embed="rId19">
                      <a:extLst>
                        <a:ext uri="{28A0092B-C50C-407E-A947-70E740481C1C}">
                          <a14:useLocalDpi xmlns:a14="http://schemas.microsoft.com/office/drawing/2010/main" val="0"/>
                        </a:ext>
                      </a:extLst>
                    </a:blip>
                    <a:srcRect t="7735" b="6568"/>
                    <a:stretch/>
                  </pic:blipFill>
                  <pic:spPr bwMode="auto">
                    <a:xfrm>
                      <a:off x="0" y="0"/>
                      <a:ext cx="5256000" cy="3660035"/>
                    </a:xfrm>
                    <a:prstGeom prst="rect">
                      <a:avLst/>
                    </a:prstGeom>
                    <a:noFill/>
                    <a:ln w="12700" cap="flat"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42769694" w14:textId="7FBAC5CE" w:rsidR="00F149DD" w:rsidRPr="009020C1" w:rsidRDefault="00DB37E4" w:rsidP="009020C1">
      <w:pPr>
        <w:pStyle w:val="A-Text11"/>
        <w:jc w:val="center"/>
        <w:rPr>
          <w:i/>
          <w:iCs/>
          <w:sz w:val="18"/>
          <w:szCs w:val="18"/>
        </w:rPr>
      </w:pPr>
      <w:r w:rsidRPr="00DB37E4">
        <w:rPr>
          <w:i/>
          <w:iCs/>
          <w:sz w:val="18"/>
          <w:szCs w:val="18"/>
        </w:rPr>
        <w:t>Obr. III.2.</w:t>
      </w:r>
      <w:r>
        <w:rPr>
          <w:i/>
          <w:iCs/>
          <w:sz w:val="18"/>
          <w:szCs w:val="18"/>
        </w:rPr>
        <w:t>2</w:t>
      </w:r>
      <w:r w:rsidRPr="00DB37E4">
        <w:rPr>
          <w:i/>
          <w:iCs/>
          <w:sz w:val="18"/>
          <w:szCs w:val="18"/>
        </w:rPr>
        <w:t xml:space="preserve">: </w:t>
      </w:r>
      <w:r>
        <w:rPr>
          <w:i/>
          <w:iCs/>
          <w:sz w:val="18"/>
          <w:szCs w:val="18"/>
        </w:rPr>
        <w:t>Bližší</w:t>
      </w:r>
      <w:r w:rsidRPr="00DB37E4">
        <w:rPr>
          <w:i/>
          <w:iCs/>
          <w:sz w:val="18"/>
          <w:szCs w:val="18"/>
        </w:rPr>
        <w:t xml:space="preserve"> náhľad na záujmové územie</w:t>
      </w:r>
    </w:p>
    <w:p w14:paraId="7AF627E1" w14:textId="77777777" w:rsidR="00157A0E" w:rsidRPr="00B44C57" w:rsidRDefault="00157A0E" w:rsidP="00157A0E">
      <w:pPr>
        <w:pStyle w:val="A-Text11"/>
      </w:pPr>
      <w:r w:rsidRPr="00B44C57">
        <w:lastRenderedPageBreak/>
        <w:t xml:space="preserve">Vegetačné prvky tvoria výlučne ruderalizované trávniky alebo ruderálna vegetácia, </w:t>
      </w:r>
      <w:r w:rsidRPr="00B44C57">
        <w:rPr>
          <w:bCs/>
        </w:rPr>
        <w:t xml:space="preserve">menšie plošné porasty drevín alebo solitérne jedince rastúce na plochách travinno-bylinnej vegetácie rôzneho charakteru, prevažne však hodnotené ako </w:t>
      </w:r>
      <w:r w:rsidRPr="00B44C57">
        <w:t>ruderalizované trávniky.</w:t>
      </w:r>
    </w:p>
    <w:p w14:paraId="5A7B9065" w14:textId="7598A1B2" w:rsidR="00F149DD" w:rsidRPr="00B44C57" w:rsidRDefault="00F149DD" w:rsidP="00F149DD">
      <w:pPr>
        <w:pStyle w:val="A-Text11"/>
        <w:rPr>
          <w:b/>
          <w:bCs/>
        </w:rPr>
      </w:pPr>
      <w:r w:rsidRPr="00B44C57">
        <w:rPr>
          <w:b/>
          <w:bCs/>
        </w:rPr>
        <w:t>Scenéria krajiny</w:t>
      </w:r>
    </w:p>
    <w:p w14:paraId="515F4A5B" w14:textId="77777777" w:rsidR="00F149DD" w:rsidRPr="00B44C57" w:rsidRDefault="00F149DD" w:rsidP="00F149DD">
      <w:pPr>
        <w:pStyle w:val="A-Text11"/>
      </w:pPr>
      <w:r w:rsidRPr="00B44C57">
        <w:t>Hodnotu estetického pôsobenia krajinného obrazu, ktorý je prejavom krajinnej štruktúry nie je možné kvantifikovať, môžeme ho posúdiť len kvalitatívne (stupeň pozitívnych zážitkov človeka pri pobyte človeka v krajine). V zásade je potrebné povedať, že posudzovanie nárokov na estetickú kvalitu okolitej krajiny úzko súvisí so stupňom kultúrnej vyspelosti ľudí vytvárajúcich určitú etnickú jednotku, ako i jej materiálneho zabezpečenia. Za najvýznamnejšie faktory, ktoré podmieňujú estetický ráz kultúrnej krajiny môžeme považovať osídlenie (druh, dobu a hustotu), spôsob využitia územia, zastúpenie prírodných prvkov, hlavne lesných a NSKV, komunikácie, energovody a pod. V zásade možno konštatovať, že uvedené aktivity so zvyšujúcou sa intenzitou využitia krajiny znižujú estetické pôsobenie krajiny na človeka. Za pozitívne nosné prvky scenérie krajiny v dotknutom území možno považovať v prvom rade všetky typy porastov drevín a parkovo upravené trávnaté plochy. Negatívnymi prvkami scenérie sú mestské osídlenia tvorené súvislou plochou zastavaných území, priemyselné areály, dopravné a iné technické prvky, alebo iné javy a prvky, ktoré negatívne ovplyvňujú celkovú scenériu krajiny.</w:t>
      </w:r>
    </w:p>
    <w:p w14:paraId="4FB472D4" w14:textId="77777777" w:rsidR="00F149DD" w:rsidRPr="00B44C57" w:rsidRDefault="00F149DD" w:rsidP="00F149DD">
      <w:pPr>
        <w:pStyle w:val="A-Text11"/>
      </w:pPr>
      <w:r w:rsidRPr="00B44C57">
        <w:t>Užšie ponímané územie predstavuje krajinársky menej hodnotné územie. Pozemok na ktorom sa umiestňuje navrhovaná stavba sa nachádza v časti bratislavskej mestskej časti Ružinov – miestnej časti Trnávka, ktorá je obklopená zastavaným územím a dopravnými koridormi. Pozitívne prvky, ktoré tu reprezentuje hlavne parková vegetácia, sa tu nachádzajú vo veľmi narušenom stave. Významnejšie prvky sa nachádzajú len v širšom okolí.</w:t>
      </w:r>
    </w:p>
    <w:p w14:paraId="58A60CD3" w14:textId="77777777" w:rsidR="00F149DD" w:rsidRPr="00B44C57" w:rsidRDefault="00F149DD" w:rsidP="00F149DD">
      <w:pPr>
        <w:pStyle w:val="A-Text11"/>
        <w:rPr>
          <w:b/>
          <w:bCs/>
        </w:rPr>
      </w:pPr>
      <w:r w:rsidRPr="00B44C57">
        <w:rPr>
          <w:b/>
          <w:bCs/>
        </w:rPr>
        <w:t>Chránené územia a ich ochranné pásma</w:t>
      </w:r>
    </w:p>
    <w:p w14:paraId="7546E460" w14:textId="77777777" w:rsidR="00F149DD" w:rsidRPr="00B44C57" w:rsidRDefault="00F149DD" w:rsidP="00F149DD">
      <w:pPr>
        <w:pStyle w:val="A-Text11"/>
      </w:pPr>
      <w:r w:rsidRPr="00B44C57">
        <w:t xml:space="preserve">Ochranu prírody a krajiny na Slovensku upravuje </w:t>
      </w:r>
      <w:r w:rsidRPr="00B44C57">
        <w:rPr>
          <w:iCs/>
        </w:rPr>
        <w:t>Zákon NR SR č. 543/2002 Z.z. o ochrane prírody a krajiny v znení neskorších predpisov a Vyhláška MŽP SR č. 170/2021 Z.z., ktorou sa vykonáva zákon č. 543/2002 Z.z. o ochrane prírody a krajiny v znení neskorších predpisov</w:t>
      </w:r>
      <w:r w:rsidRPr="00B44C57">
        <w:t>. Tieto zákonné dokumenty legislatívnou formou prispievajú k zachovaniu rozmanitosti podmienok a foriem života na Zemi, utváraniu podmienok na trvalé udržiavanie, obnovovanie a racionálne využívanie prírodných zdrojov, záchranu prírodného dedičstva, charakteristického vzhľadu krajiny a na dosiahnutie a udržanie ekologickej stability. Vymedzujú všeobecnú a osobitnú ochranu prírody a krajiny a v rámci osobitnej ochrany potom územnú ochranu, druhovú ochranu chránených rastlín, chránených živočíchov, chránených nerastov a chránených skamenelín a ochranu drevín.</w:t>
      </w:r>
    </w:p>
    <w:p w14:paraId="3BB41C07" w14:textId="77777777" w:rsidR="00F149DD" w:rsidRPr="00B44C57" w:rsidRDefault="00F149DD" w:rsidP="00F149DD">
      <w:pPr>
        <w:pStyle w:val="A-Text11"/>
        <w:rPr>
          <w:rFonts w:eastAsia="Calibri"/>
        </w:rPr>
      </w:pPr>
      <w:r w:rsidRPr="00B44C57">
        <w:t>Na území mesta Bratislavy bolo vyhlásených viacero veľkoplošných a maloplošných chránených území v rôznych kategóriách a s rôznym stupňom ochrany. Do širšieho okolia sledovaného územia zasahujú dve veľkoplošné územia – chránené krajinné oblasti – CHKO Malé Karpaty a CHKO Dunajské luhy, na území ktorých platí druhý stupeň ochrany. Najbližšie k sledovanému územiu sa nachádzajú PP Rösslerov lom a NPR Šúr. Na území mestskej časti Ružinov nebolo vyhlásené žiadne chránené územie. Všetky chránené územia sa tak nachádzajú vo veľkej vzdialenosti od dotknutého územia.</w:t>
      </w:r>
      <w:r w:rsidRPr="00B44C57">
        <w:rPr>
          <w:rFonts w:eastAsia="Calibri"/>
        </w:rPr>
        <w:t xml:space="preserve"> Vzhľadom na výraznú antropizáciu sledovaného územia a jeho širšieho okolia sa priamo v dotknutom území nenachádza žiadna významná lokalita z hľadiska ochrany prírody a krajiny a ani žiadne chránené územie.</w:t>
      </w:r>
    </w:p>
    <w:p w14:paraId="07A41AC7" w14:textId="77777777" w:rsidR="00F149DD" w:rsidRPr="00B44C57" w:rsidRDefault="00F149DD" w:rsidP="00F149DD">
      <w:pPr>
        <w:pStyle w:val="A-Text11"/>
        <w:rPr>
          <w:rFonts w:eastAsiaTheme="minorHAnsi"/>
        </w:rPr>
      </w:pPr>
      <w:r w:rsidRPr="00B44C57">
        <w:rPr>
          <w:u w:val="single"/>
        </w:rPr>
        <w:lastRenderedPageBreak/>
        <w:t>Priamo do sledovaného územia nezasahuje žiadne chránené územie</w:t>
      </w:r>
      <w:r w:rsidRPr="00B44C57">
        <w:t xml:space="preserve">. Zároveň do riešenej lokality priamo nezasahuje ani žiadne ochranné pásmo chráneného územia. </w:t>
      </w:r>
      <w:r w:rsidRPr="00B44C57">
        <w:rPr>
          <w:u w:val="single"/>
        </w:rPr>
        <w:t xml:space="preserve">V súlade so zákonom </w:t>
      </w:r>
      <w:r w:rsidRPr="00B44C57">
        <w:rPr>
          <w:iCs/>
          <w:u w:val="single"/>
        </w:rPr>
        <w:t>543/2002 Z.z.</w:t>
      </w:r>
      <w:r w:rsidRPr="00B44C57">
        <w:rPr>
          <w:u w:val="single"/>
        </w:rPr>
        <w:t xml:space="preserve"> preto platí v dotknutom území prvý stupeň ochrany</w:t>
      </w:r>
      <w:r w:rsidRPr="00B44C57">
        <w:t>.</w:t>
      </w:r>
    </w:p>
    <w:p w14:paraId="3DA3FCCA" w14:textId="77777777" w:rsidR="00F149DD" w:rsidRPr="00B44C57" w:rsidRDefault="00F149DD" w:rsidP="00F149DD">
      <w:pPr>
        <w:pStyle w:val="A-Text11"/>
        <w:rPr>
          <w:iCs/>
        </w:rPr>
      </w:pPr>
      <w:r w:rsidRPr="00B44C57">
        <w:rPr>
          <w:iCs/>
          <w:u w:val="single"/>
        </w:rPr>
        <w:t>Ochranu druhov flóry a fauny</w:t>
      </w:r>
      <w:r w:rsidRPr="00B44C57">
        <w:rPr>
          <w:iCs/>
        </w:rPr>
        <w:t xml:space="preserve"> – druhovú ochranu chránených rastlín, chránených živočíchov, chránených nerastov a chránených skamenelín a ochranu drevín – upravuje Zákon NR SR č. 543/2002 Z.z. o ochrane prírody a krajiny v znení neskorších predpisov a Vyhláška MŽP SR č. 170/2021 Z.z., ktorou sa vykonáva zákon č. 543/2002 Z.z. o ochrane prírody a krajiny v znení neskorších predpisov. Platné zoznamy druhov, ktoré požívajú ochranu uvádza Vyhláška MŽP SR č. 170/2021 Z.z., kde v Prílohe č. 4 je uvedený Zoznam chránených rastlín, ktoré sa prirodzene vyskytujú na území SR a ich spoločenská hodnota, v Prílohe č. 5 je uvedený Zoznam chránených živočíchov, ktoré sa prirodzene vyskytujú na území SR a ich spoločenská hodnota a v Prílohe č. 9 je uvedený Zoznam chránených skamenelín.</w:t>
      </w:r>
    </w:p>
    <w:p w14:paraId="5725A993" w14:textId="77777777" w:rsidR="00F149DD" w:rsidRPr="00B44C57" w:rsidRDefault="00F149DD" w:rsidP="00F149DD">
      <w:pPr>
        <w:pStyle w:val="A-Text11"/>
      </w:pPr>
      <w:r w:rsidRPr="00B44C57">
        <w:rPr>
          <w:iCs/>
        </w:rPr>
        <w:t xml:space="preserve">V širšom okolí sledovaného územia sa vyskytuje viacero významných taxónov rastlín a živočíchov, medzi ktorými sú aj veľmi vzácne a chránené druhy. </w:t>
      </w:r>
      <w:r w:rsidRPr="00B44C57">
        <w:t>Výskyt chránených druhov rastlín sa najbližšie k priamo dotknutému územiu sústreďuje do medzihrádzového priestoru Dunaja a na plochy na svahoch Malých Karpát. V zastavanom území sa tieto druhy vyskytujú len sporadicky. Na priamo dotknutej lokalite chránené druhy rastlín zaznamenané neboli.</w:t>
      </w:r>
    </w:p>
    <w:p w14:paraId="5AE73E39" w14:textId="77777777" w:rsidR="00F149DD" w:rsidRPr="00B44C57" w:rsidRDefault="00F149DD" w:rsidP="00F149DD">
      <w:pPr>
        <w:pStyle w:val="A-Text11"/>
      </w:pPr>
      <w:r w:rsidRPr="00B44C57">
        <w:rPr>
          <w:iCs/>
        </w:rPr>
        <w:t>Medzi chránené druhy živočíchov, zistených v sledovanom území, patria niektoré druhy bezstavovcov</w:t>
      </w:r>
      <w:r w:rsidRPr="00B44C57">
        <w:t xml:space="preserve"> ako napr. </w:t>
      </w:r>
      <w:r w:rsidRPr="00B44C57">
        <w:rPr>
          <w:iCs/>
        </w:rPr>
        <w:t>všetky druhy čmeľov (rod Bombus), zo stavovcov sú to všetky druhy obojživelníkov, plazov a </w:t>
      </w:r>
      <w:r w:rsidRPr="00B44C57">
        <w:t>všetky druhy vtákov (okrem holuba domáceho) potenciálne sa vyskytujúce v území a jeho okolí</w:t>
      </w:r>
      <w:r w:rsidRPr="00B44C57">
        <w:rPr>
          <w:iCs/>
        </w:rPr>
        <w:t xml:space="preserve">. Z cicavcov sú chránené všetky druhy netopierov a ďalej napr. </w:t>
      </w:r>
      <w:r w:rsidRPr="00B44C57">
        <w:t>jež bledý (Erinaceus concolor). Na priamo dotknutých plochách sú zastúpené hlavne vtáky, ktoré tu hniezdia, zalietajú za potravou alebo počas svojich migrácií prelietavajú územím.</w:t>
      </w:r>
      <w:r w:rsidRPr="00B44C57">
        <w:rPr>
          <w:iCs/>
        </w:rPr>
        <w:t xml:space="preserve"> Všetky zistené druhy vtákov </w:t>
      </w:r>
      <w:r w:rsidRPr="00B44C57">
        <w:t xml:space="preserve">(okrem holuba domáceho) </w:t>
      </w:r>
      <w:r w:rsidRPr="00B44C57">
        <w:rPr>
          <w:iCs/>
        </w:rPr>
        <w:t>patria v zmysle uvedenej legislatívy medzi chránené druhy európskeho alebo národného významu.</w:t>
      </w:r>
    </w:p>
    <w:p w14:paraId="744AF808" w14:textId="77777777" w:rsidR="00F149DD" w:rsidRPr="00B44C57" w:rsidRDefault="00F149DD" w:rsidP="00F149DD">
      <w:pPr>
        <w:pStyle w:val="A-Text11"/>
      </w:pPr>
      <w:r w:rsidRPr="00B44C57">
        <w:t xml:space="preserve">Osobitné postavenie má </w:t>
      </w:r>
      <w:r w:rsidRPr="00B44C57">
        <w:rPr>
          <w:u w:val="single"/>
        </w:rPr>
        <w:t>ochrana drevín rastúcich mimo les</w:t>
      </w:r>
      <w:r w:rsidRPr="00B44C57">
        <w:t>, kde nakladanie s nimi a zásahy do ich porastov alebo aj jednotlivých jedincov určujú vyššie uvedené zákonné predpisy a spoločenskú hodnotu takýchto drevín určujú Prílohy 36 až 38 k vyhláške č. 170/2021 Z.z.</w:t>
      </w:r>
    </w:p>
    <w:p w14:paraId="7B1A3740" w14:textId="77777777" w:rsidR="00F149DD" w:rsidRPr="00B44C57" w:rsidRDefault="00F149DD" w:rsidP="00F149DD">
      <w:pPr>
        <w:pStyle w:val="A-Text11"/>
      </w:pPr>
      <w:r w:rsidRPr="00B44C57">
        <w:t xml:space="preserve">Špeciálnu kategóriu ochrany prírody predstavujú </w:t>
      </w:r>
      <w:r w:rsidRPr="00B44C57">
        <w:rPr>
          <w:u w:val="single"/>
        </w:rPr>
        <w:t>chránené stromy</w:t>
      </w:r>
      <w:r w:rsidRPr="00B44C57">
        <w:t xml:space="preserve">. Za chránené stromy sa vyhlasujú kultúrne, vedecky, ekologicky, krajinotvorne alebo esteticky mimoriadne významné stromy alebo ich skupiny vrátane stromoradí. Na území mesta Bratislavy je za chránené stromy vyhlásených viacero jedincov stromov, ktoré majú mimoriadny význam z kultúrneho, vedeckého, ekologického, krajinotvorného a estetického hľadiska, z hľadiska ich zriedkavosti a historickej hodnoty. </w:t>
      </w:r>
      <w:r w:rsidRPr="00B44C57">
        <w:rPr>
          <w:u w:val="single"/>
        </w:rPr>
        <w:t>Priamo v sledovanom území sa však nenachádza žiaden chránený strom</w:t>
      </w:r>
      <w:r w:rsidRPr="00B44C57">
        <w:t>.</w:t>
      </w:r>
    </w:p>
    <w:p w14:paraId="37C68544" w14:textId="77777777" w:rsidR="00F149DD" w:rsidRPr="00B44C57" w:rsidRDefault="00F149DD" w:rsidP="00F149DD">
      <w:pPr>
        <w:pStyle w:val="A-Text11"/>
        <w:rPr>
          <w:b/>
          <w:bCs/>
        </w:rPr>
      </w:pPr>
      <w:r w:rsidRPr="00B44C57">
        <w:rPr>
          <w:b/>
          <w:bCs/>
        </w:rPr>
        <w:t>Ochrana prírody v zmysle medzinárodných dohovorov</w:t>
      </w:r>
    </w:p>
    <w:p w14:paraId="55F354A6" w14:textId="77777777" w:rsidR="00F149DD" w:rsidRPr="00B44C57" w:rsidRDefault="00F149DD" w:rsidP="00F149DD">
      <w:pPr>
        <w:pStyle w:val="A-Text11"/>
      </w:pPr>
      <w:r w:rsidRPr="00B44C57">
        <w:t xml:space="preserve">V zmysle implementácie princípov európskej politiky pri ochrane biodiverzity a ekosystémov sa na Slovensku uskutočňuje úplná realizácia sústavy chránených území NATURA 2000. Z právneho hľadiska ide o proces implementácie dvoch základných smerníc, ktoré tvoria základ ochrany prírody v EÚ – Smernica Rady č. 2009/147/EHS o ochrane voľne žijúcich vtákoch (Smernica o vtákoch) a Smernica Rady č. 92/43/EHS o ochrane biotopov, voľne žijúcich živočíchoch a voľne rastúcich rastlín (Smernica o biotopoch). Sieť sústavy </w:t>
      </w:r>
      <w:r w:rsidRPr="00B44C57">
        <w:lastRenderedPageBreak/>
        <w:t xml:space="preserve">NATURA 2000 predstavuje súvislú európsku ekologickú sieť chránených území na ochranu prírodných biotopov, voľne žijúcich živočíchov a voľne rastúcich rastlín významných pre ES. Sústavu NATURA 2000 tvoria dva typy území – </w:t>
      </w:r>
      <w:r w:rsidRPr="00B44C57">
        <w:rPr>
          <w:u w:val="single"/>
        </w:rPr>
        <w:t>osobitné územia ochrany</w:t>
      </w:r>
      <w:r w:rsidRPr="00B44C57">
        <w:t xml:space="preserve"> (Special Areas of Conservation, SACs) vyhlasované na základe Smernice o biotopoch a </w:t>
      </w:r>
      <w:r w:rsidRPr="00B44C57">
        <w:rPr>
          <w:u w:val="single"/>
        </w:rPr>
        <w:t>osobitne chránené územia</w:t>
      </w:r>
      <w:r w:rsidRPr="00B44C57">
        <w:t xml:space="preserve"> (Special Protection Areas, SPAs) vyhlasované na základe Smernice o vtákoch. Cieľom súvislej európskej sústavy chránených území (NATURA 2000) je zabezpečiť ochranu najvzácnejších a najviac ohrozených druhov voľne rastúcich rastlín, voľne žijúcich živočíchov a ochranu prírodných biotopov, zachovať priaznivý stav biotopov a druhov európskeho významu ako prírodného dedičstva.</w:t>
      </w:r>
    </w:p>
    <w:p w14:paraId="73034110" w14:textId="77777777" w:rsidR="00F149DD" w:rsidRPr="00B44C57" w:rsidRDefault="00F149DD" w:rsidP="00F149DD">
      <w:pPr>
        <w:pStyle w:val="A-Text11"/>
      </w:pPr>
      <w:r w:rsidRPr="00B44C57">
        <w:t xml:space="preserve">V zmysle Smernice o biotopoch bol na Slovensku spracovaný Národný zoznam </w:t>
      </w:r>
      <w:r w:rsidRPr="00B44C57">
        <w:rPr>
          <w:u w:val="single"/>
        </w:rPr>
        <w:t>území európskeho významu</w:t>
      </w:r>
      <w:r w:rsidRPr="00B44C57">
        <w:t xml:space="preserve">. Na území mesta Bratislavy a jeho bezprostrednom okolí bolo vyhlásených viacero území európskeho významu a v širšom okolí sledovaného územia sa nachádzajú SKUEV0064 Bratislavské luhy, SKUEV0104 Homolské Karpaty, SKUEV0295 Biskupické luhy, SKUEV0279 Šúr, SKUEV0822 Malý Dunaj a ďalšie. Všetky sú však lokalizované vo väčšej vzdialenosti od sledovaného územia. </w:t>
      </w:r>
      <w:r w:rsidRPr="00B44C57">
        <w:rPr>
          <w:u w:val="single"/>
        </w:rPr>
        <w:t>Priamo na plochu sledovaného územia ohraničenú v zmysle vyčleneného územia nezasahuje žiadne územie európskeho významu</w:t>
      </w:r>
      <w:r w:rsidRPr="00B44C57">
        <w:t>.</w:t>
      </w:r>
    </w:p>
    <w:p w14:paraId="5EE3FE11" w14:textId="77777777" w:rsidR="00F149DD" w:rsidRPr="00B44C57" w:rsidRDefault="00F149DD" w:rsidP="00F149DD">
      <w:pPr>
        <w:pStyle w:val="A-Text11"/>
      </w:pPr>
      <w:r w:rsidRPr="00B44C57">
        <w:t xml:space="preserve">Biotopy druhov vtákov európskeho významu a biotopy sťahovavých druhov vtákov možno v zmysle § 26 zákona č. 543/2002 Z.z. vyhlásiť za </w:t>
      </w:r>
      <w:r w:rsidRPr="00B44C57">
        <w:rPr>
          <w:u w:val="single"/>
        </w:rPr>
        <w:t>chránené vtáčie územia</w:t>
      </w:r>
      <w:r w:rsidRPr="00B44C57">
        <w:t xml:space="preserve">. Zoznam vtáčích území uverejňuje MŽP SR vo svojom vestníku. Na území mesta Bratislavy a jeho bezprostrednom okolí boli vyhlásené 4 chránené vtáčie územia a do širšieho okolia zasahujú SKCHVU007 Dunajské luhy a SKCHVU014 Malé Karpaty. </w:t>
      </w:r>
      <w:r w:rsidRPr="00B44C57">
        <w:rPr>
          <w:u w:val="single"/>
        </w:rPr>
        <w:t>Priamo na plochu sledovaného územia ohraničenú v zmysle vyčleneného územia nezasahuje žiadne chránené vtáčie územie</w:t>
      </w:r>
      <w:r w:rsidRPr="00B44C57">
        <w:t>.</w:t>
      </w:r>
    </w:p>
    <w:p w14:paraId="6B96CABC" w14:textId="77777777" w:rsidR="00F149DD" w:rsidRPr="00B44C57" w:rsidRDefault="00F149DD" w:rsidP="00F149DD">
      <w:pPr>
        <w:pStyle w:val="A-Text11"/>
      </w:pPr>
      <w:r w:rsidRPr="00B44C57">
        <w:t xml:space="preserve">Územia európskeho významu, chránené vtáčie územia a ostatné chránené územia a ich ochranné pásma a zóny sú súčasťou súvislej európskej sústavy chránených území. </w:t>
      </w:r>
      <w:r w:rsidRPr="00B44C57">
        <w:rPr>
          <w:u w:val="single"/>
        </w:rPr>
        <w:t>Priamo do sledovaného územia nezasahuje žiadne územie zaradené do NATURA 2000</w:t>
      </w:r>
      <w:r w:rsidRPr="00B44C57">
        <w:t>.</w:t>
      </w:r>
    </w:p>
    <w:p w14:paraId="12EC721B" w14:textId="77777777" w:rsidR="00F149DD" w:rsidRPr="00B44C57" w:rsidRDefault="00F149DD" w:rsidP="00F149DD">
      <w:pPr>
        <w:pStyle w:val="A-Text11"/>
        <w:rPr>
          <w:bCs/>
          <w:iCs/>
        </w:rPr>
      </w:pPr>
      <w:r w:rsidRPr="00B44C57">
        <w:t xml:space="preserve">Slovenská republika je od 1.1.1993 riadnou zmluvnou stranou </w:t>
      </w:r>
      <w:r w:rsidRPr="00B44C57">
        <w:rPr>
          <w:u w:val="single"/>
        </w:rPr>
        <w:t>Ramsarskej konvencie</w:t>
      </w:r>
      <w:r w:rsidRPr="00B44C57">
        <w:t xml:space="preserve"> (Dohovor o mokradiach majúcich medzinárodný význam predovšetkým ako biotopy vodného vtáctva podľa oznámenia FMZV č. 396/1990 Zb. – Ramsarský dohovor). Slovensko sa pristúpením k tejto konvencii zaviazalo zachovávať a chrániť mokrade, ako regulátory vodných režimov a biotopy podporujúce charakteristickú flóru a faunu. Mokraďami sa v zmysle konvencie rozumejú všetky „územia s močiarmi, slatinami a vodami prirodzenými alebo umelými, trvalými alebo dočasnými, stojatými aj tečúcimi“ (čl. 1. ods. 1). V čl. 3. ods. 1. sa zmluvné strany zaväzujú podporovať zachovanie mokradí, najmä tých, ktoré boli zaradené do Zoznamu medzinárodne významných mokradí – Ramsarské lokality. </w:t>
      </w:r>
      <w:r w:rsidRPr="00B44C57">
        <w:rPr>
          <w:bCs/>
          <w:iCs/>
        </w:rPr>
        <w:t xml:space="preserve">Do širšieho okolia sledovaného územia zasahuje Ramsarská lokalita – </w:t>
      </w:r>
      <w:r w:rsidRPr="00B44C57">
        <w:rPr>
          <w:bCs/>
          <w:iCs/>
          <w:u w:val="single"/>
        </w:rPr>
        <w:t>Dunajské luhy</w:t>
      </w:r>
      <w:r w:rsidRPr="00B44C57">
        <w:rPr>
          <w:bCs/>
          <w:iCs/>
        </w:rPr>
        <w:t xml:space="preserve"> (na území Bratislavy II. a V.).</w:t>
      </w:r>
    </w:p>
    <w:p w14:paraId="13E22730" w14:textId="77777777" w:rsidR="00F149DD" w:rsidRPr="00B44C57" w:rsidRDefault="00F149DD" w:rsidP="00F149DD">
      <w:pPr>
        <w:pStyle w:val="A-Text11"/>
      </w:pPr>
      <w:r w:rsidRPr="00B44C57">
        <w:rPr>
          <w:bCs/>
          <w:iCs/>
        </w:rPr>
        <w:t xml:space="preserve">Na území mesta Bratislavy a v jeho okolí sa nachádzajú lokality, ktoré boli zaradené do medzinárodnej siete </w:t>
      </w:r>
      <w:r w:rsidRPr="00B44C57">
        <w:rPr>
          <w:iCs/>
        </w:rPr>
        <w:t xml:space="preserve">EMERALD. </w:t>
      </w:r>
      <w:r w:rsidRPr="00B44C57">
        <w:t xml:space="preserve">Pod pojmom EMERALD sa rozumie sieť „smaragdových“ území, t.j. území osobitného záujmu ochrany prírody. Budovanie tejto siete iniciovala Rada Európy v rámci uplatňovania Bernského dohovoru, ktorého cieľom je ochrana voľne žijúcich organizmov a ich prírodných biotopov, najmä tých, ktorých ochrana si vyžaduje spoluprácu niekoľkých štátov. Tvorba siete EMERALD sa začala v roku 1999. V slovenskej databáze EMERALD je okrem iných lokalít zahrnutá aj lokalita </w:t>
      </w:r>
      <w:r w:rsidRPr="00B44C57">
        <w:rPr>
          <w:u w:val="single"/>
        </w:rPr>
        <w:t>Dunajské luhy</w:t>
      </w:r>
      <w:r w:rsidRPr="00B44C57">
        <w:t xml:space="preserve"> (totožné hranice s CHKO </w:t>
      </w:r>
      <w:r w:rsidRPr="00B44C57">
        <w:lastRenderedPageBreak/>
        <w:t xml:space="preserve">Dunajské luhy – nachádza sa </w:t>
      </w:r>
      <w:r w:rsidRPr="00B44C57">
        <w:rPr>
          <w:bCs/>
          <w:iCs/>
        </w:rPr>
        <w:t>na území Bratislavy II. a V.), ktorá zasahuje do širšieho okolia sledovaného územia.</w:t>
      </w:r>
    </w:p>
    <w:p w14:paraId="66062ACF" w14:textId="77777777" w:rsidR="00F149DD" w:rsidRPr="00B44C57" w:rsidRDefault="00F149DD" w:rsidP="00F149DD">
      <w:pPr>
        <w:pStyle w:val="A-Text11"/>
      </w:pPr>
      <w:r w:rsidRPr="00B44C57">
        <w:rPr>
          <w:iCs/>
          <w:u w:val="single"/>
        </w:rPr>
        <w:t>Priamo do sledovaného územia nezasahuje žiadne z uvedených chránených území</w:t>
      </w:r>
      <w:r w:rsidRPr="00B44C57">
        <w:rPr>
          <w:iCs/>
        </w:rPr>
        <w:t xml:space="preserve">. </w:t>
      </w:r>
      <w:r w:rsidRPr="00B44C57">
        <w:t>Všetky z uvedených lokalít chránených území tvoria zároveň aj prvky územného systému ekologickej stability (ÚSES).</w:t>
      </w:r>
    </w:p>
    <w:p w14:paraId="15A54741" w14:textId="77777777" w:rsidR="00F149DD" w:rsidRPr="00B44C57" w:rsidRDefault="00F149DD" w:rsidP="00F149DD">
      <w:pPr>
        <w:pStyle w:val="A-Text11"/>
        <w:rPr>
          <w:b/>
          <w:bCs/>
        </w:rPr>
      </w:pPr>
      <w:r w:rsidRPr="00B44C57">
        <w:rPr>
          <w:b/>
          <w:bCs/>
        </w:rPr>
        <w:t>Územný systém ekologickej stability (ÚSES)</w:t>
      </w:r>
    </w:p>
    <w:p w14:paraId="00AB4C5A" w14:textId="77777777" w:rsidR="00F149DD" w:rsidRPr="00B44C57" w:rsidRDefault="00F149DD" w:rsidP="00F149DD">
      <w:pPr>
        <w:pStyle w:val="A-Text11"/>
      </w:pPr>
      <w:r w:rsidRPr="00B44C57">
        <w:rPr>
          <w:u w:val="single"/>
        </w:rPr>
        <w:t>Územný systém ekologickej stability</w:t>
      </w:r>
      <w:r w:rsidRPr="00B44C57">
        <w:t xml:space="preserve"> (ÚSES) predstavuje takú celopriestorovú štruktúru navzájom prepojených geoekosystémov, ich zložiek a prvkov, ktorá vytvára predpoklady pre funkčné a priestorové zachovanie rozmanitosti podmienok a foriem života v území a vytvára predpoklady pre trvalo udržateľný rozvoj krajiny. Základ tohto systému predstavujú biocentrá, biokoridory a interakčné prvky nadregionálneho, regionálneho alebo miestneho významu. Významnou súčasťou vytvorenia celoplošného ÚSES je aj systém opatrení na ekologicky optimálnu organizáciu a využitie krajiny.</w:t>
      </w:r>
    </w:p>
    <w:p w14:paraId="469CD3F7" w14:textId="77777777" w:rsidR="00F149DD" w:rsidRPr="00B44C57" w:rsidRDefault="00F149DD" w:rsidP="00F149DD">
      <w:pPr>
        <w:pStyle w:val="A-Text11"/>
        <w:rPr>
          <w:bCs/>
        </w:rPr>
      </w:pPr>
      <w:r w:rsidRPr="00B44C57">
        <w:t xml:space="preserve">Kostra ÚSES vytvára v krajinnom priestore ekologickú sieť, ktorá </w:t>
      </w:r>
      <w:r w:rsidRPr="00B44C57">
        <w:rPr>
          <w:bCs/>
        </w:rPr>
        <w:t xml:space="preserve">zabezpečuje územnú ochranu všetkým ekologicky hodnotným segmentom v území, vymedzuje priestory umožňujúce trvalú existenciu, rozmnožovanie, úkryt a výživu rastlinným a živočíšnym spoločenstvám typickým pre daný región – </w:t>
      </w:r>
      <w:r w:rsidRPr="00B44C57">
        <w:rPr>
          <w:bCs/>
          <w:u w:val="single"/>
        </w:rPr>
        <w:t>biocentrá</w:t>
      </w:r>
      <w:r w:rsidRPr="00B44C57">
        <w:rPr>
          <w:bCs/>
        </w:rPr>
        <w:t xml:space="preserve"> (majúce charakter jadrových území s prioritným ekostabilizačným účinkom v krajine), umožňuje migráciu a výmenu genetických informácií živých organizmov – </w:t>
      </w:r>
      <w:r w:rsidRPr="00B44C57">
        <w:rPr>
          <w:bCs/>
          <w:u w:val="single"/>
        </w:rPr>
        <w:t>biokoridory</w:t>
      </w:r>
      <w:r w:rsidRPr="00B44C57">
        <w:t xml:space="preserve">, </w:t>
      </w:r>
      <w:r w:rsidRPr="00B44C57">
        <w:rPr>
          <w:bCs/>
        </w:rPr>
        <w:t>zabezpečuje priaznivé pôsobenie na okolité časti krajiny pozmenenej alebo narušenej človekom prostredníctvom interakčného prvku a zlepšuje pôdoochranné, klimatické a ekostabilizačné podmienky v území.</w:t>
      </w:r>
    </w:p>
    <w:p w14:paraId="097C7836" w14:textId="77777777" w:rsidR="00F149DD" w:rsidRPr="00B44C57" w:rsidRDefault="00F149DD" w:rsidP="00F149DD">
      <w:pPr>
        <w:pStyle w:val="A-Text11"/>
      </w:pPr>
      <w:r w:rsidRPr="00B44C57">
        <w:t>Hodnotenie prvkov ÚSES záujmového územia vychádza z jednotlivých štúdií ÚSES, kde základom je Generel nadregionálneho ÚSES (</w:t>
      </w:r>
      <w:r w:rsidRPr="00B44C57">
        <w:rPr>
          <w:smallCaps/>
        </w:rPr>
        <w:t>Húsenicová a kol., 1992</w:t>
      </w:r>
      <w:r w:rsidRPr="00B44C57">
        <w:t>). ÚSES v rámci Bratislavy bol spracovaný už v roku 1991 (</w:t>
      </w:r>
      <w:r w:rsidRPr="00B44C57">
        <w:rPr>
          <w:smallCaps/>
        </w:rPr>
        <w:t>Kozová a kol., 1991, Kozová, Kalivodová, 1992</w:t>
      </w:r>
      <w:r w:rsidRPr="00B44C57">
        <w:t>). Regionálny ÚSES mesta Bratislavy bol vypracovaný v roku 1994 (</w:t>
      </w:r>
      <w:r w:rsidRPr="00B44C57">
        <w:rPr>
          <w:smallCaps/>
        </w:rPr>
        <w:t>Králik a kol., 1994</w:t>
      </w:r>
      <w:r w:rsidRPr="00B44C57">
        <w:t xml:space="preserve">) </w:t>
      </w:r>
      <w:r w:rsidRPr="00B44C57">
        <w:rPr>
          <w:bCs/>
        </w:rPr>
        <w:t>a RÚSES okresu Bratislava – vidiek v roku 1993 (</w:t>
      </w:r>
      <w:r w:rsidRPr="00B44C57">
        <w:rPr>
          <w:bCs/>
          <w:smallCaps/>
        </w:rPr>
        <w:t>Staníková a kol., 1993</w:t>
      </w:r>
      <w:r w:rsidRPr="00B44C57">
        <w:rPr>
          <w:bCs/>
        </w:rPr>
        <w:t xml:space="preserve">). Dokumentácie RÚSES boli </w:t>
      </w:r>
      <w:r w:rsidRPr="00B44C57">
        <w:t>následne prehodnotené v rámci územnoplánovacej dokumentácie Územného plánu veľkého územného celku Bratislavského kraja (</w:t>
      </w:r>
      <w:r w:rsidRPr="00B44C57">
        <w:rPr>
          <w:smallCaps/>
        </w:rPr>
        <w:t>Klaučo a kol., 1998, 2013</w:t>
      </w:r>
      <w:r w:rsidRPr="00B44C57">
        <w:t>) a v rámci ÚPN mesta (</w:t>
      </w:r>
      <w:r w:rsidRPr="00B44C57">
        <w:rPr>
          <w:smallCaps/>
        </w:rPr>
        <w:t>Krempaský, 2000, Petrakovič, 2003</w:t>
      </w:r>
      <w:r w:rsidRPr="00B44C57">
        <w:t>).</w:t>
      </w:r>
      <w:r w:rsidRPr="00B44C57">
        <w:rPr>
          <w:bCs/>
        </w:rPr>
        <w:t xml:space="preserve"> V sledovanom území a jeho okolí bolo vyčlenených viacero biocentier a biokoridorov provincionálneho, nadregionálneho, regionálneho ale aj lokálneho významu.</w:t>
      </w:r>
    </w:p>
    <w:p w14:paraId="071C6784" w14:textId="77777777" w:rsidR="00F149DD" w:rsidRPr="00B44C57" w:rsidRDefault="00F149DD" w:rsidP="00F149DD">
      <w:pPr>
        <w:pStyle w:val="A-Text11"/>
      </w:pPr>
      <w:r w:rsidRPr="00B44C57">
        <w:rPr>
          <w:u w:val="single"/>
        </w:rPr>
        <w:t>Biocentrá</w:t>
      </w:r>
      <w:r w:rsidRPr="00B44C57">
        <w:t xml:space="preserve"> predstavujú ekosystémy alebo skupiny ekosystémov, ktoré vytvárajú trvalé podmienky pre rozmnožovanie, úkryt a výživu živých organizmov a na zachovanie a prirodzený vývoj ich spoločenstiev. V rámci jednotlivých dokumentácií územného systému ekologickej stability, ktoré boli vypracovávané na území mesta Bratislavy boli vyčlenené nasledovné typy biocentier zasahujúce do širšieho okolia sledovaného územia:</w:t>
      </w:r>
    </w:p>
    <w:p w14:paraId="67BBF9C2" w14:textId="77777777" w:rsidR="00F149DD" w:rsidRPr="00B44C57" w:rsidRDefault="00F149DD" w:rsidP="00F149DD">
      <w:pPr>
        <w:pStyle w:val="A-Text11"/>
        <w:rPr>
          <w:iCs/>
        </w:rPr>
      </w:pPr>
      <w:r w:rsidRPr="00B44C57">
        <w:rPr>
          <w:iCs/>
        </w:rPr>
        <w:t>biocentrum nadregionálneho významu (BcNV)</w:t>
      </w:r>
    </w:p>
    <w:p w14:paraId="31697A45" w14:textId="77777777" w:rsidR="00F149DD" w:rsidRPr="00B44C57" w:rsidRDefault="00F149DD" w:rsidP="0095439F">
      <w:pPr>
        <w:pStyle w:val="A-Text11"/>
        <w:numPr>
          <w:ilvl w:val="0"/>
          <w:numId w:val="25"/>
        </w:numPr>
        <w:ind w:left="1134"/>
      </w:pPr>
      <w:r w:rsidRPr="00B44C57">
        <w:t>BcNV Bratislavské luhy (Bratislava II. a V.)</w:t>
      </w:r>
    </w:p>
    <w:p w14:paraId="36846708" w14:textId="77777777" w:rsidR="00F149DD" w:rsidRPr="00B44C57" w:rsidRDefault="00F149DD" w:rsidP="00157A0E">
      <w:pPr>
        <w:pStyle w:val="A-Text11"/>
        <w:spacing w:before="0" w:line="240" w:lineRule="auto"/>
        <w:rPr>
          <w:iCs/>
        </w:rPr>
      </w:pPr>
      <w:r w:rsidRPr="00B44C57">
        <w:rPr>
          <w:iCs/>
        </w:rPr>
        <w:t>biocentrum regionálneho významu (BcRV)</w:t>
      </w:r>
    </w:p>
    <w:p w14:paraId="10718011" w14:textId="77777777" w:rsidR="00F149DD" w:rsidRPr="00B44C57" w:rsidRDefault="00F149DD" w:rsidP="0095439F">
      <w:pPr>
        <w:pStyle w:val="A-Text11"/>
        <w:numPr>
          <w:ilvl w:val="0"/>
          <w:numId w:val="25"/>
        </w:numPr>
        <w:spacing w:before="0" w:line="240" w:lineRule="auto"/>
        <w:ind w:left="1134"/>
      </w:pPr>
      <w:r w:rsidRPr="00B44C57">
        <w:t>BcRV Prievoz – Vrakuňa (Bratislava II.)</w:t>
      </w:r>
    </w:p>
    <w:p w14:paraId="6D4ABDB3" w14:textId="77777777" w:rsidR="00F149DD" w:rsidRPr="00B44C57" w:rsidRDefault="00F149DD" w:rsidP="0095439F">
      <w:pPr>
        <w:pStyle w:val="A-Text11"/>
        <w:numPr>
          <w:ilvl w:val="0"/>
          <w:numId w:val="25"/>
        </w:numPr>
        <w:spacing w:before="0" w:line="240" w:lineRule="auto"/>
        <w:ind w:left="1134"/>
      </w:pPr>
      <w:r w:rsidRPr="00B44C57">
        <w:t>BcRV Vajnorka (Bratislava III.)</w:t>
      </w:r>
    </w:p>
    <w:p w14:paraId="675C7EB3" w14:textId="77777777" w:rsidR="00F149DD" w:rsidRPr="00B44C57" w:rsidRDefault="00F149DD" w:rsidP="0095439F">
      <w:pPr>
        <w:pStyle w:val="A-Text11"/>
        <w:numPr>
          <w:ilvl w:val="0"/>
          <w:numId w:val="25"/>
        </w:numPr>
        <w:spacing w:before="0" w:line="240" w:lineRule="auto"/>
        <w:ind w:left="1134"/>
      </w:pPr>
      <w:r w:rsidRPr="00B44C57">
        <w:t>BcRV Zlaté piesky (Bratislava II.)</w:t>
      </w:r>
    </w:p>
    <w:p w14:paraId="627590D6" w14:textId="77777777" w:rsidR="00F149DD" w:rsidRPr="00B44C57" w:rsidRDefault="00F149DD" w:rsidP="0095439F">
      <w:pPr>
        <w:pStyle w:val="A-Text11"/>
        <w:numPr>
          <w:ilvl w:val="0"/>
          <w:numId w:val="25"/>
        </w:numPr>
        <w:spacing w:before="0" w:line="240" w:lineRule="auto"/>
        <w:ind w:left="1134"/>
      </w:pPr>
      <w:r w:rsidRPr="00B44C57">
        <w:t>BcRV Kalná (Bratislava III.)</w:t>
      </w:r>
    </w:p>
    <w:p w14:paraId="53424C97" w14:textId="77777777" w:rsidR="00F149DD" w:rsidRPr="00B44C57" w:rsidRDefault="00F149DD" w:rsidP="0095439F">
      <w:pPr>
        <w:pStyle w:val="A-Text11"/>
        <w:numPr>
          <w:ilvl w:val="0"/>
          <w:numId w:val="25"/>
        </w:numPr>
        <w:spacing w:before="0" w:line="240" w:lineRule="auto"/>
        <w:ind w:left="1134"/>
      </w:pPr>
      <w:r w:rsidRPr="00B44C57">
        <w:t>BcRV Malý ostrov (Bratislava II.)</w:t>
      </w:r>
    </w:p>
    <w:p w14:paraId="31811772" w14:textId="77777777" w:rsidR="00F149DD" w:rsidRPr="00B44C57" w:rsidRDefault="00F149DD" w:rsidP="00157A0E">
      <w:pPr>
        <w:pStyle w:val="A-Text11"/>
        <w:spacing w:before="0" w:line="240" w:lineRule="auto"/>
        <w:rPr>
          <w:iCs/>
        </w:rPr>
      </w:pPr>
      <w:r w:rsidRPr="00B44C57">
        <w:rPr>
          <w:iCs/>
        </w:rPr>
        <w:lastRenderedPageBreak/>
        <w:t>biocentrum miestneho významu (BcMV)</w:t>
      </w:r>
    </w:p>
    <w:p w14:paraId="406D3B0B" w14:textId="77777777" w:rsidR="00F149DD" w:rsidRPr="00B44C57" w:rsidRDefault="00F149DD" w:rsidP="0095439F">
      <w:pPr>
        <w:pStyle w:val="A-Text11"/>
        <w:numPr>
          <w:ilvl w:val="0"/>
          <w:numId w:val="32"/>
        </w:numPr>
        <w:spacing w:before="0" w:line="240" w:lineRule="auto"/>
      </w:pPr>
      <w:r w:rsidRPr="00B44C57">
        <w:t>BcMV Kuchajda (Bratislava II.)</w:t>
      </w:r>
    </w:p>
    <w:p w14:paraId="397EEB8A" w14:textId="77777777" w:rsidR="00F149DD" w:rsidRPr="00B44C57" w:rsidRDefault="00F149DD" w:rsidP="0095439F">
      <w:pPr>
        <w:pStyle w:val="A-Text11"/>
        <w:numPr>
          <w:ilvl w:val="0"/>
          <w:numId w:val="32"/>
        </w:numPr>
        <w:spacing w:before="0" w:line="240" w:lineRule="auto"/>
      </w:pPr>
      <w:r w:rsidRPr="00B44C57">
        <w:t>BcMV Rohlík (Ružinovské jazero) (Bratislava II.)</w:t>
      </w:r>
    </w:p>
    <w:p w14:paraId="551EDF1A" w14:textId="77777777" w:rsidR="00F149DD" w:rsidRPr="00B44C57" w:rsidRDefault="00F149DD" w:rsidP="0095439F">
      <w:pPr>
        <w:pStyle w:val="A-Text11"/>
        <w:numPr>
          <w:ilvl w:val="0"/>
          <w:numId w:val="32"/>
        </w:numPr>
        <w:spacing w:before="0" w:line="240" w:lineRule="auto"/>
      </w:pPr>
      <w:r w:rsidRPr="00B44C57">
        <w:t>BcMV Štrkovecké jazero (Bratislava II.)</w:t>
      </w:r>
    </w:p>
    <w:p w14:paraId="1C61DDB6" w14:textId="77777777" w:rsidR="00F149DD" w:rsidRPr="00B44C57" w:rsidRDefault="00F149DD" w:rsidP="00F149DD">
      <w:pPr>
        <w:pStyle w:val="A-Text11"/>
        <w:rPr>
          <w:u w:val="single"/>
        </w:rPr>
      </w:pPr>
      <w:r w:rsidRPr="00B44C57">
        <w:rPr>
          <w:u w:val="single"/>
        </w:rPr>
        <w:t>Sledované územie nie je súčasťou žiadneho biocentra.</w:t>
      </w:r>
    </w:p>
    <w:p w14:paraId="71834CDB" w14:textId="77777777" w:rsidR="00F149DD" w:rsidRPr="00B44C57" w:rsidRDefault="00F149DD" w:rsidP="00F149DD">
      <w:pPr>
        <w:pStyle w:val="A-Text11"/>
      </w:pPr>
      <w:r w:rsidRPr="00B44C57">
        <w:rPr>
          <w:u w:val="single"/>
        </w:rPr>
        <w:t>Biokoridory</w:t>
      </w:r>
      <w:r w:rsidRPr="00B44C57">
        <w:t xml:space="preserve"> predstavujú priestorovo prepojený súbor ekosystémov, ktoré spájajú biocentrá a umožňujú migráciu a výmenu genetických informácií živých organizmov a ich spoločenstiev, na ktoré priestorovo nadväzujú interakčné prvky. Vzhľadom na líniový dlhorozmerný charakter biokoridorov je treba podotknúť, že nie vždy sú uvedené biokoridory lokalizované v celom rozsahu v záujmovom území, ale často zasahujú iba svojimi úsekmi. V širšie chápanom sledovanom území boli vyčlenené nasledovné biokoridory:</w:t>
      </w:r>
    </w:p>
    <w:p w14:paraId="5528612C" w14:textId="77777777" w:rsidR="00F149DD" w:rsidRPr="00B44C57" w:rsidRDefault="00F149DD" w:rsidP="00157A0E">
      <w:pPr>
        <w:pStyle w:val="A-Text11"/>
        <w:spacing w:before="0"/>
        <w:rPr>
          <w:iCs/>
        </w:rPr>
      </w:pPr>
      <w:r w:rsidRPr="00B44C57">
        <w:rPr>
          <w:iCs/>
        </w:rPr>
        <w:t xml:space="preserve">biokoridor </w:t>
      </w:r>
      <w:r w:rsidRPr="00B44C57">
        <w:rPr>
          <w:bCs/>
          <w:iCs/>
        </w:rPr>
        <w:t xml:space="preserve">provincionálneho </w:t>
      </w:r>
      <w:r w:rsidRPr="00B44C57">
        <w:rPr>
          <w:iCs/>
        </w:rPr>
        <w:t>významu (BkPV)</w:t>
      </w:r>
    </w:p>
    <w:p w14:paraId="0924B951" w14:textId="77777777" w:rsidR="00F149DD" w:rsidRPr="00B44C57" w:rsidRDefault="00F149DD" w:rsidP="0095439F">
      <w:pPr>
        <w:pStyle w:val="A-Text11"/>
        <w:numPr>
          <w:ilvl w:val="0"/>
          <w:numId w:val="33"/>
        </w:numPr>
        <w:spacing w:before="0"/>
      </w:pPr>
      <w:r w:rsidRPr="00B44C57">
        <w:t>BkPV Dunaj (Bratislava I., II., IV., V.)</w:t>
      </w:r>
    </w:p>
    <w:p w14:paraId="60E61438" w14:textId="77777777" w:rsidR="00F149DD" w:rsidRPr="00B44C57" w:rsidRDefault="00F149DD" w:rsidP="0095439F">
      <w:pPr>
        <w:pStyle w:val="A-Text11"/>
        <w:numPr>
          <w:ilvl w:val="0"/>
          <w:numId w:val="33"/>
        </w:numPr>
        <w:spacing w:before="0"/>
      </w:pPr>
      <w:r w:rsidRPr="00B44C57">
        <w:t>biokoridor v pohorí Malých Karpát (Bratislava III., IV.)</w:t>
      </w:r>
    </w:p>
    <w:p w14:paraId="75A2803B" w14:textId="77777777" w:rsidR="00F149DD" w:rsidRPr="00B44C57" w:rsidRDefault="00F149DD" w:rsidP="00157A0E">
      <w:pPr>
        <w:pStyle w:val="A-Text11"/>
        <w:spacing w:before="0"/>
        <w:rPr>
          <w:iCs/>
        </w:rPr>
      </w:pPr>
      <w:r w:rsidRPr="00B44C57">
        <w:rPr>
          <w:iCs/>
        </w:rPr>
        <w:t>biokoridor nadregionálneho významu (BkNV)</w:t>
      </w:r>
    </w:p>
    <w:p w14:paraId="761E5A1B" w14:textId="77777777" w:rsidR="00F149DD" w:rsidRPr="00B44C57" w:rsidRDefault="00F149DD" w:rsidP="0095439F">
      <w:pPr>
        <w:pStyle w:val="A-Text11"/>
        <w:numPr>
          <w:ilvl w:val="0"/>
          <w:numId w:val="34"/>
        </w:numPr>
        <w:spacing w:before="0"/>
      </w:pPr>
      <w:r w:rsidRPr="00B44C57">
        <w:t>BkNV Malý Dunaj (Bratislava II.)</w:t>
      </w:r>
    </w:p>
    <w:p w14:paraId="0573B59F" w14:textId="77777777" w:rsidR="00F149DD" w:rsidRPr="00B44C57" w:rsidRDefault="00F149DD" w:rsidP="00157A0E">
      <w:pPr>
        <w:pStyle w:val="A-Text11"/>
        <w:spacing w:before="0"/>
        <w:rPr>
          <w:iCs/>
        </w:rPr>
      </w:pPr>
      <w:r w:rsidRPr="00B44C57">
        <w:rPr>
          <w:iCs/>
        </w:rPr>
        <w:t>biokoridor regionálneho významu (BkRV)</w:t>
      </w:r>
    </w:p>
    <w:p w14:paraId="430B5952" w14:textId="77777777" w:rsidR="00F149DD" w:rsidRPr="00B44C57" w:rsidRDefault="00F149DD" w:rsidP="0095439F">
      <w:pPr>
        <w:pStyle w:val="A-Text11"/>
        <w:numPr>
          <w:ilvl w:val="0"/>
          <w:numId w:val="34"/>
        </w:numPr>
        <w:spacing w:before="0"/>
        <w:rPr>
          <w:bCs/>
          <w:iCs/>
        </w:rPr>
      </w:pPr>
      <w:r w:rsidRPr="00B44C57">
        <w:rPr>
          <w:bCs/>
          <w:iCs/>
        </w:rPr>
        <w:t>BkRV Šúrsky kanál – Malý ostrov (Bratislava II., III.)</w:t>
      </w:r>
    </w:p>
    <w:p w14:paraId="256E8059" w14:textId="77777777" w:rsidR="00F149DD" w:rsidRPr="00B44C57" w:rsidRDefault="00F149DD" w:rsidP="0095439F">
      <w:pPr>
        <w:pStyle w:val="A-Text11"/>
        <w:numPr>
          <w:ilvl w:val="0"/>
          <w:numId w:val="34"/>
        </w:numPr>
        <w:spacing w:before="0"/>
        <w:rPr>
          <w:bCs/>
          <w:iCs/>
        </w:rPr>
      </w:pPr>
      <w:r w:rsidRPr="00B44C57">
        <w:rPr>
          <w:bCs/>
          <w:iCs/>
        </w:rPr>
        <w:t>BkRV Malé Karpaty – Malý Dunaj (Bratislava II., III.)</w:t>
      </w:r>
    </w:p>
    <w:p w14:paraId="1B3E9CD8" w14:textId="77777777" w:rsidR="00F149DD" w:rsidRPr="00B44C57" w:rsidRDefault="00F149DD" w:rsidP="0095439F">
      <w:pPr>
        <w:pStyle w:val="A-Text11"/>
        <w:numPr>
          <w:ilvl w:val="0"/>
          <w:numId w:val="34"/>
        </w:numPr>
        <w:spacing w:before="0"/>
        <w:rPr>
          <w:bCs/>
          <w:iCs/>
        </w:rPr>
      </w:pPr>
      <w:r w:rsidRPr="00B44C57">
        <w:rPr>
          <w:bCs/>
          <w:iCs/>
        </w:rPr>
        <w:t>nBkRV Mladá Garda – Kuchajda – Malý Dunaj (Bratislava II., III.)</w:t>
      </w:r>
    </w:p>
    <w:p w14:paraId="4C13BB06" w14:textId="77777777" w:rsidR="00F149DD" w:rsidRPr="00B44C57" w:rsidRDefault="00F149DD" w:rsidP="00157A0E">
      <w:pPr>
        <w:pStyle w:val="A-Text11"/>
        <w:spacing w:before="0"/>
        <w:rPr>
          <w:iCs/>
        </w:rPr>
      </w:pPr>
      <w:r w:rsidRPr="00B44C57">
        <w:rPr>
          <w:iCs/>
        </w:rPr>
        <w:t>biokoridor miestneho významu (BkMV)</w:t>
      </w:r>
    </w:p>
    <w:p w14:paraId="2BFAA3A2" w14:textId="77777777" w:rsidR="00F149DD" w:rsidRPr="00B44C57" w:rsidRDefault="00F149DD" w:rsidP="0095439F">
      <w:pPr>
        <w:pStyle w:val="A-Text11"/>
        <w:numPr>
          <w:ilvl w:val="0"/>
          <w:numId w:val="35"/>
        </w:numPr>
        <w:spacing w:before="0"/>
        <w:rPr>
          <w:bCs/>
          <w:iCs/>
        </w:rPr>
      </w:pPr>
      <w:r w:rsidRPr="00B44C57">
        <w:t>BkMV</w:t>
      </w:r>
      <w:r w:rsidRPr="00B44C57">
        <w:rPr>
          <w:bCs/>
          <w:iCs/>
        </w:rPr>
        <w:t xml:space="preserve"> Zlaté piesky – Malý Dunaj (Bratislava II.)</w:t>
      </w:r>
    </w:p>
    <w:p w14:paraId="49643825" w14:textId="77777777" w:rsidR="00F149DD" w:rsidRPr="00B44C57" w:rsidRDefault="00F149DD" w:rsidP="0095439F">
      <w:pPr>
        <w:pStyle w:val="A-Text11"/>
        <w:numPr>
          <w:ilvl w:val="0"/>
          <w:numId w:val="35"/>
        </w:numPr>
        <w:spacing w:before="0"/>
        <w:rPr>
          <w:bCs/>
          <w:iCs/>
        </w:rPr>
      </w:pPr>
      <w:r w:rsidRPr="00B44C57">
        <w:t>nBkMV</w:t>
      </w:r>
      <w:r w:rsidRPr="00B44C57">
        <w:rPr>
          <w:bCs/>
          <w:iCs/>
        </w:rPr>
        <w:t xml:space="preserve"> Zlaté piesky – parčík pri kúpalisku Delfín </w:t>
      </w:r>
      <w:r w:rsidRPr="00B44C57">
        <w:t>(Bratislava II., III.)</w:t>
      </w:r>
    </w:p>
    <w:p w14:paraId="24CAC96C" w14:textId="77777777" w:rsidR="00F149DD" w:rsidRPr="00B44C57" w:rsidRDefault="00F149DD" w:rsidP="00F149DD">
      <w:pPr>
        <w:pStyle w:val="A-Text11"/>
        <w:rPr>
          <w:iCs/>
        </w:rPr>
      </w:pPr>
      <w:r w:rsidRPr="00B44C57">
        <w:rPr>
          <w:iCs/>
          <w:u w:val="single"/>
        </w:rPr>
        <w:t>Sledované územie nie je súčasťou žiadneho biokoridoru</w:t>
      </w:r>
      <w:r w:rsidRPr="00B44C57">
        <w:rPr>
          <w:iCs/>
        </w:rPr>
        <w:t>.</w:t>
      </w:r>
    </w:p>
    <w:p w14:paraId="129DEFE1" w14:textId="77777777" w:rsidR="00F149DD" w:rsidRPr="00B44C57" w:rsidRDefault="00F149DD" w:rsidP="00F149DD">
      <w:pPr>
        <w:pStyle w:val="A-Text11"/>
      </w:pPr>
      <w:r w:rsidRPr="00B44C57">
        <w:rPr>
          <w:u w:val="single"/>
        </w:rPr>
        <w:t>Interakčný prvok</w:t>
      </w:r>
      <w:r w:rsidRPr="00B44C57">
        <w:t xml:space="preserve"> je určitý ekosystém, jeho prvok alebo skupina ekosystémov, najmä menší lesík, remízka, trvalá trávna plocha, močiar, brehový porast, jazero, prepojený na biocentrá a biokoridory, ktorý zabezpečuje ich priaznivé pôsobenie na okolité časti krajiny pozmenenej alebo narušenej človekom. Toto platí vo všeobecnosti a takto možno akýkoľvek prírodný alebo prírode blízky prvok v krajine považovať za interakčný prvok.</w:t>
      </w:r>
    </w:p>
    <w:p w14:paraId="500854B1" w14:textId="77777777" w:rsidR="00F149DD" w:rsidRPr="00B44C57" w:rsidRDefault="00F149DD" w:rsidP="00F149DD">
      <w:pPr>
        <w:pStyle w:val="A-Text11"/>
      </w:pPr>
      <w:r w:rsidRPr="00B44C57">
        <w:rPr>
          <w:iCs/>
        </w:rPr>
        <w:t xml:space="preserve">Okrem chránených území a prvkov ÚSES sa na území mesta Bratislava nachádza viacero genofondových významných lokalít flóry a fauny. </w:t>
      </w:r>
      <w:r w:rsidRPr="00B44C57">
        <w:rPr>
          <w:u w:val="single"/>
        </w:rPr>
        <w:t xml:space="preserve">Genofondovou plochou </w:t>
      </w:r>
      <w:r w:rsidRPr="00B44C57">
        <w:t>rozumieme územie, na ktorom sa vyskytujú chránené, vzácne alebo ohrozené druhy rastlín alebo živočíchov na pomerne zachovalých alebo prírode blízkych biotopoch, alebo sa tu vyskytujú druhy rastlín a živočíchov typické pre danú oblasť alebo menšie územie (nemusia patriť medzi chránené a pod.) a potenciálne by sa mohli z genofondových plôch šíriť do okolia, ak by sa zmenili podmienky a využívanie okolitej krajiny. Genofondové plochy majú veľmi veľký význam pre zachovanie biodiverzity a genofondu územia. Genofondovo významné lokality reprezentujú tie plochy krajiny, kde sú v súčasnosti evidované genofondovo významné druhy (chránené druhy a druhy zaradené v červených zoznamoch). Na týchto lokalitách je v sledovanom území najhodnotnejšia flóra a fauna, ktorá sa ešte zachovala v prostredí s veľmi silným antropickým tlakom. Genofondová plocha nie je legislatívnou kategóriou. Najvýznamnejšie genofondové lokality sledovaného územia sa nachádzajú v územiach pozdĺž toku rieky Dunaj a v priľahlých zvyškoch lesných porastov. V zastavanom území mesta možno považovať za genofondovú plochu takmer každú plochu, kde sa ešte zachovali spoločenstvá prirodzených alebo prírode blízkych fytocenóz a zoocenóz.</w:t>
      </w:r>
    </w:p>
    <w:p w14:paraId="6AA5EEDA" w14:textId="77777777" w:rsidR="00F149DD" w:rsidRPr="00B44C57" w:rsidRDefault="00F149DD" w:rsidP="00F149DD">
      <w:pPr>
        <w:pStyle w:val="A-Text11"/>
        <w:rPr>
          <w:u w:val="single"/>
        </w:rPr>
      </w:pPr>
      <w:r w:rsidRPr="00B44C57">
        <w:rPr>
          <w:u w:val="single"/>
        </w:rPr>
        <w:lastRenderedPageBreak/>
        <w:t>Priamo v sledovanom území sa nenachádza žiadna genofondovo významná lokalita.</w:t>
      </w:r>
    </w:p>
    <w:p w14:paraId="7AC91841" w14:textId="77777777" w:rsidR="00F149DD" w:rsidRPr="00B44C57" w:rsidRDefault="00F149DD" w:rsidP="00F149DD">
      <w:pPr>
        <w:pStyle w:val="A-Text11"/>
        <w:rPr>
          <w:bCs/>
        </w:rPr>
      </w:pPr>
      <w:r w:rsidRPr="00B44C57">
        <w:rPr>
          <w:bCs/>
          <w:iCs/>
        </w:rPr>
        <w:t xml:space="preserve">Všetky najvýznamnejšie prírodne hodnotné lokality sú lokalizované mimo plôch priameho záberu navrhovanej činnosti, takže realizácia zámeru ich priamo neovplyvní. </w:t>
      </w:r>
      <w:r w:rsidRPr="00B44C57">
        <w:t>Pri realizácii akejkoľvek činnosti v území je však potrebné zachovať všetky významné lokality sledovaného územia a zároveň je potrebné z územia vylúčiť akúkoľvek činnosť, ktorá by tieto územia mohla ohroziť aj nepriamo, hlavne prostredníctvom znečistenia podzemných alebo povrchových vôd a znečistením ovzdušia.</w:t>
      </w:r>
    </w:p>
    <w:p w14:paraId="0FB46782" w14:textId="2D84670C" w:rsidR="00F149DD" w:rsidRDefault="00F149DD" w:rsidP="00F149DD">
      <w:pPr>
        <w:pStyle w:val="A-Text11"/>
        <w:rPr>
          <w:bCs/>
          <w:iCs/>
        </w:rPr>
      </w:pPr>
      <w:r w:rsidRPr="00B44C57">
        <w:rPr>
          <w:bCs/>
          <w:iCs/>
        </w:rPr>
        <w:t xml:space="preserve">Lokalita nezasahuje do Chránenej vodohospodárskej oblasti (CHVO), ani do oblasti ochranných pásiem vodných zdrojov. </w:t>
      </w:r>
    </w:p>
    <w:p w14:paraId="49CC14A1" w14:textId="30517420" w:rsidR="00E65CA9" w:rsidRPr="00327E05" w:rsidRDefault="00E65CA9" w:rsidP="008C6F96">
      <w:pPr>
        <w:pStyle w:val="Nadpis2"/>
      </w:pPr>
      <w:bookmarkStart w:id="178" w:name="_Toc495992962"/>
      <w:bookmarkStart w:id="179" w:name="_Toc93916827"/>
      <w:r w:rsidRPr="00327E05">
        <w:t>Obyvateľstvo, jeho aktivity, infraštruktúra, kultúrno  historické hodnoty územia.</w:t>
      </w:r>
      <w:bookmarkEnd w:id="172"/>
      <w:bookmarkEnd w:id="173"/>
      <w:bookmarkEnd w:id="178"/>
      <w:bookmarkEnd w:id="179"/>
    </w:p>
    <w:p w14:paraId="35405149" w14:textId="6CF616FA" w:rsidR="00E65CA9" w:rsidRPr="00327E05" w:rsidRDefault="004E2D2A" w:rsidP="008C6F96">
      <w:pPr>
        <w:pStyle w:val="3rovenadpis"/>
      </w:pPr>
      <w:bookmarkStart w:id="180" w:name="_Toc395894077"/>
      <w:bookmarkStart w:id="181" w:name="_Toc403849669"/>
      <w:bookmarkStart w:id="182" w:name="_Toc417141510"/>
      <w:bookmarkStart w:id="183" w:name="_Toc417142346"/>
      <w:bookmarkStart w:id="184" w:name="_Toc495992963"/>
      <w:bookmarkStart w:id="185" w:name="_Toc80536543"/>
      <w:bookmarkStart w:id="186" w:name="_Toc132078690"/>
      <w:r>
        <w:t xml:space="preserve"> </w:t>
      </w:r>
      <w:bookmarkStart w:id="187" w:name="_Toc93916828"/>
      <w:r w:rsidR="00E65CA9" w:rsidRPr="00327E05">
        <w:t>Obyvateľstvo a jeho aktivity</w:t>
      </w:r>
      <w:bookmarkEnd w:id="180"/>
      <w:bookmarkEnd w:id="181"/>
      <w:bookmarkEnd w:id="182"/>
      <w:bookmarkEnd w:id="183"/>
      <w:bookmarkEnd w:id="184"/>
      <w:bookmarkEnd w:id="187"/>
    </w:p>
    <w:p w14:paraId="4BE90C62" w14:textId="0A2BE5A6" w:rsidR="006A4F4B" w:rsidRPr="004C30F7" w:rsidRDefault="006A4F4B" w:rsidP="008B2066">
      <w:pPr>
        <w:pStyle w:val="A-Text11"/>
      </w:pPr>
      <w:bookmarkStart w:id="188" w:name="_Toc342293540"/>
      <w:bookmarkStart w:id="189" w:name="_Toc395894078"/>
      <w:bookmarkStart w:id="190" w:name="_Toc403849670"/>
      <w:bookmarkStart w:id="191" w:name="_Toc417141511"/>
      <w:bookmarkStart w:id="192" w:name="_Toc417142347"/>
      <w:bookmarkEnd w:id="185"/>
      <w:bookmarkEnd w:id="186"/>
      <w:r w:rsidRPr="004C30F7">
        <w:t xml:space="preserve">Mesto Bratislava je z administratívneho hľadiska hlavným mestom Slovenskej republiky. Od tohto faktu sa zreteľne odvíja celkový socioekonomický rozvoj územia. V území sú prítomné celoslovensky pôsobiace inštitúcie, vyplývajúce z funkcie hlavného mesta </w:t>
      </w:r>
      <w:r w:rsidR="00275605" w:rsidRPr="004C30F7">
        <w:t>– orgány vlády, NR SR, súdnictv</w:t>
      </w:r>
      <w:r w:rsidR="008B2066" w:rsidRPr="004C30F7">
        <w:t>o</w:t>
      </w:r>
      <w:r w:rsidR="00275605" w:rsidRPr="004C30F7">
        <w:t>, vysok</w:t>
      </w:r>
      <w:r w:rsidR="008B2066" w:rsidRPr="004C30F7">
        <w:t>é</w:t>
      </w:r>
      <w:r w:rsidR="00275605" w:rsidRPr="004C30F7">
        <w:t xml:space="preserve"> šk</w:t>
      </w:r>
      <w:r w:rsidR="008B2066" w:rsidRPr="004C30F7">
        <w:t>oly</w:t>
      </w:r>
      <w:r w:rsidR="00275605" w:rsidRPr="004C30F7">
        <w:t>, vedecko-výskumn</w:t>
      </w:r>
      <w:r w:rsidR="008B2066" w:rsidRPr="004C30F7">
        <w:t>é</w:t>
      </w:r>
      <w:r w:rsidR="00275605" w:rsidRPr="004C30F7">
        <w:t xml:space="preserve"> organizáci</w:t>
      </w:r>
      <w:r w:rsidR="008B2066" w:rsidRPr="004C30F7">
        <w:t>e</w:t>
      </w:r>
      <w:r w:rsidR="00275605" w:rsidRPr="004C30F7">
        <w:t>, médi</w:t>
      </w:r>
      <w:r w:rsidR="008B2066" w:rsidRPr="004C30F7">
        <w:t>á</w:t>
      </w:r>
      <w:r w:rsidR="00275605" w:rsidRPr="004C30F7">
        <w:t xml:space="preserve"> a pod. </w:t>
      </w:r>
    </w:p>
    <w:p w14:paraId="70043CA2" w14:textId="2A82D560" w:rsidR="00B028A0" w:rsidRPr="004C30F7" w:rsidRDefault="004A7717" w:rsidP="00B028A0">
      <w:pPr>
        <w:pStyle w:val="A-Text11"/>
        <w:rPr>
          <w:rFonts w:eastAsia="Calibri"/>
        </w:rPr>
      </w:pPr>
      <w:r w:rsidRPr="004C30F7">
        <w:t>Obyvateľstvo je vo všeobecnosti nositeľom ľudského potenciálu. Podľa Kiliána et al. (2010) sú v tomto ohľade v hlavnom meste prítomné niektoré priaznivé štrukturálne charakteristiky, a to predovšetkým vo vzťahu k rozvojovému potenciálu.</w:t>
      </w:r>
      <w:r w:rsidR="00CB2687" w:rsidRPr="004C30F7">
        <w:t xml:space="preserve"> Na dobrej úrovni sú predovšetkým veková štruktúra a vzdelanostná úroveň. Kombinácia týchto charakteristík vytvára výborný predpoklad </w:t>
      </w:r>
      <w:r w:rsidR="00B028A0" w:rsidRPr="004C30F7">
        <w:t>z hľadiska</w:t>
      </w:r>
      <w:r w:rsidRPr="004C30F7">
        <w:rPr>
          <w:rFonts w:eastAsia="Calibri"/>
        </w:rPr>
        <w:t xml:space="preserve"> vysokokvalifikovanej pracovnej sily</w:t>
      </w:r>
      <w:r w:rsidR="00B028A0" w:rsidRPr="004C30F7">
        <w:rPr>
          <w:rFonts w:eastAsia="Calibri"/>
        </w:rPr>
        <w:t xml:space="preserve">, čo môže nadviazať na vysokú produktivitu práce a následne aj vysokú ekonomickú efektívnosť investícií v tomto priestore. </w:t>
      </w:r>
    </w:p>
    <w:p w14:paraId="276784EC" w14:textId="79F2781C" w:rsidR="006A4F4B" w:rsidRPr="004C30F7" w:rsidRDefault="008C0C36" w:rsidP="008C0C36">
      <w:pPr>
        <w:pStyle w:val="A-Text11"/>
      </w:pPr>
      <w:r w:rsidRPr="004C30F7">
        <w:t>Mestský charakter prostredia</w:t>
      </w:r>
      <w:r w:rsidR="004A7717" w:rsidRPr="004C30F7">
        <w:t xml:space="preserve"> však</w:t>
      </w:r>
      <w:r w:rsidRPr="004C30F7">
        <w:t xml:space="preserve"> na seba môže viazať negatívne javy z rôznych oblastí, </w:t>
      </w:r>
      <w:r w:rsidR="0094727E" w:rsidRPr="004C30F7">
        <w:t>zapríčinené predovšetkým</w:t>
      </w:r>
      <w:r w:rsidRPr="004C30F7">
        <w:t xml:space="preserve"> vysokou mierou hustoty obyvateľstva. Z pohľadu psychosociálnych javov možno teda aj v území Bratislavy pozorovať určité negatívne výkyvy od celoslovenského priemeru. </w:t>
      </w:r>
      <w:r w:rsidR="0094727E" w:rsidRPr="004C30F7">
        <w:t>Konkrétne sa dá hovoriť o zvýšenej rozvodovosti, potratovosti, drogovej závislosti, kriminalite, samovraždách a pod. Rozvodový index dosahuje na území mesta Bratislava hodnotu až 55,8 % a index potratovosti 60,9 %.</w:t>
      </w:r>
    </w:p>
    <w:p w14:paraId="65F6B279" w14:textId="0F43BFFE" w:rsidR="000923EA" w:rsidRPr="004C30F7" w:rsidRDefault="000923EA" w:rsidP="008C0C36">
      <w:pPr>
        <w:pStyle w:val="A-Text11"/>
      </w:pPr>
      <w:r w:rsidRPr="004C30F7">
        <w:rPr>
          <w:rFonts w:eastAsia="Calibri"/>
        </w:rPr>
        <w:t>Za veľkú prednosť bratislavského regiónu sa dá považovať vytváranie a samotná prítomnosť neziskových organizácií a dobre rozvinuté malé a stredné podnikanie. O Bratislave sa dá hovoriť aj ako o atraktívnom imigračnom regióne, a to nielen z vnútroštátneho ale aj zo zahraničného hľadiska. Rozvoj počtu obyvateľstva</w:t>
      </w:r>
      <w:r w:rsidR="006222D4" w:rsidRPr="004C30F7">
        <w:rPr>
          <w:rFonts w:eastAsia="Calibri"/>
        </w:rPr>
        <w:t xml:space="preserve">, spolu so zvyšovaním ekonomickej sily obyvateľstva sa prejavil v intenzívnejších požiadavkách na nové priestory pre „nadštandardné“ bývanie a s tým spojené služby. </w:t>
      </w:r>
    </w:p>
    <w:p w14:paraId="6192F253" w14:textId="429D69AD" w:rsidR="008C0C36" w:rsidRPr="004C30F7" w:rsidRDefault="007E2504" w:rsidP="0094727E">
      <w:pPr>
        <w:pStyle w:val="A-Text11"/>
      </w:pPr>
      <w:r w:rsidRPr="004C30F7">
        <w:t xml:space="preserve">Po roku 1989 </w:t>
      </w:r>
      <w:r w:rsidRPr="00B60987">
        <w:t xml:space="preserve">Slovensko vstúpilo do post-industriálneho štádia vývoja spoločnosti, toto obdobie býva podľa </w:t>
      </w:r>
      <w:r w:rsidR="00E53782" w:rsidRPr="00B60987">
        <w:t>Kiliána et al. (2010)</w:t>
      </w:r>
      <w:r w:rsidR="00A34829" w:rsidRPr="00B60987">
        <w:t xml:space="preserve"> </w:t>
      </w:r>
      <w:r w:rsidRPr="00B60987">
        <w:t>chrakteristické predovšetkým zmenou vedúceho sektora hospodárstva.</w:t>
      </w:r>
      <w:r w:rsidRPr="004C30F7">
        <w:t xml:space="preserve"> Postupne sa upúšťa od sekundárneho sektora – priemyslu a do popredia sa dostáva terciárny</w:t>
      </w:r>
      <w:r w:rsidR="004955FD" w:rsidRPr="004C30F7">
        <w:t xml:space="preserve"> a kvartérny</w:t>
      </w:r>
      <w:r w:rsidRPr="004C30F7">
        <w:t xml:space="preserve"> sektor – služby v širšom slova zmysle. Vo vzťahu k Bratislave sa dá v tomto období hovoriť o prudkom raste ekonomiky </w:t>
      </w:r>
      <w:r w:rsidR="004955FD" w:rsidRPr="004C30F7">
        <w:t>Bratislavského</w:t>
      </w:r>
      <w:r w:rsidRPr="004C30F7">
        <w:t xml:space="preserve"> regiónu a</w:t>
      </w:r>
      <w:r w:rsidR="004955FD" w:rsidRPr="004C30F7">
        <w:t xml:space="preserve"> celkovom </w:t>
      </w:r>
      <w:r w:rsidRPr="004C30F7">
        <w:t xml:space="preserve">zvyšovaní regionálnych rozdielov. </w:t>
      </w:r>
      <w:r w:rsidR="004955FD" w:rsidRPr="004C30F7">
        <w:t xml:space="preserve">Postupne sa zvyšovala dominantnosť a úloha </w:t>
      </w:r>
      <w:r w:rsidR="004955FD" w:rsidRPr="004C30F7">
        <w:lastRenderedPageBreak/>
        <w:t>regiónu hlavného mesta v regionálnej štruktúre štátu.</w:t>
      </w:r>
      <w:r w:rsidR="00E53782" w:rsidRPr="004C30F7">
        <w:t xml:space="preserve"> V súčasnosti sa dá </w:t>
      </w:r>
      <w:r w:rsidR="0094727E" w:rsidRPr="004C30F7">
        <w:t>Bratislava charakterizovať ako typické administratívno-priemyselné centrum.</w:t>
      </w:r>
    </w:p>
    <w:p w14:paraId="338C272A" w14:textId="6192000F" w:rsidR="00275605" w:rsidRPr="004C30F7" w:rsidRDefault="00275605" w:rsidP="00116C29">
      <w:pPr>
        <w:pStyle w:val="A-Text11"/>
        <w:rPr>
          <w:b/>
        </w:rPr>
      </w:pPr>
      <w:r w:rsidRPr="004C30F7">
        <w:t xml:space="preserve">Z priemyselných odvetví </w:t>
      </w:r>
      <w:r w:rsidR="00116C29" w:rsidRPr="004C30F7">
        <w:t xml:space="preserve">sú </w:t>
      </w:r>
      <w:r w:rsidRPr="004C30F7">
        <w:t>najvýraznejš</w:t>
      </w:r>
      <w:r w:rsidR="00116C29" w:rsidRPr="004C30F7">
        <w:t xml:space="preserve">e tie, ktoré majú v meste dlhodobú tradíciu – </w:t>
      </w:r>
      <w:r w:rsidRPr="004C30F7">
        <w:t>potravinársk</w:t>
      </w:r>
      <w:r w:rsidR="00116C29" w:rsidRPr="004C30F7">
        <w:t>e</w:t>
      </w:r>
      <w:r w:rsidRPr="004C30F7">
        <w:t>, chemick</w:t>
      </w:r>
      <w:r w:rsidR="00116C29" w:rsidRPr="004C30F7">
        <w:t>é</w:t>
      </w:r>
      <w:r w:rsidRPr="004C30F7">
        <w:t xml:space="preserve"> a strojársk</w:t>
      </w:r>
      <w:r w:rsidR="00116C29" w:rsidRPr="004C30F7">
        <w:t>e</w:t>
      </w:r>
      <w:r w:rsidRPr="004C30F7">
        <w:t>. Najvyššou mierou sa podieľajú na produkcii</w:t>
      </w:r>
      <w:r w:rsidR="00116C29" w:rsidRPr="004C30F7">
        <w:t>,</w:t>
      </w:r>
      <w:r w:rsidRPr="004C30F7">
        <w:t xml:space="preserve"> ako </w:t>
      </w:r>
      <w:r w:rsidR="00116C29" w:rsidRPr="004C30F7">
        <w:t>aj</w:t>
      </w:r>
      <w:r w:rsidRPr="004C30F7">
        <w:t> na zamestnanosti obyvateľstva.</w:t>
      </w:r>
    </w:p>
    <w:p w14:paraId="26BCD848" w14:textId="77777777" w:rsidR="004D596F" w:rsidRPr="004C30F7" w:rsidRDefault="00275605" w:rsidP="00903820">
      <w:pPr>
        <w:pStyle w:val="A-Text11"/>
      </w:pPr>
      <w:r w:rsidRPr="004C30F7">
        <w:t xml:space="preserve">Vybavenosť službami zodpovedá úrovni hlavného mesta. Okrem administratívnych  služieb zabezpečujúcich agendu hlavného mesta sú tu zastúpené typické mestské služby – obchodné a obslužné zariadenia, ubytovacie a stravovacie, školské, zdravotnícke, kultúrne, športovo-rekreačné, ako i ostatné výrobné i nevýrobné služby. V meste je lokalizovaných asi 140 materských škôl, 92 základných, 33 gymnázií,  41 stredných odborných škôl, 32 stredných odborných učilíšť a 5 vysokých škôl s 25 fakultami (Slovenská technická univerzita, Univerzita Komenského, Ekonomická univerzita, Vysoká škola múzických umení a Vysoká škola výtvarných umení). Z kultúrnych zariadení je v meste  celkom v meste 19 divadiel, 6 ústredných vedeckých knižníc, 45 verejných knižníc  a 7 múzeí. </w:t>
      </w:r>
      <w:r w:rsidR="004D596F" w:rsidRPr="004C30F7">
        <w:t>Mesto má aj vhodnú dopravnú polohu. Je významným medzinárodným i vnútroštátnym uzlom dopravných koridorov. V meste samotnom sú rozvinuté všetky druhy dopravy. Automobilová a železničná doprava zabezpečujú prepojenie mesta s krajinami Európy ako aj ostatnými regiónmi a sídlami SR. Letecká doprava je reprezentovaná najmä letiskom M.R. Štefánika, ktorého význam neustále rastie, medzinárodnú lodnú dopravu tovarov a osôb zabezpečuje nákladný a osobný prístav na Dunaji.</w:t>
      </w:r>
    </w:p>
    <w:p w14:paraId="35C201FF" w14:textId="5E579ECA" w:rsidR="004D596F" w:rsidRPr="004C30F7" w:rsidRDefault="004D596F" w:rsidP="00903820">
      <w:pPr>
        <w:pStyle w:val="A-Text11"/>
      </w:pPr>
      <w:r w:rsidRPr="004C30F7">
        <w:t>Rozloha mesta dosahuje hodnotu 367,6 km</w:t>
      </w:r>
      <w:r w:rsidRPr="004C30F7">
        <w:rPr>
          <w:vertAlign w:val="superscript"/>
        </w:rPr>
        <w:t>2</w:t>
      </w:r>
      <w:r w:rsidRPr="004C30F7">
        <w:t>. V prepočte na jednotku plochy na území mesta pripadá 1 165 obyvateľov na km</w:t>
      </w:r>
      <w:r w:rsidRPr="004C30F7">
        <w:rPr>
          <w:vertAlign w:val="superscript"/>
        </w:rPr>
        <w:t>2</w:t>
      </w:r>
      <w:r w:rsidRPr="004C30F7">
        <w:t xml:space="preserve">, čo veľmi výrazne prevyšuje celoslovenský priemer </w:t>
      </w:r>
      <w:r w:rsidRPr="004C30F7">
        <w:rPr>
          <w:i/>
          <w:iCs/>
        </w:rPr>
        <w:t>(111 obyvateľov na km</w:t>
      </w:r>
      <w:r w:rsidRPr="004C30F7">
        <w:rPr>
          <w:i/>
          <w:iCs/>
          <w:vertAlign w:val="superscript"/>
        </w:rPr>
        <w:t>2</w:t>
      </w:r>
      <w:r w:rsidRPr="004C30F7">
        <w:rPr>
          <w:i/>
          <w:iCs/>
        </w:rPr>
        <w:t>)</w:t>
      </w:r>
      <w:r w:rsidRPr="004C30F7">
        <w:t>. Vo vekovej štruktúre obyvateľstva v poslednom období badať negatívne trendy. Nastáva postupné starnutie obyvateľstva. Index starnutia obyvateľstva dosiahol hodnotu 138,6 %. Výrazný index starnutia badať u najmä u žien, keď tento v roku 2001 dosahoval hodnotu 188,3 %, zatiaľ čo u mužov len hodnotu 90,9 % Oproti roku 1990, kedy hodnota indexu dosahovala hodnotu 73,8 %, je to výrazný nárast. Za to isté obdobie hodnota priemerného veku obyvateľstva vzrástla takmer o 4 roky. Kým v roku 1990 dosahoval priemerný vek obyvateľov hodnotu 34,5, v roku 2001 to už bolo 38,7. Vyšší priemerný vek dosahujú ženy so 40,3 rokmi v roku 2001, kým u mužov je to len 37,0 rokov.</w:t>
      </w:r>
    </w:p>
    <w:p w14:paraId="0700F3E8" w14:textId="77777777" w:rsidR="00083DEF" w:rsidRPr="004C30F7" w:rsidRDefault="00083DEF" w:rsidP="00903820">
      <w:pPr>
        <w:pStyle w:val="A-Text11"/>
      </w:pPr>
      <w:r w:rsidRPr="004C30F7">
        <w:t xml:space="preserve">Tento trend je podmienený jednak postupným poklesom prirodzeného prírastku obyvateľstva, ako i úbytkom obyvateľstva v dôsledku  pohybu.  Mesto vykazuje prirodzený úbytok a od roku 1997 už aj migračný úbytok obyvateľstva. </w:t>
      </w:r>
    </w:p>
    <w:p w14:paraId="4A99B817" w14:textId="66F6CCD4" w:rsidR="00083DEF" w:rsidRPr="004C30F7" w:rsidRDefault="00083DEF" w:rsidP="00903820">
      <w:pPr>
        <w:pStyle w:val="A-Text11"/>
      </w:pPr>
      <w:r w:rsidRPr="004C30F7">
        <w:t xml:space="preserve">Z hľadiska národnostnej štruktúry je obyvateľstvo pomerne homogénne s dominanciou obyvateľstva slovenskej národnosti. To tvorí až 91,39 % z celkového počtu obyvateľov. Ostatné národnosti sú zastúpené minimálne. Hodnotu nad 1 % dosahuje len obyvateľstvo maďarskej </w:t>
      </w:r>
      <w:r w:rsidRPr="004C30F7">
        <w:rPr>
          <w:i/>
          <w:iCs/>
        </w:rPr>
        <w:t>(3,84 %)</w:t>
      </w:r>
      <w:r w:rsidRPr="004C30F7">
        <w:t xml:space="preserve"> a českej </w:t>
      </w:r>
      <w:r w:rsidRPr="004C30F7">
        <w:rPr>
          <w:i/>
          <w:iCs/>
        </w:rPr>
        <w:t>(1,86 %)</w:t>
      </w:r>
      <w:r w:rsidRPr="004C30F7">
        <w:t xml:space="preserve"> národnosti.</w:t>
      </w:r>
    </w:p>
    <w:p w14:paraId="5B69E785" w14:textId="77777777" w:rsidR="00676844" w:rsidRPr="004C30F7" w:rsidRDefault="00676844" w:rsidP="00903820">
      <w:pPr>
        <w:pStyle w:val="A-Text11"/>
      </w:pPr>
      <w:r w:rsidRPr="004C30F7">
        <w:t>Z pohľadu reprodukcie a populačného vývoja dôležitú úlohu zohrávajú predovšetkým cenzové domácnosti a z nich najmä rodinné domácnosti. Tie sa vyčleňujú na základe spoločného bývania, hospodárenia a vzájomných príbuzenských väzieb. Predstavujú nielen veľmi dôležitý aspekt súčasného, ako aj budúceho smerovania populačného vývoja Bratislava a jej obvodov</w:t>
      </w:r>
    </w:p>
    <w:p w14:paraId="08E3CA3D" w14:textId="77777777" w:rsidR="00676844" w:rsidRPr="004C30F7" w:rsidRDefault="00676844" w:rsidP="00903820">
      <w:pPr>
        <w:pStyle w:val="A-Text11"/>
      </w:pPr>
      <w:r w:rsidRPr="004C30F7">
        <w:t xml:space="preserve">V posledných dvoch desaťročiach jednoznačne vidieť pomerne výrazný pokles počtu žien v reprodukčnom veku, čo spôsobuje zužovanie reprodukčnej Bratislavy a jej obvodov aj </w:t>
      </w:r>
      <w:r w:rsidRPr="004C30F7">
        <w:lastRenderedPageBreak/>
        <w:t xml:space="preserve">smerom do budúcnosti. Kým v druhej polovici 90. rokov v Bratislave vo veku 15-49 rokov bolo viac ako 130 tis. žien, na konci roka 2015 to bolo už len niečo viac ako 100 tis. osôb. </w:t>
      </w:r>
    </w:p>
    <w:p w14:paraId="25D22F5F" w14:textId="77777777" w:rsidR="00676844" w:rsidRPr="004C30F7" w:rsidRDefault="00676844" w:rsidP="00903820">
      <w:pPr>
        <w:pStyle w:val="A-Text11"/>
      </w:pPr>
      <w:r w:rsidRPr="004C30F7">
        <w:t>Zmeny v reprodukčnom správaní, ktorými prešla populácia Bratislavy, ako aj celého Slovenska spolu s prítomnosťou rôzne početných generácií (najmä osoby narodené v 50. a 70. rokoch) však výraznou mierou zasiahli do vekovej štruktúry. Dramatický prepad plodnosti a s ním spojený pokles počtu narodených detí, ktorý sa v Bratislave a jeho jednotlivých mestských okresoch prejavil skôr a s väčšou dynamikou ako v celej populácii Slovenska stál v pozadí výrazného poklesu zastúpenia detskej zložky.</w:t>
      </w:r>
    </w:p>
    <w:p w14:paraId="33D275B0" w14:textId="2349873B" w:rsidR="009F0908" w:rsidRDefault="007245A6" w:rsidP="009F0908">
      <w:pPr>
        <w:pStyle w:val="A-Text11"/>
        <w:spacing w:after="240"/>
        <w:ind w:firstLine="425"/>
      </w:pPr>
      <w:r w:rsidRPr="004C30F7">
        <w:t>Hlavné mesto SR Bratislava je ďalej delené na 17 samosprávnych </w:t>
      </w:r>
      <w:hyperlink r:id="rId20" w:tooltip="Mestská časť" w:history="1">
        <w:r w:rsidRPr="004C30F7">
          <w:rPr>
            <w:rStyle w:val="Hypertextovprepojenie"/>
            <w:rFonts w:cs="Arial"/>
            <w:color w:val="auto"/>
            <w:u w:val="none"/>
          </w:rPr>
          <w:t>mestských častí</w:t>
        </w:r>
      </w:hyperlink>
      <w:r w:rsidRPr="004C30F7">
        <w:t>, ktoré sú spravované vlastnými miestnymi zastupiteľstvami na čele so </w:t>
      </w:r>
      <w:hyperlink r:id="rId21" w:tooltip="Starosta" w:history="1">
        <w:r w:rsidRPr="004C30F7">
          <w:rPr>
            <w:rStyle w:val="Hypertextovprepojenie"/>
            <w:rFonts w:cs="Arial"/>
            <w:color w:val="auto"/>
            <w:u w:val="none"/>
          </w:rPr>
          <w:t>starostami</w:t>
        </w:r>
      </w:hyperlink>
      <w:r w:rsidRPr="004C30F7">
        <w:t xml:space="preserve">. </w:t>
      </w:r>
    </w:p>
    <w:p w14:paraId="4260964A" w14:textId="30ED2E44" w:rsidR="00452449" w:rsidRPr="005145B5" w:rsidRDefault="00452449" w:rsidP="009F0908">
      <w:pPr>
        <w:pStyle w:val="A-Text11"/>
        <w:spacing w:after="120"/>
        <w:ind w:firstLine="0"/>
        <w:rPr>
          <w:sz w:val="18"/>
          <w:szCs w:val="18"/>
        </w:rPr>
      </w:pPr>
      <w:r w:rsidRPr="005145B5">
        <w:rPr>
          <w:sz w:val="18"/>
          <w:szCs w:val="18"/>
        </w:rPr>
        <w:t>Tab. č. III.3.1.</w:t>
      </w:r>
      <w:r>
        <w:rPr>
          <w:sz w:val="18"/>
          <w:szCs w:val="18"/>
        </w:rPr>
        <w:t>1</w:t>
      </w:r>
      <w:r w:rsidRPr="005145B5">
        <w:rPr>
          <w:sz w:val="18"/>
          <w:szCs w:val="18"/>
        </w:rPr>
        <w:t xml:space="preserve">: </w:t>
      </w:r>
      <w:r>
        <w:rPr>
          <w:sz w:val="18"/>
          <w:szCs w:val="18"/>
        </w:rPr>
        <w:t xml:space="preserve">Rozloha okresov a mestských častí </w:t>
      </w:r>
      <w:r w:rsidR="009F0908">
        <w:rPr>
          <w:sz w:val="18"/>
          <w:szCs w:val="18"/>
        </w:rPr>
        <w:t>hlavného mesta SR</w:t>
      </w:r>
    </w:p>
    <w:tbl>
      <w:tblPr>
        <w:tblW w:w="9072" w:type="dxa"/>
        <w:tblInd w:w="-8" w:type="dxa"/>
        <w:tblBorders>
          <w:top w:val="single" w:sz="6" w:space="0" w:color="A2A9B1"/>
          <w:left w:val="single" w:sz="6" w:space="0" w:color="A2A9B1"/>
          <w:bottom w:val="single" w:sz="6" w:space="0" w:color="A2A9B1"/>
          <w:right w:val="single" w:sz="6" w:space="0" w:color="A2A9B1"/>
        </w:tblBorders>
        <w:shd w:val="clear" w:color="auto" w:fill="F8F9FA"/>
        <w:tblLayout w:type="fixed"/>
        <w:tblCellMar>
          <w:top w:w="15" w:type="dxa"/>
          <w:left w:w="15" w:type="dxa"/>
          <w:bottom w:w="15" w:type="dxa"/>
          <w:right w:w="15" w:type="dxa"/>
        </w:tblCellMar>
        <w:tblLook w:val="04A0" w:firstRow="1" w:lastRow="0" w:firstColumn="1" w:lastColumn="0" w:noHBand="0" w:noVBand="1"/>
      </w:tblPr>
      <w:tblGrid>
        <w:gridCol w:w="1458"/>
        <w:gridCol w:w="1344"/>
        <w:gridCol w:w="747"/>
        <w:gridCol w:w="747"/>
        <w:gridCol w:w="4776"/>
      </w:tblGrid>
      <w:tr w:rsidR="004C30F7" w:rsidRPr="004C30F7" w14:paraId="0FD469CB" w14:textId="77777777" w:rsidTr="00452449">
        <w:trPr>
          <w:trHeight w:val="496"/>
        </w:trPr>
        <w:tc>
          <w:tcPr>
            <w:tcW w:w="9072"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96" w:type="dxa"/>
              <w:bottom w:w="48" w:type="dxa"/>
              <w:right w:w="96" w:type="dxa"/>
            </w:tcMar>
            <w:vAlign w:val="center"/>
            <w:hideMark/>
          </w:tcPr>
          <w:p w14:paraId="2BFC79AB" w14:textId="77777777" w:rsidR="007245A6" w:rsidRPr="00452449" w:rsidRDefault="007245A6" w:rsidP="00F3232E">
            <w:pPr>
              <w:jc w:val="center"/>
              <w:rPr>
                <w:rFonts w:ascii="Arial" w:hAnsi="Arial" w:cs="Arial"/>
                <w:b/>
                <w:bCs/>
                <w:sz w:val="22"/>
                <w:szCs w:val="22"/>
              </w:rPr>
            </w:pPr>
            <w:r w:rsidRPr="00452449">
              <w:rPr>
                <w:rFonts w:ascii="Arial" w:hAnsi="Arial" w:cs="Arial"/>
                <w:b/>
                <w:bCs/>
                <w:sz w:val="22"/>
                <w:szCs w:val="22"/>
              </w:rPr>
              <w:t>Okresy a mestské časti</w:t>
            </w:r>
          </w:p>
        </w:tc>
      </w:tr>
      <w:tr w:rsidR="00AE7FD9" w:rsidRPr="004C30F7" w14:paraId="5DADE618" w14:textId="77777777" w:rsidTr="006E41DC">
        <w:trPr>
          <w:trHeight w:val="478"/>
        </w:trPr>
        <w:tc>
          <w:tcPr>
            <w:tcW w:w="145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96" w:type="dxa"/>
              <w:bottom w:w="48" w:type="dxa"/>
              <w:right w:w="96" w:type="dxa"/>
            </w:tcMar>
            <w:vAlign w:val="center"/>
            <w:hideMark/>
          </w:tcPr>
          <w:p w14:paraId="62EB4DF6" w14:textId="77777777" w:rsidR="00AE7FD9" w:rsidRPr="00452449" w:rsidRDefault="00AE7FD9" w:rsidP="00F3232E">
            <w:pPr>
              <w:jc w:val="center"/>
              <w:rPr>
                <w:rFonts w:ascii="Arial" w:hAnsi="Arial" w:cs="Arial"/>
                <w:b/>
                <w:bCs/>
              </w:rPr>
            </w:pPr>
            <w:r w:rsidRPr="00452449">
              <w:rPr>
                <w:rFonts w:ascii="Arial" w:hAnsi="Arial" w:cs="Arial"/>
                <w:b/>
                <w:bCs/>
              </w:rPr>
              <w:t>Okres</w:t>
            </w:r>
          </w:p>
        </w:tc>
        <w:tc>
          <w:tcPr>
            <w:tcW w:w="134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96" w:type="dxa"/>
              <w:bottom w:w="48" w:type="dxa"/>
              <w:right w:w="96" w:type="dxa"/>
            </w:tcMar>
            <w:vAlign w:val="center"/>
            <w:hideMark/>
          </w:tcPr>
          <w:p w14:paraId="781ABF90" w14:textId="77777777" w:rsidR="00AE7FD9" w:rsidRPr="00452449" w:rsidRDefault="00AE7FD9" w:rsidP="00F3232E">
            <w:pPr>
              <w:jc w:val="center"/>
              <w:rPr>
                <w:rFonts w:ascii="Arial" w:hAnsi="Arial" w:cs="Arial"/>
                <w:b/>
                <w:bCs/>
              </w:rPr>
            </w:pPr>
            <w:r w:rsidRPr="00452449">
              <w:rPr>
                <w:rFonts w:ascii="Arial" w:hAnsi="Arial" w:cs="Arial"/>
                <w:b/>
                <w:bCs/>
              </w:rPr>
              <w:t>Mestská časť</w:t>
            </w:r>
          </w:p>
        </w:tc>
        <w:tc>
          <w:tcPr>
            <w:tcW w:w="1494"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96" w:type="dxa"/>
              <w:bottom w:w="48" w:type="dxa"/>
              <w:right w:w="96" w:type="dxa"/>
            </w:tcMar>
            <w:vAlign w:val="center"/>
            <w:hideMark/>
          </w:tcPr>
          <w:p w14:paraId="3533F86A" w14:textId="77777777" w:rsidR="00AE7FD9" w:rsidRPr="00452449" w:rsidRDefault="00AE7FD9" w:rsidP="00F3232E">
            <w:pPr>
              <w:jc w:val="center"/>
              <w:rPr>
                <w:rFonts w:ascii="Arial" w:hAnsi="Arial" w:cs="Arial"/>
                <w:b/>
                <w:bCs/>
              </w:rPr>
            </w:pPr>
            <w:r w:rsidRPr="00452449">
              <w:rPr>
                <w:rFonts w:ascii="Arial" w:hAnsi="Arial" w:cs="Arial"/>
                <w:b/>
                <w:bCs/>
              </w:rPr>
              <w:t>Rozloha [km²]</w:t>
            </w:r>
          </w:p>
        </w:tc>
        <w:tc>
          <w:tcPr>
            <w:tcW w:w="4776" w:type="dxa"/>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96" w:type="dxa"/>
              <w:bottom w:w="48" w:type="dxa"/>
              <w:right w:w="96" w:type="dxa"/>
            </w:tcMar>
            <w:vAlign w:val="center"/>
            <w:hideMark/>
          </w:tcPr>
          <w:p w14:paraId="41365D81" w14:textId="77777777" w:rsidR="00AE7FD9" w:rsidRPr="00452449" w:rsidRDefault="00AE7FD9" w:rsidP="00F3232E">
            <w:pPr>
              <w:jc w:val="center"/>
              <w:rPr>
                <w:rFonts w:ascii="Arial" w:hAnsi="Arial" w:cs="Arial"/>
                <w:b/>
                <w:bCs/>
              </w:rPr>
            </w:pPr>
            <w:r w:rsidRPr="00452449">
              <w:rPr>
                <w:rFonts w:ascii="Arial" w:hAnsi="Arial" w:cs="Arial"/>
                <w:b/>
                <w:bCs/>
              </w:rPr>
              <w:t>Mapa</w:t>
            </w:r>
          </w:p>
        </w:tc>
      </w:tr>
      <w:tr w:rsidR="00AE7FD9" w:rsidRPr="004C30F7" w14:paraId="452DD752" w14:textId="77777777" w:rsidTr="006E41DC">
        <w:trPr>
          <w:trHeight w:val="553"/>
        </w:trPr>
        <w:tc>
          <w:tcPr>
            <w:tcW w:w="145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48" w:type="dxa"/>
              <w:left w:w="96" w:type="dxa"/>
              <w:bottom w:w="48" w:type="dxa"/>
              <w:right w:w="96" w:type="dxa"/>
            </w:tcMar>
            <w:vAlign w:val="center"/>
            <w:hideMark/>
          </w:tcPr>
          <w:p w14:paraId="73610474" w14:textId="62209A9C" w:rsidR="00AE7FD9" w:rsidRPr="00AE7FD9" w:rsidRDefault="00AE7FD9" w:rsidP="00AE7FD9">
            <w:pPr>
              <w:jc w:val="center"/>
              <w:rPr>
                <w:rFonts w:ascii="Arial" w:hAnsi="Arial" w:cs="Arial"/>
              </w:rPr>
            </w:pPr>
            <w:r w:rsidRPr="006E41DC">
              <w:rPr>
                <w:rFonts w:ascii="Arial" w:hAnsi="Arial" w:cs="Arial"/>
              </w:rPr>
              <w:t>Bratislava I</w:t>
            </w:r>
          </w:p>
        </w:tc>
        <w:tc>
          <w:tcPr>
            <w:tcW w:w="1344"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6BF4B8E5" w14:textId="77777777" w:rsidR="00AE7FD9" w:rsidRPr="00AE7FD9" w:rsidRDefault="002F0B86" w:rsidP="00AE7FD9">
            <w:pPr>
              <w:jc w:val="center"/>
              <w:rPr>
                <w:rFonts w:ascii="Arial" w:hAnsi="Arial" w:cs="Arial"/>
              </w:rPr>
            </w:pPr>
            <w:hyperlink r:id="rId22" w:tooltip="Staré Mesto (Bratislava)" w:history="1">
              <w:r w:rsidR="00AE7FD9" w:rsidRPr="00AE7FD9">
                <w:rPr>
                  <w:rStyle w:val="Hypertextovprepojenie"/>
                  <w:rFonts w:ascii="Arial" w:hAnsi="Arial" w:cs="Arial"/>
                  <w:color w:val="auto"/>
                  <w:u w:val="none"/>
                </w:rPr>
                <w:t>Staré Mesto</w:t>
              </w:r>
            </w:hyperlink>
          </w:p>
        </w:tc>
        <w:tc>
          <w:tcPr>
            <w:tcW w:w="747"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2666129E" w14:textId="77777777" w:rsidR="00AE7FD9" w:rsidRPr="004C30F7" w:rsidRDefault="00AE7FD9" w:rsidP="006E41DC">
            <w:pPr>
              <w:jc w:val="center"/>
              <w:rPr>
                <w:rFonts w:ascii="Arial" w:hAnsi="Arial" w:cs="Arial"/>
              </w:rPr>
            </w:pPr>
            <w:r w:rsidRPr="004C30F7">
              <w:rPr>
                <w:rFonts w:ascii="Arial" w:hAnsi="Arial" w:cs="Arial"/>
              </w:rPr>
              <w:t>9,59</w:t>
            </w:r>
          </w:p>
        </w:tc>
        <w:tc>
          <w:tcPr>
            <w:tcW w:w="747"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34E500C1" w14:textId="77777777" w:rsidR="00AE7FD9" w:rsidRPr="004C30F7" w:rsidRDefault="00AE7FD9" w:rsidP="006E41DC">
            <w:pPr>
              <w:jc w:val="center"/>
              <w:rPr>
                <w:rFonts w:ascii="Arial" w:hAnsi="Arial" w:cs="Arial"/>
              </w:rPr>
            </w:pPr>
            <w:r w:rsidRPr="004C30F7">
              <w:rPr>
                <w:rFonts w:ascii="Arial" w:hAnsi="Arial" w:cs="Arial"/>
              </w:rPr>
              <w:t>9,59</w:t>
            </w:r>
          </w:p>
        </w:tc>
        <w:tc>
          <w:tcPr>
            <w:tcW w:w="4776" w:type="dxa"/>
            <w:vMerge w:val="restart"/>
            <w:tcBorders>
              <w:top w:val="single" w:sz="4" w:space="0" w:color="auto"/>
              <w:left w:val="single" w:sz="4" w:space="0" w:color="auto"/>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0FD04D30" w14:textId="7294460C" w:rsidR="00AE7FD9" w:rsidRPr="004C30F7" w:rsidRDefault="00AE7FD9" w:rsidP="00AE7FD9">
            <w:pPr>
              <w:jc w:val="center"/>
              <w:rPr>
                <w:rFonts w:ascii="Arial" w:hAnsi="Arial" w:cs="Arial"/>
              </w:rPr>
            </w:pPr>
            <w:r w:rsidRPr="004C30F7">
              <w:rPr>
                <w:rFonts w:ascii="Arial" w:hAnsi="Arial" w:cs="Arial"/>
                <w:noProof/>
              </w:rPr>
              <w:drawing>
                <wp:inline distT="0" distB="0" distL="0" distR="0" wp14:anchorId="05F39ECE" wp14:editId="7D6FFF5A">
                  <wp:extent cx="2890983" cy="3227774"/>
                  <wp:effectExtent l="0" t="0" r="5080" b="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ok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12520" cy="3251820"/>
                          </a:xfrm>
                          <a:prstGeom prst="rect">
                            <a:avLst/>
                          </a:prstGeom>
                          <a:noFill/>
                          <a:ln>
                            <a:noFill/>
                          </a:ln>
                        </pic:spPr>
                      </pic:pic>
                    </a:graphicData>
                  </a:graphic>
                </wp:inline>
              </w:drawing>
            </w:r>
          </w:p>
        </w:tc>
      </w:tr>
      <w:tr w:rsidR="00AE7FD9" w:rsidRPr="004C30F7" w14:paraId="3F8EA640" w14:textId="77777777" w:rsidTr="006E41DC">
        <w:trPr>
          <w:trHeight w:val="175"/>
        </w:trPr>
        <w:tc>
          <w:tcPr>
            <w:tcW w:w="1458" w:type="dxa"/>
            <w:vMerge w:val="restart"/>
            <w:tcBorders>
              <w:top w:val="single" w:sz="4" w:space="0" w:color="auto"/>
              <w:left w:val="single" w:sz="4" w:space="0" w:color="auto"/>
              <w:bottom w:val="single" w:sz="4" w:space="0" w:color="auto"/>
              <w:right w:val="single" w:sz="4" w:space="0" w:color="auto"/>
            </w:tcBorders>
            <w:shd w:val="clear" w:color="auto" w:fill="FFD966" w:themeFill="accent4" w:themeFillTint="99"/>
            <w:tcMar>
              <w:top w:w="48" w:type="dxa"/>
              <w:left w:w="96" w:type="dxa"/>
              <w:bottom w:w="48" w:type="dxa"/>
              <w:right w:w="96" w:type="dxa"/>
            </w:tcMar>
            <w:vAlign w:val="center"/>
            <w:hideMark/>
          </w:tcPr>
          <w:p w14:paraId="0AAA3710" w14:textId="77777777" w:rsidR="00AE7FD9" w:rsidRPr="00AE7FD9" w:rsidRDefault="002F0B86" w:rsidP="00AE7FD9">
            <w:pPr>
              <w:jc w:val="center"/>
              <w:rPr>
                <w:rFonts w:ascii="Arial" w:hAnsi="Arial" w:cs="Arial"/>
              </w:rPr>
            </w:pPr>
            <w:hyperlink r:id="rId24" w:tooltip="Bratislava II (okres)" w:history="1">
              <w:r w:rsidR="00AE7FD9" w:rsidRPr="00AE7FD9">
                <w:rPr>
                  <w:rStyle w:val="Hypertextovprepojenie"/>
                  <w:rFonts w:ascii="Arial" w:hAnsi="Arial" w:cs="Arial"/>
                  <w:color w:val="auto"/>
                  <w:u w:val="none"/>
                </w:rPr>
                <w:t>Bratislava II</w:t>
              </w:r>
            </w:hyperlink>
          </w:p>
        </w:tc>
        <w:tc>
          <w:tcPr>
            <w:tcW w:w="1344" w:type="dxa"/>
            <w:tcBorders>
              <w:top w:val="single" w:sz="4" w:space="0" w:color="auto"/>
              <w:left w:val="single" w:sz="4" w:space="0" w:color="auto"/>
              <w:bottom w:val="single" w:sz="4" w:space="0" w:color="auto"/>
              <w:right w:val="single" w:sz="4" w:space="0" w:color="auto"/>
            </w:tcBorders>
            <w:shd w:val="clear" w:color="auto" w:fill="FFE599" w:themeFill="accent4" w:themeFillTint="66"/>
            <w:tcMar>
              <w:top w:w="48" w:type="dxa"/>
              <w:left w:w="96" w:type="dxa"/>
              <w:bottom w:w="48" w:type="dxa"/>
              <w:right w:w="96" w:type="dxa"/>
            </w:tcMar>
            <w:vAlign w:val="center"/>
            <w:hideMark/>
          </w:tcPr>
          <w:p w14:paraId="3F0F2539" w14:textId="77777777" w:rsidR="00AE7FD9" w:rsidRPr="00AE7FD9" w:rsidRDefault="002F0B86" w:rsidP="00AE7FD9">
            <w:pPr>
              <w:jc w:val="center"/>
              <w:rPr>
                <w:rFonts w:ascii="Arial" w:hAnsi="Arial" w:cs="Arial"/>
              </w:rPr>
            </w:pPr>
            <w:hyperlink r:id="rId25" w:tooltip="Ružinov" w:history="1">
              <w:r w:rsidR="00AE7FD9" w:rsidRPr="00AE7FD9">
                <w:rPr>
                  <w:rStyle w:val="Hypertextovprepojenie"/>
                  <w:rFonts w:ascii="Arial" w:hAnsi="Arial" w:cs="Arial"/>
                  <w:color w:val="auto"/>
                  <w:u w:val="none"/>
                </w:rPr>
                <w:t>Ružinov</w:t>
              </w:r>
            </w:hyperlink>
          </w:p>
        </w:tc>
        <w:tc>
          <w:tcPr>
            <w:tcW w:w="747" w:type="dxa"/>
            <w:tcBorders>
              <w:top w:val="single" w:sz="4" w:space="0" w:color="auto"/>
              <w:left w:val="single" w:sz="4" w:space="0" w:color="auto"/>
              <w:bottom w:val="single" w:sz="4" w:space="0" w:color="auto"/>
              <w:right w:val="single" w:sz="4" w:space="0" w:color="auto"/>
            </w:tcBorders>
            <w:shd w:val="clear" w:color="auto" w:fill="FFE599" w:themeFill="accent4" w:themeFillTint="66"/>
            <w:tcMar>
              <w:top w:w="48" w:type="dxa"/>
              <w:left w:w="96" w:type="dxa"/>
              <w:bottom w:w="48" w:type="dxa"/>
              <w:right w:w="96" w:type="dxa"/>
            </w:tcMar>
            <w:vAlign w:val="center"/>
            <w:hideMark/>
          </w:tcPr>
          <w:p w14:paraId="4313CF54" w14:textId="77777777" w:rsidR="00AE7FD9" w:rsidRPr="004C30F7" w:rsidRDefault="00AE7FD9" w:rsidP="006E41DC">
            <w:pPr>
              <w:jc w:val="center"/>
              <w:rPr>
                <w:rFonts w:ascii="Arial" w:hAnsi="Arial" w:cs="Arial"/>
              </w:rPr>
            </w:pPr>
            <w:r w:rsidRPr="004C30F7">
              <w:rPr>
                <w:rFonts w:ascii="Arial" w:hAnsi="Arial" w:cs="Arial"/>
              </w:rPr>
              <w:t>39,70</w:t>
            </w:r>
          </w:p>
        </w:tc>
        <w:tc>
          <w:tcPr>
            <w:tcW w:w="747" w:type="dxa"/>
            <w:vMerge w:val="restart"/>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6A059843" w14:textId="77777777" w:rsidR="00AE7FD9" w:rsidRPr="004C30F7" w:rsidRDefault="00AE7FD9" w:rsidP="006E41DC">
            <w:pPr>
              <w:jc w:val="center"/>
              <w:rPr>
                <w:rFonts w:ascii="Arial" w:hAnsi="Arial" w:cs="Arial"/>
              </w:rPr>
            </w:pPr>
            <w:r w:rsidRPr="004C30F7">
              <w:rPr>
                <w:rFonts w:ascii="Arial" w:hAnsi="Arial" w:cs="Arial"/>
              </w:rPr>
              <w:t>92,49</w:t>
            </w:r>
          </w:p>
        </w:tc>
        <w:tc>
          <w:tcPr>
            <w:tcW w:w="4776" w:type="dxa"/>
            <w:vMerge/>
            <w:tcBorders>
              <w:top w:val="single" w:sz="6" w:space="0" w:color="A2A9B1"/>
              <w:left w:val="single" w:sz="4" w:space="0" w:color="auto"/>
              <w:bottom w:val="single" w:sz="6" w:space="0" w:color="A2A9B1"/>
              <w:right w:val="single" w:sz="6" w:space="0" w:color="A2A9B1"/>
            </w:tcBorders>
            <w:shd w:val="clear" w:color="auto" w:fill="F8F9FA"/>
            <w:vAlign w:val="center"/>
            <w:hideMark/>
          </w:tcPr>
          <w:p w14:paraId="4FCB2671" w14:textId="77777777" w:rsidR="00AE7FD9" w:rsidRPr="004C30F7" w:rsidRDefault="00AE7FD9" w:rsidP="00F3232E">
            <w:pPr>
              <w:rPr>
                <w:rFonts w:ascii="Arial" w:hAnsi="Arial" w:cs="Arial"/>
              </w:rPr>
            </w:pPr>
          </w:p>
        </w:tc>
      </w:tr>
      <w:tr w:rsidR="00AE7FD9" w:rsidRPr="004C30F7" w14:paraId="49B00E5F" w14:textId="77777777" w:rsidTr="006E41DC">
        <w:trPr>
          <w:trHeight w:val="123"/>
        </w:trPr>
        <w:tc>
          <w:tcPr>
            <w:tcW w:w="1458" w:type="dxa"/>
            <w:vMerge/>
            <w:tcBorders>
              <w:top w:val="single" w:sz="4" w:space="0" w:color="auto"/>
              <w:left w:val="single" w:sz="4" w:space="0" w:color="auto"/>
              <w:bottom w:val="single" w:sz="4" w:space="0" w:color="auto"/>
              <w:right w:val="single" w:sz="4" w:space="0" w:color="auto"/>
            </w:tcBorders>
            <w:shd w:val="clear" w:color="auto" w:fill="FFD966" w:themeFill="accent4" w:themeFillTint="99"/>
            <w:vAlign w:val="center"/>
            <w:hideMark/>
          </w:tcPr>
          <w:p w14:paraId="5E8CBFFD" w14:textId="77777777" w:rsidR="00AE7FD9" w:rsidRPr="00AE7FD9" w:rsidRDefault="00AE7FD9" w:rsidP="00AE7FD9">
            <w:pPr>
              <w:jc w:val="center"/>
              <w:rPr>
                <w:rFonts w:ascii="Arial" w:hAnsi="Arial" w:cs="Arial"/>
              </w:rPr>
            </w:pPr>
          </w:p>
        </w:tc>
        <w:tc>
          <w:tcPr>
            <w:tcW w:w="1344"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58AE2579" w14:textId="77777777" w:rsidR="00AE7FD9" w:rsidRPr="00AE7FD9" w:rsidRDefault="002F0B86" w:rsidP="00AE7FD9">
            <w:pPr>
              <w:jc w:val="center"/>
              <w:rPr>
                <w:rFonts w:ascii="Arial" w:hAnsi="Arial" w:cs="Arial"/>
              </w:rPr>
            </w:pPr>
            <w:hyperlink r:id="rId26" w:tooltip="Vrakuňa" w:history="1">
              <w:r w:rsidR="00AE7FD9" w:rsidRPr="00AE7FD9">
                <w:rPr>
                  <w:rStyle w:val="Hypertextovprepojenie"/>
                  <w:rFonts w:ascii="Arial" w:hAnsi="Arial" w:cs="Arial"/>
                  <w:color w:val="auto"/>
                  <w:u w:val="none"/>
                </w:rPr>
                <w:t>Vrakuňa</w:t>
              </w:r>
            </w:hyperlink>
          </w:p>
        </w:tc>
        <w:tc>
          <w:tcPr>
            <w:tcW w:w="747"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2BE0879F" w14:textId="77777777" w:rsidR="00AE7FD9" w:rsidRPr="004C30F7" w:rsidRDefault="00AE7FD9" w:rsidP="006E41DC">
            <w:pPr>
              <w:jc w:val="center"/>
              <w:rPr>
                <w:rFonts w:ascii="Arial" w:hAnsi="Arial" w:cs="Arial"/>
              </w:rPr>
            </w:pPr>
            <w:r w:rsidRPr="004C30F7">
              <w:rPr>
                <w:rFonts w:ascii="Arial" w:hAnsi="Arial" w:cs="Arial"/>
              </w:rPr>
              <w:t>10,30</w:t>
            </w:r>
          </w:p>
        </w:tc>
        <w:tc>
          <w:tcPr>
            <w:tcW w:w="747" w:type="dxa"/>
            <w:vMerge/>
            <w:tcBorders>
              <w:top w:val="single" w:sz="4" w:space="0" w:color="auto"/>
              <w:left w:val="single" w:sz="4" w:space="0" w:color="auto"/>
              <w:bottom w:val="single" w:sz="4" w:space="0" w:color="auto"/>
              <w:right w:val="single" w:sz="4" w:space="0" w:color="auto"/>
            </w:tcBorders>
            <w:shd w:val="clear" w:color="auto" w:fill="F8F9FA"/>
            <w:vAlign w:val="center"/>
            <w:hideMark/>
          </w:tcPr>
          <w:p w14:paraId="5FBFB17B" w14:textId="77777777" w:rsidR="00AE7FD9" w:rsidRPr="004C30F7" w:rsidRDefault="00AE7FD9" w:rsidP="006E41DC">
            <w:pPr>
              <w:jc w:val="center"/>
              <w:rPr>
                <w:rFonts w:ascii="Arial" w:hAnsi="Arial" w:cs="Arial"/>
              </w:rPr>
            </w:pPr>
          </w:p>
        </w:tc>
        <w:tc>
          <w:tcPr>
            <w:tcW w:w="4776" w:type="dxa"/>
            <w:vMerge/>
            <w:tcBorders>
              <w:top w:val="single" w:sz="6" w:space="0" w:color="A2A9B1"/>
              <w:left w:val="single" w:sz="4" w:space="0" w:color="auto"/>
              <w:bottom w:val="single" w:sz="6" w:space="0" w:color="A2A9B1"/>
              <w:right w:val="single" w:sz="6" w:space="0" w:color="A2A9B1"/>
            </w:tcBorders>
            <w:shd w:val="clear" w:color="auto" w:fill="F8F9FA"/>
            <w:vAlign w:val="center"/>
            <w:hideMark/>
          </w:tcPr>
          <w:p w14:paraId="22C06359" w14:textId="77777777" w:rsidR="00AE7FD9" w:rsidRPr="004C30F7" w:rsidRDefault="00AE7FD9" w:rsidP="00F3232E">
            <w:pPr>
              <w:rPr>
                <w:rFonts w:ascii="Arial" w:hAnsi="Arial" w:cs="Arial"/>
              </w:rPr>
            </w:pPr>
          </w:p>
        </w:tc>
      </w:tr>
      <w:tr w:rsidR="00AE7FD9" w:rsidRPr="004C30F7" w14:paraId="4F3DFE80" w14:textId="77777777" w:rsidTr="006E41DC">
        <w:trPr>
          <w:trHeight w:val="355"/>
        </w:trPr>
        <w:tc>
          <w:tcPr>
            <w:tcW w:w="1458" w:type="dxa"/>
            <w:vMerge/>
            <w:tcBorders>
              <w:top w:val="single" w:sz="4" w:space="0" w:color="auto"/>
              <w:left w:val="single" w:sz="4" w:space="0" w:color="auto"/>
              <w:bottom w:val="single" w:sz="4" w:space="0" w:color="auto"/>
              <w:right w:val="single" w:sz="4" w:space="0" w:color="auto"/>
            </w:tcBorders>
            <w:shd w:val="clear" w:color="auto" w:fill="FFD966" w:themeFill="accent4" w:themeFillTint="99"/>
            <w:vAlign w:val="center"/>
            <w:hideMark/>
          </w:tcPr>
          <w:p w14:paraId="02241F78" w14:textId="77777777" w:rsidR="00AE7FD9" w:rsidRPr="00AE7FD9" w:rsidRDefault="00AE7FD9" w:rsidP="00AE7FD9">
            <w:pPr>
              <w:jc w:val="center"/>
              <w:rPr>
                <w:rFonts w:ascii="Arial" w:hAnsi="Arial" w:cs="Arial"/>
              </w:rPr>
            </w:pPr>
          </w:p>
        </w:tc>
        <w:tc>
          <w:tcPr>
            <w:tcW w:w="1344"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3ED7E09D" w14:textId="77777777" w:rsidR="00AE7FD9" w:rsidRPr="00AE7FD9" w:rsidRDefault="002F0B86" w:rsidP="00AE7FD9">
            <w:pPr>
              <w:jc w:val="center"/>
              <w:rPr>
                <w:rFonts w:ascii="Arial" w:hAnsi="Arial" w:cs="Arial"/>
              </w:rPr>
            </w:pPr>
            <w:hyperlink r:id="rId27" w:tooltip="Podunajské Biskupice" w:history="1">
              <w:r w:rsidR="00AE7FD9" w:rsidRPr="00AE7FD9">
                <w:rPr>
                  <w:rStyle w:val="Hypertextovprepojenie"/>
                  <w:rFonts w:ascii="Arial" w:hAnsi="Arial" w:cs="Arial"/>
                  <w:color w:val="auto"/>
                  <w:u w:val="none"/>
                </w:rPr>
                <w:t>Podunajské Biskupice</w:t>
              </w:r>
            </w:hyperlink>
          </w:p>
        </w:tc>
        <w:tc>
          <w:tcPr>
            <w:tcW w:w="747"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7AD0AC58" w14:textId="77777777" w:rsidR="00AE7FD9" w:rsidRPr="004C30F7" w:rsidRDefault="00AE7FD9" w:rsidP="006E41DC">
            <w:pPr>
              <w:jc w:val="center"/>
              <w:rPr>
                <w:rFonts w:ascii="Arial" w:hAnsi="Arial" w:cs="Arial"/>
              </w:rPr>
            </w:pPr>
            <w:r w:rsidRPr="004C30F7">
              <w:rPr>
                <w:rFonts w:ascii="Arial" w:hAnsi="Arial" w:cs="Arial"/>
              </w:rPr>
              <w:t>42,49</w:t>
            </w:r>
          </w:p>
        </w:tc>
        <w:tc>
          <w:tcPr>
            <w:tcW w:w="747" w:type="dxa"/>
            <w:vMerge/>
            <w:tcBorders>
              <w:top w:val="single" w:sz="4" w:space="0" w:color="auto"/>
              <w:left w:val="single" w:sz="4" w:space="0" w:color="auto"/>
              <w:bottom w:val="single" w:sz="4" w:space="0" w:color="auto"/>
              <w:right w:val="single" w:sz="4" w:space="0" w:color="auto"/>
            </w:tcBorders>
            <w:shd w:val="clear" w:color="auto" w:fill="F8F9FA"/>
            <w:vAlign w:val="center"/>
            <w:hideMark/>
          </w:tcPr>
          <w:p w14:paraId="32709D7C" w14:textId="77777777" w:rsidR="00AE7FD9" w:rsidRPr="004C30F7" w:rsidRDefault="00AE7FD9" w:rsidP="006E41DC">
            <w:pPr>
              <w:jc w:val="center"/>
              <w:rPr>
                <w:rFonts w:ascii="Arial" w:hAnsi="Arial" w:cs="Arial"/>
              </w:rPr>
            </w:pPr>
          </w:p>
        </w:tc>
        <w:tc>
          <w:tcPr>
            <w:tcW w:w="4776" w:type="dxa"/>
            <w:vMerge/>
            <w:tcBorders>
              <w:top w:val="single" w:sz="6" w:space="0" w:color="A2A9B1"/>
              <w:left w:val="single" w:sz="4" w:space="0" w:color="auto"/>
              <w:bottom w:val="single" w:sz="6" w:space="0" w:color="A2A9B1"/>
              <w:right w:val="single" w:sz="6" w:space="0" w:color="A2A9B1"/>
            </w:tcBorders>
            <w:shd w:val="clear" w:color="auto" w:fill="F8F9FA"/>
            <w:vAlign w:val="center"/>
            <w:hideMark/>
          </w:tcPr>
          <w:p w14:paraId="38FFFA9C" w14:textId="77777777" w:rsidR="00AE7FD9" w:rsidRPr="004C30F7" w:rsidRDefault="00AE7FD9" w:rsidP="00F3232E">
            <w:pPr>
              <w:rPr>
                <w:rFonts w:ascii="Arial" w:hAnsi="Arial" w:cs="Arial"/>
              </w:rPr>
            </w:pPr>
          </w:p>
        </w:tc>
      </w:tr>
      <w:tr w:rsidR="00AE7FD9" w:rsidRPr="004C30F7" w14:paraId="69A781CA" w14:textId="77777777" w:rsidTr="006E41DC">
        <w:trPr>
          <w:trHeight w:val="207"/>
        </w:trPr>
        <w:tc>
          <w:tcPr>
            <w:tcW w:w="145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48" w:type="dxa"/>
              <w:left w:w="96" w:type="dxa"/>
              <w:bottom w:w="48" w:type="dxa"/>
              <w:right w:w="96" w:type="dxa"/>
            </w:tcMar>
            <w:vAlign w:val="center"/>
            <w:hideMark/>
          </w:tcPr>
          <w:p w14:paraId="18595E74" w14:textId="77777777" w:rsidR="00AE7FD9" w:rsidRPr="00AE7FD9" w:rsidRDefault="002F0B86" w:rsidP="00AE7FD9">
            <w:pPr>
              <w:jc w:val="center"/>
              <w:rPr>
                <w:rFonts w:ascii="Arial" w:hAnsi="Arial" w:cs="Arial"/>
              </w:rPr>
            </w:pPr>
            <w:hyperlink r:id="rId28" w:tooltip="Bratislava III (okres)" w:history="1">
              <w:r w:rsidR="00AE7FD9" w:rsidRPr="00AE7FD9">
                <w:rPr>
                  <w:rStyle w:val="Hypertextovprepojenie"/>
                  <w:rFonts w:ascii="Arial" w:hAnsi="Arial" w:cs="Arial"/>
                  <w:color w:val="auto"/>
                  <w:u w:val="none"/>
                </w:rPr>
                <w:t>Bratislava III</w:t>
              </w:r>
            </w:hyperlink>
          </w:p>
        </w:tc>
        <w:tc>
          <w:tcPr>
            <w:tcW w:w="1344"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37893579" w14:textId="77777777" w:rsidR="00AE7FD9" w:rsidRPr="00AE7FD9" w:rsidRDefault="002F0B86" w:rsidP="00AE7FD9">
            <w:pPr>
              <w:jc w:val="center"/>
              <w:rPr>
                <w:rFonts w:ascii="Arial" w:hAnsi="Arial" w:cs="Arial"/>
              </w:rPr>
            </w:pPr>
            <w:hyperlink r:id="rId29" w:tooltip="Nové Mesto (Bratislava)" w:history="1">
              <w:r w:rsidR="00AE7FD9" w:rsidRPr="00AE7FD9">
                <w:rPr>
                  <w:rStyle w:val="Hypertextovprepojenie"/>
                  <w:rFonts w:ascii="Arial" w:hAnsi="Arial" w:cs="Arial"/>
                  <w:color w:val="auto"/>
                  <w:u w:val="none"/>
                </w:rPr>
                <w:t>Nové Mesto</w:t>
              </w:r>
            </w:hyperlink>
          </w:p>
        </w:tc>
        <w:tc>
          <w:tcPr>
            <w:tcW w:w="747"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25D538AD" w14:textId="77777777" w:rsidR="00AE7FD9" w:rsidRPr="004C30F7" w:rsidRDefault="00AE7FD9" w:rsidP="006E41DC">
            <w:pPr>
              <w:jc w:val="center"/>
              <w:rPr>
                <w:rFonts w:ascii="Arial" w:hAnsi="Arial" w:cs="Arial"/>
              </w:rPr>
            </w:pPr>
            <w:r w:rsidRPr="004C30F7">
              <w:rPr>
                <w:rFonts w:ascii="Arial" w:hAnsi="Arial" w:cs="Arial"/>
              </w:rPr>
              <w:t>37,48</w:t>
            </w:r>
          </w:p>
        </w:tc>
        <w:tc>
          <w:tcPr>
            <w:tcW w:w="747" w:type="dxa"/>
            <w:vMerge w:val="restart"/>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7FEC16E4" w14:textId="77777777" w:rsidR="00AE7FD9" w:rsidRPr="004C30F7" w:rsidRDefault="00AE7FD9" w:rsidP="006E41DC">
            <w:pPr>
              <w:jc w:val="center"/>
              <w:rPr>
                <w:rFonts w:ascii="Arial" w:hAnsi="Arial" w:cs="Arial"/>
              </w:rPr>
            </w:pPr>
            <w:r w:rsidRPr="004C30F7">
              <w:rPr>
                <w:rFonts w:ascii="Arial" w:hAnsi="Arial" w:cs="Arial"/>
              </w:rPr>
              <w:t>74,67</w:t>
            </w:r>
          </w:p>
        </w:tc>
        <w:tc>
          <w:tcPr>
            <w:tcW w:w="4776" w:type="dxa"/>
            <w:vMerge/>
            <w:tcBorders>
              <w:top w:val="single" w:sz="6" w:space="0" w:color="A2A9B1"/>
              <w:left w:val="single" w:sz="4" w:space="0" w:color="auto"/>
              <w:bottom w:val="single" w:sz="6" w:space="0" w:color="A2A9B1"/>
              <w:right w:val="single" w:sz="6" w:space="0" w:color="A2A9B1"/>
            </w:tcBorders>
            <w:shd w:val="clear" w:color="auto" w:fill="F8F9FA"/>
            <w:vAlign w:val="center"/>
            <w:hideMark/>
          </w:tcPr>
          <w:p w14:paraId="01D87FB2" w14:textId="77777777" w:rsidR="00AE7FD9" w:rsidRPr="004C30F7" w:rsidRDefault="00AE7FD9" w:rsidP="00F3232E">
            <w:pPr>
              <w:rPr>
                <w:rFonts w:ascii="Arial" w:hAnsi="Arial" w:cs="Arial"/>
              </w:rPr>
            </w:pPr>
          </w:p>
        </w:tc>
      </w:tr>
      <w:tr w:rsidR="00AE7FD9" w:rsidRPr="004C30F7" w14:paraId="0DE8E520" w14:textId="77777777" w:rsidTr="006E41DC">
        <w:trPr>
          <w:trHeight w:val="297"/>
        </w:trPr>
        <w:tc>
          <w:tcPr>
            <w:tcW w:w="145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2B1014" w14:textId="77777777" w:rsidR="00AE7FD9" w:rsidRPr="00AE7FD9" w:rsidRDefault="00AE7FD9" w:rsidP="00AE7FD9">
            <w:pPr>
              <w:jc w:val="center"/>
              <w:rPr>
                <w:rFonts w:ascii="Arial" w:hAnsi="Arial" w:cs="Arial"/>
              </w:rPr>
            </w:pPr>
          </w:p>
        </w:tc>
        <w:tc>
          <w:tcPr>
            <w:tcW w:w="1344"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4114BD1C" w14:textId="77777777" w:rsidR="00AE7FD9" w:rsidRPr="00AE7FD9" w:rsidRDefault="002F0B86" w:rsidP="00AE7FD9">
            <w:pPr>
              <w:jc w:val="center"/>
              <w:rPr>
                <w:rFonts w:ascii="Arial" w:hAnsi="Arial" w:cs="Arial"/>
              </w:rPr>
            </w:pPr>
            <w:hyperlink r:id="rId30" w:tooltip="Rača (mestská časť)" w:history="1">
              <w:r w:rsidR="00AE7FD9" w:rsidRPr="00AE7FD9">
                <w:rPr>
                  <w:rStyle w:val="Hypertextovprepojenie"/>
                  <w:rFonts w:ascii="Arial" w:hAnsi="Arial" w:cs="Arial"/>
                  <w:color w:val="auto"/>
                  <w:u w:val="none"/>
                </w:rPr>
                <w:t>Rača</w:t>
              </w:r>
            </w:hyperlink>
          </w:p>
        </w:tc>
        <w:tc>
          <w:tcPr>
            <w:tcW w:w="747"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53A7BFF3" w14:textId="77777777" w:rsidR="00AE7FD9" w:rsidRPr="004C30F7" w:rsidRDefault="00AE7FD9" w:rsidP="006E41DC">
            <w:pPr>
              <w:jc w:val="center"/>
              <w:rPr>
                <w:rFonts w:ascii="Arial" w:hAnsi="Arial" w:cs="Arial"/>
              </w:rPr>
            </w:pPr>
            <w:r w:rsidRPr="004C30F7">
              <w:rPr>
                <w:rFonts w:ascii="Arial" w:hAnsi="Arial" w:cs="Arial"/>
              </w:rPr>
              <w:t>23,66</w:t>
            </w:r>
          </w:p>
        </w:tc>
        <w:tc>
          <w:tcPr>
            <w:tcW w:w="747" w:type="dxa"/>
            <w:vMerge/>
            <w:tcBorders>
              <w:top w:val="single" w:sz="4" w:space="0" w:color="auto"/>
              <w:left w:val="single" w:sz="4" w:space="0" w:color="auto"/>
              <w:bottom w:val="single" w:sz="4" w:space="0" w:color="auto"/>
              <w:right w:val="single" w:sz="4" w:space="0" w:color="auto"/>
            </w:tcBorders>
            <w:shd w:val="clear" w:color="auto" w:fill="F8F9FA"/>
            <w:vAlign w:val="center"/>
            <w:hideMark/>
          </w:tcPr>
          <w:p w14:paraId="657BB2E1" w14:textId="77777777" w:rsidR="00AE7FD9" w:rsidRPr="004C30F7" w:rsidRDefault="00AE7FD9" w:rsidP="006E41DC">
            <w:pPr>
              <w:jc w:val="center"/>
              <w:rPr>
                <w:rFonts w:ascii="Arial" w:hAnsi="Arial" w:cs="Arial"/>
              </w:rPr>
            </w:pPr>
          </w:p>
        </w:tc>
        <w:tc>
          <w:tcPr>
            <w:tcW w:w="4776" w:type="dxa"/>
            <w:vMerge/>
            <w:tcBorders>
              <w:top w:val="single" w:sz="6" w:space="0" w:color="A2A9B1"/>
              <w:left w:val="single" w:sz="4" w:space="0" w:color="auto"/>
              <w:bottom w:val="single" w:sz="6" w:space="0" w:color="A2A9B1"/>
              <w:right w:val="single" w:sz="6" w:space="0" w:color="A2A9B1"/>
            </w:tcBorders>
            <w:shd w:val="clear" w:color="auto" w:fill="F8F9FA"/>
            <w:vAlign w:val="center"/>
            <w:hideMark/>
          </w:tcPr>
          <w:p w14:paraId="17AE1F06" w14:textId="77777777" w:rsidR="00AE7FD9" w:rsidRPr="004C30F7" w:rsidRDefault="00AE7FD9" w:rsidP="00F3232E">
            <w:pPr>
              <w:rPr>
                <w:rFonts w:ascii="Arial" w:hAnsi="Arial" w:cs="Arial"/>
              </w:rPr>
            </w:pPr>
          </w:p>
        </w:tc>
      </w:tr>
      <w:tr w:rsidR="00AE7FD9" w:rsidRPr="004C30F7" w14:paraId="7714B93B" w14:textId="77777777" w:rsidTr="006E41DC">
        <w:trPr>
          <w:trHeight w:val="300"/>
        </w:trPr>
        <w:tc>
          <w:tcPr>
            <w:tcW w:w="145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AABC17" w14:textId="77777777" w:rsidR="00AE7FD9" w:rsidRPr="00AE7FD9" w:rsidRDefault="00AE7FD9" w:rsidP="00AE7FD9">
            <w:pPr>
              <w:jc w:val="center"/>
              <w:rPr>
                <w:rFonts w:ascii="Arial" w:hAnsi="Arial" w:cs="Arial"/>
              </w:rPr>
            </w:pPr>
          </w:p>
        </w:tc>
        <w:tc>
          <w:tcPr>
            <w:tcW w:w="1344"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42FE926D" w14:textId="77777777" w:rsidR="00AE7FD9" w:rsidRPr="00AE7FD9" w:rsidRDefault="002F0B86" w:rsidP="00AE7FD9">
            <w:pPr>
              <w:jc w:val="center"/>
              <w:rPr>
                <w:rFonts w:ascii="Arial" w:hAnsi="Arial" w:cs="Arial"/>
              </w:rPr>
            </w:pPr>
            <w:hyperlink r:id="rId31" w:tooltip="Vajnory" w:history="1">
              <w:r w:rsidR="00AE7FD9" w:rsidRPr="00AE7FD9">
                <w:rPr>
                  <w:rStyle w:val="Hypertextovprepojenie"/>
                  <w:rFonts w:ascii="Arial" w:hAnsi="Arial" w:cs="Arial"/>
                  <w:color w:val="auto"/>
                  <w:u w:val="none"/>
                </w:rPr>
                <w:t>Vajnory</w:t>
              </w:r>
            </w:hyperlink>
          </w:p>
        </w:tc>
        <w:tc>
          <w:tcPr>
            <w:tcW w:w="747"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3B4431CB" w14:textId="77777777" w:rsidR="00AE7FD9" w:rsidRPr="004C30F7" w:rsidRDefault="00AE7FD9" w:rsidP="006E41DC">
            <w:pPr>
              <w:jc w:val="center"/>
              <w:rPr>
                <w:rFonts w:ascii="Arial" w:hAnsi="Arial" w:cs="Arial"/>
              </w:rPr>
            </w:pPr>
            <w:r w:rsidRPr="004C30F7">
              <w:rPr>
                <w:rFonts w:ascii="Arial" w:hAnsi="Arial" w:cs="Arial"/>
              </w:rPr>
              <w:t>13,53</w:t>
            </w:r>
          </w:p>
        </w:tc>
        <w:tc>
          <w:tcPr>
            <w:tcW w:w="747" w:type="dxa"/>
            <w:vMerge/>
            <w:tcBorders>
              <w:top w:val="single" w:sz="4" w:space="0" w:color="auto"/>
              <w:left w:val="single" w:sz="4" w:space="0" w:color="auto"/>
              <w:bottom w:val="single" w:sz="4" w:space="0" w:color="auto"/>
              <w:right w:val="single" w:sz="4" w:space="0" w:color="auto"/>
            </w:tcBorders>
            <w:shd w:val="clear" w:color="auto" w:fill="F8F9FA"/>
            <w:vAlign w:val="center"/>
            <w:hideMark/>
          </w:tcPr>
          <w:p w14:paraId="42371C8D" w14:textId="77777777" w:rsidR="00AE7FD9" w:rsidRPr="004C30F7" w:rsidRDefault="00AE7FD9" w:rsidP="006E41DC">
            <w:pPr>
              <w:jc w:val="center"/>
              <w:rPr>
                <w:rFonts w:ascii="Arial" w:hAnsi="Arial" w:cs="Arial"/>
              </w:rPr>
            </w:pPr>
          </w:p>
        </w:tc>
        <w:tc>
          <w:tcPr>
            <w:tcW w:w="4776" w:type="dxa"/>
            <w:vMerge/>
            <w:tcBorders>
              <w:top w:val="single" w:sz="6" w:space="0" w:color="A2A9B1"/>
              <w:left w:val="single" w:sz="4" w:space="0" w:color="auto"/>
              <w:bottom w:val="single" w:sz="6" w:space="0" w:color="A2A9B1"/>
              <w:right w:val="single" w:sz="6" w:space="0" w:color="A2A9B1"/>
            </w:tcBorders>
            <w:shd w:val="clear" w:color="auto" w:fill="F8F9FA"/>
            <w:vAlign w:val="center"/>
            <w:hideMark/>
          </w:tcPr>
          <w:p w14:paraId="380D7380" w14:textId="77777777" w:rsidR="00AE7FD9" w:rsidRPr="004C30F7" w:rsidRDefault="00AE7FD9" w:rsidP="00F3232E">
            <w:pPr>
              <w:rPr>
                <w:rFonts w:ascii="Arial" w:hAnsi="Arial" w:cs="Arial"/>
              </w:rPr>
            </w:pPr>
          </w:p>
        </w:tc>
      </w:tr>
      <w:tr w:rsidR="00AE7FD9" w:rsidRPr="004C30F7" w14:paraId="2FBFC6EB" w14:textId="77777777" w:rsidTr="006E41DC">
        <w:trPr>
          <w:trHeight w:val="181"/>
        </w:trPr>
        <w:tc>
          <w:tcPr>
            <w:tcW w:w="145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48" w:type="dxa"/>
              <w:left w:w="96" w:type="dxa"/>
              <w:bottom w:w="48" w:type="dxa"/>
              <w:right w:w="96" w:type="dxa"/>
            </w:tcMar>
            <w:vAlign w:val="center"/>
            <w:hideMark/>
          </w:tcPr>
          <w:p w14:paraId="7113146D" w14:textId="77777777" w:rsidR="00AE7FD9" w:rsidRPr="00AE7FD9" w:rsidRDefault="002F0B86" w:rsidP="00AE7FD9">
            <w:pPr>
              <w:jc w:val="center"/>
              <w:rPr>
                <w:rFonts w:ascii="Arial" w:hAnsi="Arial" w:cs="Arial"/>
              </w:rPr>
            </w:pPr>
            <w:hyperlink r:id="rId32" w:tooltip="Bratislava IV (okres)" w:history="1">
              <w:r w:rsidR="00AE7FD9" w:rsidRPr="00AE7FD9">
                <w:rPr>
                  <w:rStyle w:val="Hypertextovprepojenie"/>
                  <w:rFonts w:ascii="Arial" w:hAnsi="Arial" w:cs="Arial"/>
                  <w:color w:val="auto"/>
                  <w:u w:val="none"/>
                </w:rPr>
                <w:t>Bratislava IV</w:t>
              </w:r>
            </w:hyperlink>
          </w:p>
        </w:tc>
        <w:tc>
          <w:tcPr>
            <w:tcW w:w="1344"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04038D84" w14:textId="77777777" w:rsidR="00AE7FD9" w:rsidRPr="00AE7FD9" w:rsidRDefault="002F0B86" w:rsidP="00AE7FD9">
            <w:pPr>
              <w:jc w:val="center"/>
              <w:rPr>
                <w:rFonts w:ascii="Arial" w:hAnsi="Arial" w:cs="Arial"/>
              </w:rPr>
            </w:pPr>
            <w:hyperlink r:id="rId33" w:tooltip="Dúbravka (Bratislava)" w:history="1">
              <w:r w:rsidR="00AE7FD9" w:rsidRPr="00AE7FD9">
                <w:rPr>
                  <w:rStyle w:val="Hypertextovprepojenie"/>
                  <w:rFonts w:ascii="Arial" w:hAnsi="Arial" w:cs="Arial"/>
                  <w:color w:val="auto"/>
                  <w:u w:val="none"/>
                </w:rPr>
                <w:t>Dúbravka</w:t>
              </w:r>
            </w:hyperlink>
          </w:p>
        </w:tc>
        <w:tc>
          <w:tcPr>
            <w:tcW w:w="747"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1758B46F" w14:textId="77777777" w:rsidR="00AE7FD9" w:rsidRPr="004C30F7" w:rsidRDefault="00AE7FD9" w:rsidP="006E41DC">
            <w:pPr>
              <w:jc w:val="center"/>
              <w:rPr>
                <w:rFonts w:ascii="Arial" w:hAnsi="Arial" w:cs="Arial"/>
              </w:rPr>
            </w:pPr>
            <w:r w:rsidRPr="004C30F7">
              <w:rPr>
                <w:rFonts w:ascii="Arial" w:hAnsi="Arial" w:cs="Arial"/>
              </w:rPr>
              <w:t>8,65</w:t>
            </w:r>
          </w:p>
        </w:tc>
        <w:tc>
          <w:tcPr>
            <w:tcW w:w="747" w:type="dxa"/>
            <w:vMerge w:val="restart"/>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410EB1A2" w14:textId="77777777" w:rsidR="00AE7FD9" w:rsidRPr="004C30F7" w:rsidRDefault="00AE7FD9" w:rsidP="006E41DC">
            <w:pPr>
              <w:jc w:val="center"/>
              <w:rPr>
                <w:rFonts w:ascii="Arial" w:hAnsi="Arial" w:cs="Arial"/>
              </w:rPr>
            </w:pPr>
            <w:r w:rsidRPr="004C30F7">
              <w:rPr>
                <w:rFonts w:ascii="Arial" w:hAnsi="Arial" w:cs="Arial"/>
              </w:rPr>
              <w:t>96,71</w:t>
            </w:r>
          </w:p>
        </w:tc>
        <w:tc>
          <w:tcPr>
            <w:tcW w:w="4776" w:type="dxa"/>
            <w:vMerge/>
            <w:tcBorders>
              <w:top w:val="single" w:sz="6" w:space="0" w:color="A2A9B1"/>
              <w:left w:val="single" w:sz="4" w:space="0" w:color="auto"/>
              <w:bottom w:val="single" w:sz="6" w:space="0" w:color="A2A9B1"/>
              <w:right w:val="single" w:sz="6" w:space="0" w:color="A2A9B1"/>
            </w:tcBorders>
            <w:shd w:val="clear" w:color="auto" w:fill="F8F9FA"/>
            <w:vAlign w:val="center"/>
            <w:hideMark/>
          </w:tcPr>
          <w:p w14:paraId="7517DE80" w14:textId="77777777" w:rsidR="00AE7FD9" w:rsidRPr="004C30F7" w:rsidRDefault="00AE7FD9" w:rsidP="00F3232E">
            <w:pPr>
              <w:rPr>
                <w:rFonts w:ascii="Arial" w:hAnsi="Arial" w:cs="Arial"/>
              </w:rPr>
            </w:pPr>
          </w:p>
        </w:tc>
      </w:tr>
      <w:tr w:rsidR="00AE7FD9" w:rsidRPr="004C30F7" w14:paraId="6F6B120A" w14:textId="77777777" w:rsidTr="006E41DC">
        <w:trPr>
          <w:trHeight w:val="271"/>
        </w:trPr>
        <w:tc>
          <w:tcPr>
            <w:tcW w:w="145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3EE6EE" w14:textId="77777777" w:rsidR="00AE7FD9" w:rsidRPr="00AE7FD9" w:rsidRDefault="00AE7FD9" w:rsidP="00AE7FD9">
            <w:pPr>
              <w:jc w:val="center"/>
              <w:rPr>
                <w:rFonts w:ascii="Arial" w:hAnsi="Arial" w:cs="Arial"/>
              </w:rPr>
            </w:pPr>
          </w:p>
        </w:tc>
        <w:tc>
          <w:tcPr>
            <w:tcW w:w="1344"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672E3630" w14:textId="77777777" w:rsidR="00AE7FD9" w:rsidRPr="00AE7FD9" w:rsidRDefault="002F0B86" w:rsidP="00AE7FD9">
            <w:pPr>
              <w:jc w:val="center"/>
              <w:rPr>
                <w:rFonts w:ascii="Arial" w:hAnsi="Arial" w:cs="Arial"/>
              </w:rPr>
            </w:pPr>
            <w:hyperlink r:id="rId34" w:tooltip="Bratislava - Karlova Ves" w:history="1">
              <w:r w:rsidR="00AE7FD9" w:rsidRPr="00AE7FD9">
                <w:rPr>
                  <w:rStyle w:val="Hypertextovprepojenie"/>
                  <w:rFonts w:ascii="Arial" w:hAnsi="Arial" w:cs="Arial"/>
                  <w:color w:val="auto"/>
                  <w:u w:val="none"/>
                </w:rPr>
                <w:t>Karlova Ves</w:t>
              </w:r>
            </w:hyperlink>
          </w:p>
        </w:tc>
        <w:tc>
          <w:tcPr>
            <w:tcW w:w="747"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72E1C7D8" w14:textId="77777777" w:rsidR="00AE7FD9" w:rsidRPr="004C30F7" w:rsidRDefault="00AE7FD9" w:rsidP="006E41DC">
            <w:pPr>
              <w:jc w:val="center"/>
              <w:rPr>
                <w:rFonts w:ascii="Arial" w:hAnsi="Arial" w:cs="Arial"/>
              </w:rPr>
            </w:pPr>
            <w:r w:rsidRPr="004C30F7">
              <w:rPr>
                <w:rFonts w:ascii="Arial" w:hAnsi="Arial" w:cs="Arial"/>
              </w:rPr>
              <w:t>11,02</w:t>
            </w:r>
          </w:p>
        </w:tc>
        <w:tc>
          <w:tcPr>
            <w:tcW w:w="747" w:type="dxa"/>
            <w:vMerge/>
            <w:tcBorders>
              <w:top w:val="single" w:sz="4" w:space="0" w:color="auto"/>
              <w:left w:val="single" w:sz="4" w:space="0" w:color="auto"/>
              <w:bottom w:val="single" w:sz="4" w:space="0" w:color="auto"/>
              <w:right w:val="single" w:sz="4" w:space="0" w:color="auto"/>
            </w:tcBorders>
            <w:shd w:val="clear" w:color="auto" w:fill="F8F9FA"/>
            <w:vAlign w:val="center"/>
            <w:hideMark/>
          </w:tcPr>
          <w:p w14:paraId="5ABCA5B3" w14:textId="77777777" w:rsidR="00AE7FD9" w:rsidRPr="004C30F7" w:rsidRDefault="00AE7FD9" w:rsidP="006E41DC">
            <w:pPr>
              <w:jc w:val="center"/>
              <w:rPr>
                <w:rFonts w:ascii="Arial" w:hAnsi="Arial" w:cs="Arial"/>
              </w:rPr>
            </w:pPr>
          </w:p>
        </w:tc>
        <w:tc>
          <w:tcPr>
            <w:tcW w:w="4776" w:type="dxa"/>
            <w:vMerge/>
            <w:tcBorders>
              <w:top w:val="single" w:sz="6" w:space="0" w:color="A2A9B1"/>
              <w:left w:val="single" w:sz="4" w:space="0" w:color="auto"/>
              <w:bottom w:val="single" w:sz="6" w:space="0" w:color="A2A9B1"/>
              <w:right w:val="single" w:sz="6" w:space="0" w:color="A2A9B1"/>
            </w:tcBorders>
            <w:shd w:val="clear" w:color="auto" w:fill="F8F9FA"/>
            <w:vAlign w:val="center"/>
            <w:hideMark/>
          </w:tcPr>
          <w:p w14:paraId="16EF24FF" w14:textId="77777777" w:rsidR="00AE7FD9" w:rsidRPr="004C30F7" w:rsidRDefault="00AE7FD9" w:rsidP="00F3232E">
            <w:pPr>
              <w:rPr>
                <w:rFonts w:ascii="Arial" w:hAnsi="Arial" w:cs="Arial"/>
              </w:rPr>
            </w:pPr>
          </w:p>
        </w:tc>
      </w:tr>
      <w:tr w:rsidR="00AE7FD9" w:rsidRPr="004C30F7" w14:paraId="3ABF15CB" w14:textId="77777777" w:rsidTr="006E41DC">
        <w:trPr>
          <w:trHeight w:val="163"/>
        </w:trPr>
        <w:tc>
          <w:tcPr>
            <w:tcW w:w="145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A00DCE" w14:textId="77777777" w:rsidR="00AE7FD9" w:rsidRPr="00AE7FD9" w:rsidRDefault="00AE7FD9" w:rsidP="00AE7FD9">
            <w:pPr>
              <w:jc w:val="center"/>
              <w:rPr>
                <w:rFonts w:ascii="Arial" w:hAnsi="Arial" w:cs="Arial"/>
              </w:rPr>
            </w:pPr>
          </w:p>
        </w:tc>
        <w:tc>
          <w:tcPr>
            <w:tcW w:w="1344"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0C3E8190" w14:textId="77777777" w:rsidR="00AE7FD9" w:rsidRPr="00AE7FD9" w:rsidRDefault="002F0B86" w:rsidP="00AE7FD9">
            <w:pPr>
              <w:jc w:val="center"/>
              <w:rPr>
                <w:rFonts w:ascii="Arial" w:hAnsi="Arial" w:cs="Arial"/>
              </w:rPr>
            </w:pPr>
            <w:hyperlink r:id="rId35" w:tooltip="Bratislava - Devín" w:history="1">
              <w:r w:rsidR="00AE7FD9" w:rsidRPr="00AE7FD9">
                <w:rPr>
                  <w:rStyle w:val="Hypertextovprepojenie"/>
                  <w:rFonts w:ascii="Arial" w:hAnsi="Arial" w:cs="Arial"/>
                  <w:color w:val="auto"/>
                  <w:u w:val="none"/>
                </w:rPr>
                <w:t>Devín</w:t>
              </w:r>
            </w:hyperlink>
          </w:p>
        </w:tc>
        <w:tc>
          <w:tcPr>
            <w:tcW w:w="747"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54FD302D" w14:textId="77777777" w:rsidR="00AE7FD9" w:rsidRPr="004C30F7" w:rsidRDefault="00AE7FD9" w:rsidP="006E41DC">
            <w:pPr>
              <w:jc w:val="center"/>
              <w:rPr>
                <w:rFonts w:ascii="Arial" w:hAnsi="Arial" w:cs="Arial"/>
              </w:rPr>
            </w:pPr>
            <w:r w:rsidRPr="004C30F7">
              <w:rPr>
                <w:rFonts w:ascii="Arial" w:hAnsi="Arial" w:cs="Arial"/>
              </w:rPr>
              <w:t>13,98</w:t>
            </w:r>
          </w:p>
        </w:tc>
        <w:tc>
          <w:tcPr>
            <w:tcW w:w="747" w:type="dxa"/>
            <w:vMerge/>
            <w:tcBorders>
              <w:top w:val="single" w:sz="4" w:space="0" w:color="auto"/>
              <w:left w:val="single" w:sz="4" w:space="0" w:color="auto"/>
              <w:bottom w:val="single" w:sz="4" w:space="0" w:color="auto"/>
              <w:right w:val="single" w:sz="4" w:space="0" w:color="auto"/>
            </w:tcBorders>
            <w:shd w:val="clear" w:color="auto" w:fill="F8F9FA"/>
            <w:vAlign w:val="center"/>
            <w:hideMark/>
          </w:tcPr>
          <w:p w14:paraId="102E1766" w14:textId="77777777" w:rsidR="00AE7FD9" w:rsidRPr="004C30F7" w:rsidRDefault="00AE7FD9" w:rsidP="006E41DC">
            <w:pPr>
              <w:jc w:val="center"/>
              <w:rPr>
                <w:rFonts w:ascii="Arial" w:hAnsi="Arial" w:cs="Arial"/>
              </w:rPr>
            </w:pPr>
          </w:p>
        </w:tc>
        <w:tc>
          <w:tcPr>
            <w:tcW w:w="4776" w:type="dxa"/>
            <w:vMerge/>
            <w:tcBorders>
              <w:top w:val="single" w:sz="6" w:space="0" w:color="A2A9B1"/>
              <w:left w:val="single" w:sz="4" w:space="0" w:color="auto"/>
              <w:bottom w:val="single" w:sz="6" w:space="0" w:color="A2A9B1"/>
              <w:right w:val="single" w:sz="6" w:space="0" w:color="A2A9B1"/>
            </w:tcBorders>
            <w:shd w:val="clear" w:color="auto" w:fill="F8F9FA"/>
            <w:vAlign w:val="center"/>
            <w:hideMark/>
          </w:tcPr>
          <w:p w14:paraId="3A8C7DB3" w14:textId="77777777" w:rsidR="00AE7FD9" w:rsidRPr="004C30F7" w:rsidRDefault="00AE7FD9" w:rsidP="00F3232E">
            <w:pPr>
              <w:rPr>
                <w:rFonts w:ascii="Arial" w:hAnsi="Arial" w:cs="Arial"/>
              </w:rPr>
            </w:pPr>
          </w:p>
        </w:tc>
      </w:tr>
      <w:tr w:rsidR="00AE7FD9" w:rsidRPr="004C30F7" w14:paraId="6CC25922" w14:textId="77777777" w:rsidTr="006E41DC">
        <w:trPr>
          <w:trHeight w:val="394"/>
        </w:trPr>
        <w:tc>
          <w:tcPr>
            <w:tcW w:w="145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B3D773" w14:textId="77777777" w:rsidR="00AE7FD9" w:rsidRPr="00AE7FD9" w:rsidRDefault="00AE7FD9" w:rsidP="00AE7FD9">
            <w:pPr>
              <w:jc w:val="center"/>
              <w:rPr>
                <w:rFonts w:ascii="Arial" w:hAnsi="Arial" w:cs="Arial"/>
              </w:rPr>
            </w:pPr>
          </w:p>
        </w:tc>
        <w:tc>
          <w:tcPr>
            <w:tcW w:w="1344"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415D344A" w14:textId="77777777" w:rsidR="00AE7FD9" w:rsidRPr="00AE7FD9" w:rsidRDefault="002F0B86" w:rsidP="00AE7FD9">
            <w:pPr>
              <w:jc w:val="center"/>
              <w:rPr>
                <w:rFonts w:ascii="Arial" w:hAnsi="Arial" w:cs="Arial"/>
              </w:rPr>
            </w:pPr>
            <w:hyperlink r:id="rId36" w:tooltip="Bratislava – mestská časť Devínska Nová Ves" w:history="1">
              <w:r w:rsidR="00AE7FD9" w:rsidRPr="00AE7FD9">
                <w:rPr>
                  <w:rStyle w:val="Hypertextovprepojenie"/>
                  <w:rFonts w:ascii="Arial" w:hAnsi="Arial" w:cs="Arial"/>
                  <w:color w:val="auto"/>
                  <w:u w:val="none"/>
                </w:rPr>
                <w:t>Devínska Nová Ves</w:t>
              </w:r>
            </w:hyperlink>
          </w:p>
        </w:tc>
        <w:tc>
          <w:tcPr>
            <w:tcW w:w="747"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2FABC8BC" w14:textId="77777777" w:rsidR="00AE7FD9" w:rsidRPr="004C30F7" w:rsidRDefault="00AE7FD9" w:rsidP="006E41DC">
            <w:pPr>
              <w:jc w:val="center"/>
              <w:rPr>
                <w:rFonts w:ascii="Arial" w:hAnsi="Arial" w:cs="Arial"/>
              </w:rPr>
            </w:pPr>
            <w:r w:rsidRPr="004C30F7">
              <w:rPr>
                <w:rFonts w:ascii="Arial" w:hAnsi="Arial" w:cs="Arial"/>
              </w:rPr>
              <w:t>24,22</w:t>
            </w:r>
          </w:p>
        </w:tc>
        <w:tc>
          <w:tcPr>
            <w:tcW w:w="747" w:type="dxa"/>
            <w:vMerge/>
            <w:tcBorders>
              <w:top w:val="single" w:sz="4" w:space="0" w:color="auto"/>
              <w:left w:val="single" w:sz="4" w:space="0" w:color="auto"/>
              <w:bottom w:val="single" w:sz="4" w:space="0" w:color="auto"/>
              <w:right w:val="single" w:sz="4" w:space="0" w:color="auto"/>
            </w:tcBorders>
            <w:shd w:val="clear" w:color="auto" w:fill="F8F9FA"/>
            <w:vAlign w:val="center"/>
            <w:hideMark/>
          </w:tcPr>
          <w:p w14:paraId="6C40A392" w14:textId="77777777" w:rsidR="00AE7FD9" w:rsidRPr="004C30F7" w:rsidRDefault="00AE7FD9" w:rsidP="006E41DC">
            <w:pPr>
              <w:jc w:val="center"/>
              <w:rPr>
                <w:rFonts w:ascii="Arial" w:hAnsi="Arial" w:cs="Arial"/>
              </w:rPr>
            </w:pPr>
          </w:p>
        </w:tc>
        <w:tc>
          <w:tcPr>
            <w:tcW w:w="4776" w:type="dxa"/>
            <w:vMerge/>
            <w:tcBorders>
              <w:top w:val="single" w:sz="6" w:space="0" w:color="A2A9B1"/>
              <w:left w:val="single" w:sz="4" w:space="0" w:color="auto"/>
              <w:bottom w:val="single" w:sz="6" w:space="0" w:color="A2A9B1"/>
              <w:right w:val="single" w:sz="6" w:space="0" w:color="A2A9B1"/>
            </w:tcBorders>
            <w:shd w:val="clear" w:color="auto" w:fill="F8F9FA"/>
            <w:vAlign w:val="center"/>
            <w:hideMark/>
          </w:tcPr>
          <w:p w14:paraId="554FAD90" w14:textId="77777777" w:rsidR="00AE7FD9" w:rsidRPr="004C30F7" w:rsidRDefault="00AE7FD9" w:rsidP="00F3232E">
            <w:pPr>
              <w:rPr>
                <w:rFonts w:ascii="Arial" w:hAnsi="Arial" w:cs="Arial"/>
              </w:rPr>
            </w:pPr>
          </w:p>
        </w:tc>
      </w:tr>
      <w:tr w:rsidR="00AE7FD9" w:rsidRPr="004C30F7" w14:paraId="4B789EA5" w14:textId="77777777" w:rsidTr="006E41DC">
        <w:trPr>
          <w:trHeight w:val="247"/>
        </w:trPr>
        <w:tc>
          <w:tcPr>
            <w:tcW w:w="145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E255CC" w14:textId="77777777" w:rsidR="00AE7FD9" w:rsidRPr="00AE7FD9" w:rsidRDefault="00AE7FD9" w:rsidP="00AE7FD9">
            <w:pPr>
              <w:jc w:val="center"/>
              <w:rPr>
                <w:rFonts w:ascii="Arial" w:hAnsi="Arial" w:cs="Arial"/>
              </w:rPr>
            </w:pPr>
          </w:p>
        </w:tc>
        <w:tc>
          <w:tcPr>
            <w:tcW w:w="1344"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64027B67" w14:textId="77777777" w:rsidR="00AE7FD9" w:rsidRPr="00AE7FD9" w:rsidRDefault="002F0B86" w:rsidP="00AE7FD9">
            <w:pPr>
              <w:jc w:val="center"/>
              <w:rPr>
                <w:rFonts w:ascii="Arial" w:hAnsi="Arial" w:cs="Arial"/>
              </w:rPr>
            </w:pPr>
            <w:hyperlink r:id="rId37" w:tooltip="Bratislava – mestská časť Lamač" w:history="1">
              <w:r w:rsidR="00AE7FD9" w:rsidRPr="00AE7FD9">
                <w:rPr>
                  <w:rStyle w:val="Hypertextovprepojenie"/>
                  <w:rFonts w:ascii="Arial" w:hAnsi="Arial" w:cs="Arial"/>
                  <w:color w:val="auto"/>
                  <w:u w:val="none"/>
                </w:rPr>
                <w:t>Lamač</w:t>
              </w:r>
            </w:hyperlink>
          </w:p>
        </w:tc>
        <w:tc>
          <w:tcPr>
            <w:tcW w:w="747"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4E4507D7" w14:textId="77777777" w:rsidR="00AE7FD9" w:rsidRPr="004C30F7" w:rsidRDefault="00AE7FD9" w:rsidP="006E41DC">
            <w:pPr>
              <w:jc w:val="center"/>
              <w:rPr>
                <w:rFonts w:ascii="Arial" w:hAnsi="Arial" w:cs="Arial"/>
              </w:rPr>
            </w:pPr>
            <w:r w:rsidRPr="004C30F7">
              <w:rPr>
                <w:rFonts w:ascii="Arial" w:hAnsi="Arial" w:cs="Arial"/>
              </w:rPr>
              <w:t>6,54</w:t>
            </w:r>
          </w:p>
        </w:tc>
        <w:tc>
          <w:tcPr>
            <w:tcW w:w="747" w:type="dxa"/>
            <w:vMerge/>
            <w:tcBorders>
              <w:top w:val="single" w:sz="4" w:space="0" w:color="auto"/>
              <w:left w:val="single" w:sz="4" w:space="0" w:color="auto"/>
              <w:bottom w:val="single" w:sz="4" w:space="0" w:color="auto"/>
              <w:right w:val="single" w:sz="4" w:space="0" w:color="auto"/>
            </w:tcBorders>
            <w:shd w:val="clear" w:color="auto" w:fill="F8F9FA"/>
            <w:vAlign w:val="center"/>
            <w:hideMark/>
          </w:tcPr>
          <w:p w14:paraId="494AB2C0" w14:textId="77777777" w:rsidR="00AE7FD9" w:rsidRPr="004C30F7" w:rsidRDefault="00AE7FD9" w:rsidP="006E41DC">
            <w:pPr>
              <w:jc w:val="center"/>
              <w:rPr>
                <w:rFonts w:ascii="Arial" w:hAnsi="Arial" w:cs="Arial"/>
              </w:rPr>
            </w:pPr>
          </w:p>
        </w:tc>
        <w:tc>
          <w:tcPr>
            <w:tcW w:w="4776" w:type="dxa"/>
            <w:vMerge/>
            <w:tcBorders>
              <w:top w:val="single" w:sz="6" w:space="0" w:color="A2A9B1"/>
              <w:left w:val="single" w:sz="4" w:space="0" w:color="auto"/>
              <w:bottom w:val="single" w:sz="6" w:space="0" w:color="A2A9B1"/>
              <w:right w:val="single" w:sz="6" w:space="0" w:color="A2A9B1"/>
            </w:tcBorders>
            <w:shd w:val="clear" w:color="auto" w:fill="F8F9FA"/>
            <w:vAlign w:val="center"/>
            <w:hideMark/>
          </w:tcPr>
          <w:p w14:paraId="02748756" w14:textId="77777777" w:rsidR="00AE7FD9" w:rsidRPr="004C30F7" w:rsidRDefault="00AE7FD9" w:rsidP="00F3232E">
            <w:pPr>
              <w:rPr>
                <w:rFonts w:ascii="Arial" w:hAnsi="Arial" w:cs="Arial"/>
              </w:rPr>
            </w:pPr>
          </w:p>
        </w:tc>
      </w:tr>
      <w:tr w:rsidR="00AE7FD9" w:rsidRPr="004C30F7" w14:paraId="30543E3D" w14:textId="77777777" w:rsidTr="006E41DC">
        <w:trPr>
          <w:trHeight w:val="451"/>
        </w:trPr>
        <w:tc>
          <w:tcPr>
            <w:tcW w:w="145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6B06D1" w14:textId="77777777" w:rsidR="00AE7FD9" w:rsidRPr="00AE7FD9" w:rsidRDefault="00AE7FD9" w:rsidP="00AE7FD9">
            <w:pPr>
              <w:jc w:val="center"/>
              <w:rPr>
                <w:rFonts w:ascii="Arial" w:hAnsi="Arial" w:cs="Arial"/>
              </w:rPr>
            </w:pPr>
          </w:p>
        </w:tc>
        <w:tc>
          <w:tcPr>
            <w:tcW w:w="1344"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3DF17FD4" w14:textId="77777777" w:rsidR="00AE7FD9" w:rsidRPr="00AE7FD9" w:rsidRDefault="002F0B86" w:rsidP="00AE7FD9">
            <w:pPr>
              <w:jc w:val="center"/>
              <w:rPr>
                <w:rFonts w:ascii="Arial" w:hAnsi="Arial" w:cs="Arial"/>
              </w:rPr>
            </w:pPr>
            <w:hyperlink r:id="rId38" w:tooltip="Záhorská Bystrica" w:history="1">
              <w:r w:rsidR="00AE7FD9" w:rsidRPr="00AE7FD9">
                <w:rPr>
                  <w:rStyle w:val="Hypertextovprepojenie"/>
                  <w:rFonts w:ascii="Arial" w:hAnsi="Arial" w:cs="Arial"/>
                  <w:color w:val="auto"/>
                  <w:u w:val="none"/>
                </w:rPr>
                <w:t>Záhorská Bystrica</w:t>
              </w:r>
            </w:hyperlink>
          </w:p>
        </w:tc>
        <w:tc>
          <w:tcPr>
            <w:tcW w:w="747"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74C1C440" w14:textId="77777777" w:rsidR="00AE7FD9" w:rsidRPr="004C30F7" w:rsidRDefault="00AE7FD9" w:rsidP="006E41DC">
            <w:pPr>
              <w:jc w:val="center"/>
              <w:rPr>
                <w:rFonts w:ascii="Arial" w:hAnsi="Arial" w:cs="Arial"/>
              </w:rPr>
            </w:pPr>
            <w:r w:rsidRPr="004C30F7">
              <w:rPr>
                <w:rFonts w:ascii="Arial" w:hAnsi="Arial" w:cs="Arial"/>
              </w:rPr>
              <w:t>32,30</w:t>
            </w:r>
          </w:p>
        </w:tc>
        <w:tc>
          <w:tcPr>
            <w:tcW w:w="747" w:type="dxa"/>
            <w:vMerge/>
            <w:tcBorders>
              <w:top w:val="single" w:sz="4" w:space="0" w:color="auto"/>
              <w:left w:val="single" w:sz="4" w:space="0" w:color="auto"/>
              <w:bottom w:val="single" w:sz="4" w:space="0" w:color="auto"/>
              <w:right w:val="single" w:sz="4" w:space="0" w:color="auto"/>
            </w:tcBorders>
            <w:shd w:val="clear" w:color="auto" w:fill="F8F9FA"/>
            <w:vAlign w:val="center"/>
            <w:hideMark/>
          </w:tcPr>
          <w:p w14:paraId="4892BC18" w14:textId="77777777" w:rsidR="00AE7FD9" w:rsidRPr="004C30F7" w:rsidRDefault="00AE7FD9" w:rsidP="006E41DC">
            <w:pPr>
              <w:jc w:val="center"/>
              <w:rPr>
                <w:rFonts w:ascii="Arial" w:hAnsi="Arial" w:cs="Arial"/>
              </w:rPr>
            </w:pPr>
          </w:p>
        </w:tc>
        <w:tc>
          <w:tcPr>
            <w:tcW w:w="4776" w:type="dxa"/>
            <w:vMerge/>
            <w:tcBorders>
              <w:top w:val="single" w:sz="6" w:space="0" w:color="A2A9B1"/>
              <w:left w:val="single" w:sz="4" w:space="0" w:color="auto"/>
              <w:bottom w:val="single" w:sz="6" w:space="0" w:color="A2A9B1"/>
              <w:right w:val="single" w:sz="6" w:space="0" w:color="A2A9B1"/>
            </w:tcBorders>
            <w:shd w:val="clear" w:color="auto" w:fill="F8F9FA"/>
            <w:vAlign w:val="center"/>
            <w:hideMark/>
          </w:tcPr>
          <w:p w14:paraId="490A6F14" w14:textId="77777777" w:rsidR="00AE7FD9" w:rsidRPr="004C30F7" w:rsidRDefault="00AE7FD9" w:rsidP="00F3232E">
            <w:pPr>
              <w:rPr>
                <w:rFonts w:ascii="Arial" w:hAnsi="Arial" w:cs="Arial"/>
              </w:rPr>
            </w:pPr>
          </w:p>
        </w:tc>
      </w:tr>
      <w:tr w:rsidR="00AE7FD9" w:rsidRPr="004C30F7" w14:paraId="7A65847A" w14:textId="77777777" w:rsidTr="006E41DC">
        <w:trPr>
          <w:trHeight w:val="278"/>
        </w:trPr>
        <w:tc>
          <w:tcPr>
            <w:tcW w:w="145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48" w:type="dxa"/>
              <w:left w:w="96" w:type="dxa"/>
              <w:bottom w:w="48" w:type="dxa"/>
              <w:right w:w="96" w:type="dxa"/>
            </w:tcMar>
            <w:vAlign w:val="center"/>
            <w:hideMark/>
          </w:tcPr>
          <w:p w14:paraId="2AE47A2F" w14:textId="77777777" w:rsidR="00AE7FD9" w:rsidRPr="00AE7FD9" w:rsidRDefault="002F0B86" w:rsidP="00AE7FD9">
            <w:pPr>
              <w:jc w:val="center"/>
              <w:rPr>
                <w:rFonts w:ascii="Arial" w:hAnsi="Arial" w:cs="Arial"/>
              </w:rPr>
            </w:pPr>
            <w:hyperlink r:id="rId39" w:tooltip="Bratislava V (okres)" w:history="1">
              <w:r w:rsidR="00AE7FD9" w:rsidRPr="00AE7FD9">
                <w:rPr>
                  <w:rStyle w:val="Hypertextovprepojenie"/>
                  <w:rFonts w:ascii="Arial" w:hAnsi="Arial" w:cs="Arial"/>
                  <w:color w:val="auto"/>
                  <w:u w:val="none"/>
                </w:rPr>
                <w:t>Bratislava V</w:t>
              </w:r>
            </w:hyperlink>
          </w:p>
        </w:tc>
        <w:tc>
          <w:tcPr>
            <w:tcW w:w="1344"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1A30369E" w14:textId="77777777" w:rsidR="00AE7FD9" w:rsidRPr="00AE7FD9" w:rsidRDefault="002F0B86" w:rsidP="00AE7FD9">
            <w:pPr>
              <w:jc w:val="center"/>
              <w:rPr>
                <w:rFonts w:ascii="Arial" w:hAnsi="Arial" w:cs="Arial"/>
              </w:rPr>
            </w:pPr>
            <w:hyperlink r:id="rId40" w:tooltip="Petržalka" w:history="1">
              <w:r w:rsidR="00AE7FD9" w:rsidRPr="00AE7FD9">
                <w:rPr>
                  <w:rStyle w:val="Hypertextovprepojenie"/>
                  <w:rFonts w:ascii="Arial" w:hAnsi="Arial" w:cs="Arial"/>
                  <w:color w:val="auto"/>
                  <w:u w:val="none"/>
                </w:rPr>
                <w:t>Petržalka</w:t>
              </w:r>
            </w:hyperlink>
          </w:p>
        </w:tc>
        <w:tc>
          <w:tcPr>
            <w:tcW w:w="747"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46AC0132" w14:textId="77777777" w:rsidR="00AE7FD9" w:rsidRPr="004C30F7" w:rsidRDefault="00AE7FD9" w:rsidP="006E41DC">
            <w:pPr>
              <w:jc w:val="center"/>
              <w:rPr>
                <w:rFonts w:ascii="Arial" w:hAnsi="Arial" w:cs="Arial"/>
              </w:rPr>
            </w:pPr>
            <w:r w:rsidRPr="004C30F7">
              <w:rPr>
                <w:rFonts w:ascii="Arial" w:hAnsi="Arial" w:cs="Arial"/>
              </w:rPr>
              <w:t>28,68</w:t>
            </w:r>
          </w:p>
        </w:tc>
        <w:tc>
          <w:tcPr>
            <w:tcW w:w="747" w:type="dxa"/>
            <w:vMerge w:val="restart"/>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4FB6C509" w14:textId="77777777" w:rsidR="00AE7FD9" w:rsidRPr="004C30F7" w:rsidRDefault="00AE7FD9" w:rsidP="006E41DC">
            <w:pPr>
              <w:jc w:val="center"/>
              <w:rPr>
                <w:rFonts w:ascii="Arial" w:hAnsi="Arial" w:cs="Arial"/>
              </w:rPr>
            </w:pPr>
            <w:r w:rsidRPr="004C30F7">
              <w:rPr>
                <w:rFonts w:ascii="Arial" w:hAnsi="Arial" w:cs="Arial"/>
              </w:rPr>
              <w:t>94,20</w:t>
            </w:r>
          </w:p>
        </w:tc>
        <w:tc>
          <w:tcPr>
            <w:tcW w:w="4776" w:type="dxa"/>
            <w:vMerge/>
            <w:tcBorders>
              <w:top w:val="single" w:sz="6" w:space="0" w:color="A2A9B1"/>
              <w:left w:val="single" w:sz="4" w:space="0" w:color="auto"/>
              <w:bottom w:val="single" w:sz="6" w:space="0" w:color="A2A9B1"/>
              <w:right w:val="single" w:sz="6" w:space="0" w:color="A2A9B1"/>
            </w:tcBorders>
            <w:shd w:val="clear" w:color="auto" w:fill="F8F9FA"/>
            <w:vAlign w:val="center"/>
            <w:hideMark/>
          </w:tcPr>
          <w:p w14:paraId="1FC59804" w14:textId="77777777" w:rsidR="00AE7FD9" w:rsidRPr="004C30F7" w:rsidRDefault="00AE7FD9" w:rsidP="00F3232E">
            <w:pPr>
              <w:rPr>
                <w:rFonts w:ascii="Arial" w:hAnsi="Arial" w:cs="Arial"/>
              </w:rPr>
            </w:pPr>
          </w:p>
        </w:tc>
      </w:tr>
      <w:tr w:rsidR="00AE7FD9" w:rsidRPr="004C30F7" w14:paraId="069CCB78" w14:textId="77777777" w:rsidTr="00452449">
        <w:trPr>
          <w:trHeight w:val="357"/>
        </w:trPr>
        <w:tc>
          <w:tcPr>
            <w:tcW w:w="145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39830E9" w14:textId="77777777" w:rsidR="00AE7FD9" w:rsidRPr="00AE7FD9" w:rsidRDefault="00AE7FD9" w:rsidP="00AE7FD9">
            <w:pPr>
              <w:jc w:val="center"/>
              <w:rPr>
                <w:rFonts w:ascii="Arial" w:hAnsi="Arial" w:cs="Arial"/>
              </w:rPr>
            </w:pPr>
          </w:p>
        </w:tc>
        <w:tc>
          <w:tcPr>
            <w:tcW w:w="1344"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20992666" w14:textId="77777777" w:rsidR="00AE7FD9" w:rsidRPr="00AE7FD9" w:rsidRDefault="002F0B86" w:rsidP="00AE7FD9">
            <w:pPr>
              <w:jc w:val="center"/>
              <w:rPr>
                <w:rFonts w:ascii="Arial" w:hAnsi="Arial" w:cs="Arial"/>
              </w:rPr>
            </w:pPr>
            <w:hyperlink r:id="rId41" w:tooltip="Jarovce" w:history="1">
              <w:r w:rsidR="00AE7FD9" w:rsidRPr="00AE7FD9">
                <w:rPr>
                  <w:rStyle w:val="Hypertextovprepojenie"/>
                  <w:rFonts w:ascii="Arial" w:hAnsi="Arial" w:cs="Arial"/>
                  <w:color w:val="auto"/>
                  <w:u w:val="none"/>
                </w:rPr>
                <w:t>Jarovce</w:t>
              </w:r>
            </w:hyperlink>
          </w:p>
        </w:tc>
        <w:tc>
          <w:tcPr>
            <w:tcW w:w="747"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2E62E309" w14:textId="77777777" w:rsidR="00AE7FD9" w:rsidRPr="004C30F7" w:rsidRDefault="00AE7FD9" w:rsidP="00F3232E">
            <w:pPr>
              <w:rPr>
                <w:rFonts w:ascii="Arial" w:hAnsi="Arial" w:cs="Arial"/>
              </w:rPr>
            </w:pPr>
            <w:r w:rsidRPr="004C30F7">
              <w:rPr>
                <w:rFonts w:ascii="Arial" w:hAnsi="Arial" w:cs="Arial"/>
              </w:rPr>
              <w:t>21,34</w:t>
            </w:r>
          </w:p>
        </w:tc>
        <w:tc>
          <w:tcPr>
            <w:tcW w:w="747" w:type="dxa"/>
            <w:vMerge/>
            <w:tcBorders>
              <w:top w:val="single" w:sz="4" w:space="0" w:color="auto"/>
              <w:left w:val="single" w:sz="4" w:space="0" w:color="auto"/>
              <w:bottom w:val="single" w:sz="4" w:space="0" w:color="auto"/>
              <w:right w:val="single" w:sz="4" w:space="0" w:color="auto"/>
            </w:tcBorders>
            <w:shd w:val="clear" w:color="auto" w:fill="F8F9FA"/>
            <w:vAlign w:val="center"/>
            <w:hideMark/>
          </w:tcPr>
          <w:p w14:paraId="22AC8ACA" w14:textId="77777777" w:rsidR="00AE7FD9" w:rsidRPr="004C30F7" w:rsidRDefault="00AE7FD9" w:rsidP="00F3232E">
            <w:pPr>
              <w:rPr>
                <w:rFonts w:ascii="Arial" w:hAnsi="Arial" w:cs="Arial"/>
              </w:rPr>
            </w:pPr>
          </w:p>
        </w:tc>
        <w:tc>
          <w:tcPr>
            <w:tcW w:w="4776" w:type="dxa"/>
            <w:vMerge/>
            <w:tcBorders>
              <w:top w:val="single" w:sz="6" w:space="0" w:color="A2A9B1"/>
              <w:left w:val="single" w:sz="4" w:space="0" w:color="auto"/>
              <w:bottom w:val="single" w:sz="6" w:space="0" w:color="A2A9B1"/>
              <w:right w:val="single" w:sz="6" w:space="0" w:color="A2A9B1"/>
            </w:tcBorders>
            <w:shd w:val="clear" w:color="auto" w:fill="F8F9FA"/>
            <w:vAlign w:val="center"/>
            <w:hideMark/>
          </w:tcPr>
          <w:p w14:paraId="0AEB7965" w14:textId="77777777" w:rsidR="00AE7FD9" w:rsidRPr="004C30F7" w:rsidRDefault="00AE7FD9" w:rsidP="00F3232E">
            <w:pPr>
              <w:rPr>
                <w:rFonts w:ascii="Arial" w:hAnsi="Arial" w:cs="Arial"/>
              </w:rPr>
            </w:pPr>
          </w:p>
        </w:tc>
      </w:tr>
      <w:tr w:rsidR="00AE7FD9" w:rsidRPr="004C30F7" w14:paraId="1DC5B9F0" w14:textId="77777777" w:rsidTr="00452449">
        <w:trPr>
          <w:trHeight w:val="321"/>
        </w:trPr>
        <w:tc>
          <w:tcPr>
            <w:tcW w:w="145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83681C7" w14:textId="77777777" w:rsidR="00AE7FD9" w:rsidRPr="00AE7FD9" w:rsidRDefault="00AE7FD9" w:rsidP="00AE7FD9">
            <w:pPr>
              <w:jc w:val="center"/>
              <w:rPr>
                <w:rFonts w:ascii="Arial" w:hAnsi="Arial" w:cs="Arial"/>
              </w:rPr>
            </w:pPr>
          </w:p>
        </w:tc>
        <w:tc>
          <w:tcPr>
            <w:tcW w:w="1344"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6E1D7832" w14:textId="77777777" w:rsidR="00AE7FD9" w:rsidRPr="00AE7FD9" w:rsidRDefault="002F0B86" w:rsidP="00AE7FD9">
            <w:pPr>
              <w:jc w:val="center"/>
              <w:rPr>
                <w:rFonts w:ascii="Arial" w:hAnsi="Arial" w:cs="Arial"/>
              </w:rPr>
            </w:pPr>
            <w:hyperlink r:id="rId42" w:tooltip="Rusovce" w:history="1">
              <w:r w:rsidR="00AE7FD9" w:rsidRPr="00AE7FD9">
                <w:rPr>
                  <w:rStyle w:val="Hypertextovprepojenie"/>
                  <w:rFonts w:ascii="Arial" w:hAnsi="Arial" w:cs="Arial"/>
                  <w:color w:val="auto"/>
                  <w:u w:val="none"/>
                </w:rPr>
                <w:t>Rusovce</w:t>
              </w:r>
            </w:hyperlink>
          </w:p>
        </w:tc>
        <w:tc>
          <w:tcPr>
            <w:tcW w:w="747"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7B990C3F" w14:textId="77777777" w:rsidR="00AE7FD9" w:rsidRPr="004C30F7" w:rsidRDefault="00AE7FD9" w:rsidP="00F3232E">
            <w:pPr>
              <w:rPr>
                <w:rFonts w:ascii="Arial" w:hAnsi="Arial" w:cs="Arial"/>
              </w:rPr>
            </w:pPr>
            <w:r w:rsidRPr="004C30F7">
              <w:rPr>
                <w:rFonts w:ascii="Arial" w:hAnsi="Arial" w:cs="Arial"/>
              </w:rPr>
              <w:t>25,56</w:t>
            </w:r>
          </w:p>
        </w:tc>
        <w:tc>
          <w:tcPr>
            <w:tcW w:w="747" w:type="dxa"/>
            <w:vMerge/>
            <w:tcBorders>
              <w:top w:val="single" w:sz="4" w:space="0" w:color="auto"/>
              <w:left w:val="single" w:sz="4" w:space="0" w:color="auto"/>
              <w:bottom w:val="single" w:sz="4" w:space="0" w:color="auto"/>
              <w:right w:val="single" w:sz="4" w:space="0" w:color="auto"/>
            </w:tcBorders>
            <w:shd w:val="clear" w:color="auto" w:fill="F8F9FA"/>
            <w:vAlign w:val="center"/>
            <w:hideMark/>
          </w:tcPr>
          <w:p w14:paraId="3977D748" w14:textId="77777777" w:rsidR="00AE7FD9" w:rsidRPr="004C30F7" w:rsidRDefault="00AE7FD9" w:rsidP="00F3232E">
            <w:pPr>
              <w:rPr>
                <w:rFonts w:ascii="Arial" w:hAnsi="Arial" w:cs="Arial"/>
              </w:rPr>
            </w:pPr>
          </w:p>
        </w:tc>
        <w:tc>
          <w:tcPr>
            <w:tcW w:w="4776" w:type="dxa"/>
            <w:vMerge/>
            <w:tcBorders>
              <w:top w:val="single" w:sz="6" w:space="0" w:color="A2A9B1"/>
              <w:left w:val="single" w:sz="4" w:space="0" w:color="auto"/>
              <w:bottom w:val="single" w:sz="6" w:space="0" w:color="A2A9B1"/>
              <w:right w:val="single" w:sz="6" w:space="0" w:color="A2A9B1"/>
            </w:tcBorders>
            <w:shd w:val="clear" w:color="auto" w:fill="F8F9FA"/>
            <w:vAlign w:val="center"/>
            <w:hideMark/>
          </w:tcPr>
          <w:p w14:paraId="5A843A84" w14:textId="77777777" w:rsidR="00AE7FD9" w:rsidRPr="004C30F7" w:rsidRDefault="00AE7FD9" w:rsidP="00F3232E">
            <w:pPr>
              <w:rPr>
                <w:rFonts w:ascii="Arial" w:hAnsi="Arial" w:cs="Arial"/>
              </w:rPr>
            </w:pPr>
          </w:p>
        </w:tc>
      </w:tr>
      <w:tr w:rsidR="00AE7FD9" w:rsidRPr="004C30F7" w14:paraId="5D21F6A0" w14:textId="77777777" w:rsidTr="00452449">
        <w:trPr>
          <w:trHeight w:val="269"/>
        </w:trPr>
        <w:tc>
          <w:tcPr>
            <w:tcW w:w="145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57AF9D0" w14:textId="77777777" w:rsidR="00AE7FD9" w:rsidRPr="00AE7FD9" w:rsidRDefault="00AE7FD9" w:rsidP="00AE7FD9">
            <w:pPr>
              <w:jc w:val="center"/>
              <w:rPr>
                <w:rFonts w:ascii="Arial" w:hAnsi="Arial" w:cs="Arial"/>
              </w:rPr>
            </w:pPr>
          </w:p>
        </w:tc>
        <w:tc>
          <w:tcPr>
            <w:tcW w:w="1344" w:type="dxa"/>
            <w:tcBorders>
              <w:top w:val="single" w:sz="4" w:space="0" w:color="auto"/>
              <w:left w:val="single" w:sz="4" w:space="0" w:color="auto"/>
              <w:bottom w:val="single" w:sz="4" w:space="0" w:color="auto"/>
              <w:right w:val="single" w:sz="4" w:space="0" w:color="auto"/>
            </w:tcBorders>
            <w:shd w:val="clear" w:color="auto" w:fill="F8F9FA"/>
            <w:tcMar>
              <w:top w:w="48" w:type="dxa"/>
              <w:left w:w="96" w:type="dxa"/>
              <w:bottom w:w="48" w:type="dxa"/>
              <w:right w:w="96" w:type="dxa"/>
            </w:tcMar>
            <w:vAlign w:val="center"/>
            <w:hideMark/>
          </w:tcPr>
          <w:p w14:paraId="19CE814C" w14:textId="77777777" w:rsidR="00AE7FD9" w:rsidRPr="00AE7FD9" w:rsidRDefault="002F0B86" w:rsidP="00AE7FD9">
            <w:pPr>
              <w:jc w:val="center"/>
              <w:rPr>
                <w:rFonts w:ascii="Arial" w:hAnsi="Arial" w:cs="Arial"/>
              </w:rPr>
            </w:pPr>
            <w:hyperlink r:id="rId43" w:tooltip="Čunovo" w:history="1">
              <w:r w:rsidR="00AE7FD9" w:rsidRPr="00AE7FD9">
                <w:rPr>
                  <w:rStyle w:val="Hypertextovprepojenie"/>
                  <w:rFonts w:ascii="Arial" w:hAnsi="Arial" w:cs="Arial"/>
                  <w:color w:val="auto"/>
                  <w:u w:val="none"/>
                </w:rPr>
                <w:t>Čunovo</w:t>
              </w:r>
            </w:hyperlink>
          </w:p>
        </w:tc>
        <w:tc>
          <w:tcPr>
            <w:tcW w:w="747" w:type="dxa"/>
            <w:tcBorders>
              <w:top w:val="single" w:sz="4" w:space="0" w:color="auto"/>
              <w:left w:val="single" w:sz="4" w:space="0" w:color="auto"/>
              <w:bottom w:val="single" w:sz="4" w:space="0" w:color="auto"/>
              <w:right w:val="single" w:sz="4" w:space="0" w:color="auto"/>
            </w:tcBorders>
            <w:shd w:val="clear" w:color="auto" w:fill="F8F9FA"/>
            <w:vAlign w:val="center"/>
            <w:hideMark/>
          </w:tcPr>
          <w:p w14:paraId="22430732" w14:textId="7AF57778" w:rsidR="00AE7FD9" w:rsidRPr="004C30F7" w:rsidRDefault="00452449" w:rsidP="00452449">
            <w:pPr>
              <w:jc w:val="center"/>
              <w:rPr>
                <w:rFonts w:ascii="Arial" w:hAnsi="Arial" w:cs="Arial"/>
              </w:rPr>
            </w:pPr>
            <w:r>
              <w:rPr>
                <w:rFonts w:ascii="Arial" w:hAnsi="Arial" w:cs="Arial"/>
              </w:rPr>
              <w:t>18,62</w:t>
            </w:r>
          </w:p>
        </w:tc>
        <w:tc>
          <w:tcPr>
            <w:tcW w:w="747" w:type="dxa"/>
            <w:vMerge/>
            <w:tcBorders>
              <w:top w:val="single" w:sz="4" w:space="0" w:color="auto"/>
              <w:left w:val="single" w:sz="4" w:space="0" w:color="auto"/>
              <w:bottom w:val="single" w:sz="4" w:space="0" w:color="auto"/>
              <w:right w:val="single" w:sz="4" w:space="0" w:color="auto"/>
            </w:tcBorders>
            <w:shd w:val="clear" w:color="auto" w:fill="F8F9FA"/>
            <w:vAlign w:val="center"/>
            <w:hideMark/>
          </w:tcPr>
          <w:p w14:paraId="0077C0B1" w14:textId="77777777" w:rsidR="00AE7FD9" w:rsidRPr="004C30F7" w:rsidRDefault="00AE7FD9" w:rsidP="00F3232E">
            <w:pPr>
              <w:rPr>
                <w:rFonts w:ascii="Arial" w:hAnsi="Arial" w:cs="Arial"/>
              </w:rPr>
            </w:pPr>
          </w:p>
        </w:tc>
        <w:tc>
          <w:tcPr>
            <w:tcW w:w="4776" w:type="dxa"/>
            <w:vMerge/>
            <w:tcBorders>
              <w:top w:val="single" w:sz="6" w:space="0" w:color="A2A9B1"/>
              <w:left w:val="single" w:sz="4" w:space="0" w:color="auto"/>
              <w:bottom w:val="single" w:sz="6" w:space="0" w:color="A2A9B1"/>
              <w:right w:val="single" w:sz="6" w:space="0" w:color="A2A9B1"/>
            </w:tcBorders>
            <w:shd w:val="clear" w:color="auto" w:fill="F8F9FA"/>
            <w:vAlign w:val="center"/>
            <w:hideMark/>
          </w:tcPr>
          <w:p w14:paraId="41290141" w14:textId="77777777" w:rsidR="00AE7FD9" w:rsidRPr="004C30F7" w:rsidRDefault="00AE7FD9" w:rsidP="00F3232E">
            <w:pPr>
              <w:rPr>
                <w:rFonts w:ascii="Arial" w:hAnsi="Arial" w:cs="Arial"/>
              </w:rPr>
            </w:pPr>
          </w:p>
        </w:tc>
      </w:tr>
    </w:tbl>
    <w:p w14:paraId="36233234" w14:textId="53557513" w:rsidR="00903820" w:rsidRDefault="00903820" w:rsidP="007245A6">
      <w:pPr>
        <w:spacing w:before="120"/>
        <w:jc w:val="both"/>
        <w:rPr>
          <w:rFonts w:ascii="Arial" w:hAnsi="Arial" w:cs="Arial"/>
          <w:sz w:val="22"/>
          <w:szCs w:val="22"/>
        </w:rPr>
      </w:pPr>
    </w:p>
    <w:p w14:paraId="10793CD0" w14:textId="38ABE39B" w:rsidR="0017195D" w:rsidRDefault="0017195D" w:rsidP="007245A6">
      <w:pPr>
        <w:spacing w:before="120"/>
        <w:jc w:val="both"/>
        <w:rPr>
          <w:rFonts w:ascii="Arial" w:hAnsi="Arial" w:cs="Arial"/>
          <w:sz w:val="22"/>
          <w:szCs w:val="22"/>
        </w:rPr>
      </w:pPr>
    </w:p>
    <w:p w14:paraId="35477857" w14:textId="77777777" w:rsidR="00ED5C8B" w:rsidRDefault="00ED5C8B" w:rsidP="007245A6">
      <w:pPr>
        <w:spacing w:before="120"/>
        <w:jc w:val="both"/>
        <w:rPr>
          <w:rFonts w:ascii="Arial" w:hAnsi="Arial" w:cs="Arial"/>
          <w:sz w:val="22"/>
          <w:szCs w:val="22"/>
        </w:rPr>
      </w:pPr>
    </w:p>
    <w:p w14:paraId="303B7FD3" w14:textId="77777777" w:rsidR="0017195D" w:rsidRDefault="0017195D" w:rsidP="007245A6">
      <w:pPr>
        <w:spacing w:before="120"/>
        <w:jc w:val="both"/>
        <w:rPr>
          <w:rFonts w:ascii="Arial" w:hAnsi="Arial" w:cs="Arial"/>
          <w:sz w:val="22"/>
          <w:szCs w:val="22"/>
        </w:rPr>
      </w:pPr>
    </w:p>
    <w:p w14:paraId="270D4BCF" w14:textId="55C6FB36" w:rsidR="009F0908" w:rsidRPr="005145B5" w:rsidRDefault="009F0908" w:rsidP="009F0908">
      <w:pPr>
        <w:pStyle w:val="A-Text11"/>
        <w:spacing w:after="120"/>
        <w:ind w:firstLine="0"/>
        <w:rPr>
          <w:sz w:val="18"/>
          <w:szCs w:val="18"/>
        </w:rPr>
      </w:pPr>
      <w:r w:rsidRPr="005145B5">
        <w:rPr>
          <w:sz w:val="18"/>
          <w:szCs w:val="18"/>
        </w:rPr>
        <w:lastRenderedPageBreak/>
        <w:t>Tab. č. III.3.1.</w:t>
      </w:r>
      <w:r>
        <w:rPr>
          <w:sz w:val="18"/>
          <w:szCs w:val="18"/>
        </w:rPr>
        <w:t>2</w:t>
      </w:r>
      <w:r w:rsidRPr="005145B5">
        <w:rPr>
          <w:sz w:val="18"/>
          <w:szCs w:val="18"/>
        </w:rPr>
        <w:t xml:space="preserve">: </w:t>
      </w:r>
      <w:r>
        <w:rPr>
          <w:sz w:val="18"/>
          <w:szCs w:val="18"/>
        </w:rPr>
        <w:t>Počet obyvateľov mestských častí hlavného mesta SR</w:t>
      </w:r>
      <w:r w:rsidR="00BD0F36">
        <w:rPr>
          <w:sz w:val="18"/>
          <w:szCs w:val="18"/>
        </w:rPr>
        <w:t xml:space="preserve"> (1. 1. 2021)</w:t>
      </w:r>
    </w:p>
    <w:tbl>
      <w:tblPr>
        <w:tblW w:w="9018" w:type="dxa"/>
        <w:tblCellMar>
          <w:left w:w="70" w:type="dxa"/>
          <w:right w:w="70" w:type="dxa"/>
        </w:tblCellMar>
        <w:tblLook w:val="04A0" w:firstRow="1" w:lastRow="0" w:firstColumn="1" w:lastColumn="0" w:noHBand="0" w:noVBand="1"/>
      </w:tblPr>
      <w:tblGrid>
        <w:gridCol w:w="4253"/>
        <w:gridCol w:w="992"/>
        <w:gridCol w:w="992"/>
        <w:gridCol w:w="851"/>
        <w:gridCol w:w="1050"/>
        <w:gridCol w:w="880"/>
      </w:tblGrid>
      <w:tr w:rsidR="006D6D90" w:rsidRPr="006D6D90" w14:paraId="1DC0A1DC" w14:textId="77777777" w:rsidTr="006D6D90">
        <w:trPr>
          <w:trHeight w:val="705"/>
        </w:trPr>
        <w:tc>
          <w:tcPr>
            <w:tcW w:w="4253" w:type="dxa"/>
            <w:tcBorders>
              <w:top w:val="nil"/>
              <w:left w:val="nil"/>
              <w:bottom w:val="single" w:sz="12" w:space="0" w:color="FFFFFF"/>
              <w:right w:val="single" w:sz="4" w:space="0" w:color="FFFFFF"/>
            </w:tcBorders>
            <w:shd w:val="clear" w:color="000000" w:fill="0070C0"/>
            <w:vAlign w:val="center"/>
            <w:hideMark/>
          </w:tcPr>
          <w:p w14:paraId="0AB902BA" w14:textId="77777777" w:rsidR="006D6D90" w:rsidRPr="006D6D90" w:rsidRDefault="006D6D90" w:rsidP="006D6D90">
            <w:pPr>
              <w:widowControl/>
              <w:jc w:val="center"/>
              <w:rPr>
                <w:rFonts w:ascii="Calibri" w:hAnsi="Calibri" w:cs="Calibri"/>
                <w:b/>
                <w:bCs/>
                <w:color w:val="FFFFFF"/>
                <w:sz w:val="24"/>
                <w:szCs w:val="24"/>
              </w:rPr>
            </w:pPr>
            <w:r w:rsidRPr="006D6D90">
              <w:rPr>
                <w:rFonts w:ascii="Calibri" w:hAnsi="Calibri" w:cs="Calibri"/>
                <w:b/>
                <w:bCs/>
                <w:color w:val="FFFFFF"/>
                <w:sz w:val="24"/>
                <w:szCs w:val="24"/>
              </w:rPr>
              <w:t>Územná jednotka</w:t>
            </w:r>
          </w:p>
        </w:tc>
        <w:tc>
          <w:tcPr>
            <w:tcW w:w="992" w:type="dxa"/>
            <w:tcBorders>
              <w:top w:val="nil"/>
              <w:left w:val="single" w:sz="4" w:space="0" w:color="FFFFFF"/>
              <w:bottom w:val="single" w:sz="12" w:space="0" w:color="FFFFFF"/>
              <w:right w:val="single" w:sz="4" w:space="0" w:color="FFFFFF"/>
            </w:tcBorders>
            <w:shd w:val="clear" w:color="000000" w:fill="0070C0"/>
            <w:vAlign w:val="center"/>
            <w:hideMark/>
          </w:tcPr>
          <w:p w14:paraId="76AA4A1F" w14:textId="77777777" w:rsidR="006D6D90" w:rsidRPr="006D6D90" w:rsidRDefault="006D6D90" w:rsidP="006D6D90">
            <w:pPr>
              <w:widowControl/>
              <w:jc w:val="center"/>
              <w:rPr>
                <w:rFonts w:ascii="Calibri" w:hAnsi="Calibri" w:cs="Calibri"/>
                <w:b/>
                <w:bCs/>
                <w:color w:val="FFFFFF"/>
                <w:sz w:val="24"/>
                <w:szCs w:val="24"/>
              </w:rPr>
            </w:pPr>
            <w:r w:rsidRPr="006D6D90">
              <w:rPr>
                <w:rFonts w:ascii="Calibri" w:hAnsi="Calibri" w:cs="Calibri"/>
                <w:b/>
                <w:bCs/>
                <w:color w:val="FFFFFF"/>
                <w:sz w:val="24"/>
                <w:szCs w:val="24"/>
              </w:rPr>
              <w:t>Spolu</w:t>
            </w:r>
          </w:p>
        </w:tc>
        <w:tc>
          <w:tcPr>
            <w:tcW w:w="992" w:type="dxa"/>
            <w:tcBorders>
              <w:top w:val="nil"/>
              <w:left w:val="single" w:sz="4" w:space="0" w:color="FFFFFF"/>
              <w:bottom w:val="single" w:sz="12" w:space="0" w:color="FFFFFF"/>
              <w:right w:val="single" w:sz="4" w:space="0" w:color="FFFFFF"/>
            </w:tcBorders>
            <w:shd w:val="clear" w:color="000000" w:fill="0070C0"/>
            <w:vAlign w:val="center"/>
            <w:hideMark/>
          </w:tcPr>
          <w:p w14:paraId="7DEA7C12" w14:textId="77777777" w:rsidR="006D6D90" w:rsidRPr="006D6D90" w:rsidRDefault="006D6D90" w:rsidP="006D6D90">
            <w:pPr>
              <w:widowControl/>
              <w:jc w:val="center"/>
              <w:rPr>
                <w:rFonts w:ascii="Calibri" w:hAnsi="Calibri" w:cs="Calibri"/>
                <w:b/>
                <w:bCs/>
                <w:color w:val="FFFFFF"/>
                <w:sz w:val="24"/>
                <w:szCs w:val="24"/>
              </w:rPr>
            </w:pPr>
            <w:r w:rsidRPr="006D6D90">
              <w:rPr>
                <w:rFonts w:ascii="Calibri" w:hAnsi="Calibri" w:cs="Calibri"/>
                <w:b/>
                <w:bCs/>
                <w:color w:val="FFFFFF"/>
                <w:sz w:val="24"/>
                <w:szCs w:val="24"/>
              </w:rPr>
              <w:t>muži (abs.)</w:t>
            </w:r>
          </w:p>
        </w:tc>
        <w:tc>
          <w:tcPr>
            <w:tcW w:w="851" w:type="dxa"/>
            <w:tcBorders>
              <w:top w:val="nil"/>
              <w:left w:val="single" w:sz="4" w:space="0" w:color="FFFFFF"/>
              <w:bottom w:val="single" w:sz="12" w:space="0" w:color="FFFFFF"/>
              <w:right w:val="single" w:sz="4" w:space="0" w:color="FFFFFF"/>
            </w:tcBorders>
            <w:shd w:val="clear" w:color="000000" w:fill="0070C0"/>
            <w:vAlign w:val="center"/>
            <w:hideMark/>
          </w:tcPr>
          <w:p w14:paraId="27A6C5A3" w14:textId="77777777" w:rsidR="006D6D90" w:rsidRPr="006D6D90" w:rsidRDefault="006D6D90" w:rsidP="006D6D90">
            <w:pPr>
              <w:widowControl/>
              <w:jc w:val="center"/>
              <w:rPr>
                <w:rFonts w:ascii="Calibri" w:hAnsi="Calibri" w:cs="Calibri"/>
                <w:b/>
                <w:bCs/>
                <w:color w:val="FFFFFF"/>
                <w:sz w:val="24"/>
                <w:szCs w:val="24"/>
              </w:rPr>
            </w:pPr>
            <w:r w:rsidRPr="006D6D90">
              <w:rPr>
                <w:rFonts w:ascii="Calibri" w:hAnsi="Calibri" w:cs="Calibri"/>
                <w:b/>
                <w:bCs/>
                <w:color w:val="FFFFFF"/>
                <w:sz w:val="24"/>
                <w:szCs w:val="24"/>
              </w:rPr>
              <w:t>muži (%)</w:t>
            </w:r>
          </w:p>
        </w:tc>
        <w:tc>
          <w:tcPr>
            <w:tcW w:w="1050" w:type="dxa"/>
            <w:tcBorders>
              <w:top w:val="nil"/>
              <w:left w:val="single" w:sz="4" w:space="0" w:color="FFFFFF"/>
              <w:bottom w:val="single" w:sz="12" w:space="0" w:color="FFFFFF"/>
              <w:right w:val="single" w:sz="4" w:space="0" w:color="FFFFFF"/>
            </w:tcBorders>
            <w:shd w:val="clear" w:color="000000" w:fill="0070C0"/>
            <w:vAlign w:val="center"/>
            <w:hideMark/>
          </w:tcPr>
          <w:p w14:paraId="43F8C4DF" w14:textId="77777777" w:rsidR="006D6D90" w:rsidRPr="006D6D90" w:rsidRDefault="006D6D90" w:rsidP="006D6D90">
            <w:pPr>
              <w:widowControl/>
              <w:jc w:val="center"/>
              <w:rPr>
                <w:rFonts w:ascii="Calibri" w:hAnsi="Calibri" w:cs="Calibri"/>
                <w:b/>
                <w:bCs/>
                <w:color w:val="FFFFFF"/>
                <w:sz w:val="24"/>
                <w:szCs w:val="24"/>
              </w:rPr>
            </w:pPr>
            <w:r w:rsidRPr="006D6D90">
              <w:rPr>
                <w:rFonts w:ascii="Calibri" w:hAnsi="Calibri" w:cs="Calibri"/>
                <w:b/>
                <w:bCs/>
                <w:color w:val="FFFFFF"/>
                <w:sz w:val="24"/>
                <w:szCs w:val="24"/>
              </w:rPr>
              <w:t>ženy (abs.)</w:t>
            </w:r>
          </w:p>
        </w:tc>
        <w:tc>
          <w:tcPr>
            <w:tcW w:w="880" w:type="dxa"/>
            <w:tcBorders>
              <w:top w:val="nil"/>
              <w:left w:val="single" w:sz="4" w:space="0" w:color="FFFFFF"/>
              <w:bottom w:val="single" w:sz="12" w:space="0" w:color="FFFFFF"/>
              <w:right w:val="nil"/>
            </w:tcBorders>
            <w:shd w:val="clear" w:color="000000" w:fill="0070C0"/>
            <w:vAlign w:val="center"/>
            <w:hideMark/>
          </w:tcPr>
          <w:p w14:paraId="39A583DE" w14:textId="77777777" w:rsidR="006D6D90" w:rsidRPr="006D6D90" w:rsidRDefault="006D6D90" w:rsidP="006D6D90">
            <w:pPr>
              <w:widowControl/>
              <w:jc w:val="center"/>
              <w:rPr>
                <w:rFonts w:ascii="Calibri" w:hAnsi="Calibri" w:cs="Calibri"/>
                <w:b/>
                <w:bCs/>
                <w:color w:val="FFFFFF"/>
                <w:sz w:val="24"/>
                <w:szCs w:val="24"/>
              </w:rPr>
            </w:pPr>
            <w:r w:rsidRPr="006D6D90">
              <w:rPr>
                <w:rFonts w:ascii="Calibri" w:hAnsi="Calibri" w:cs="Calibri"/>
                <w:b/>
                <w:bCs/>
                <w:color w:val="FFFFFF"/>
                <w:sz w:val="24"/>
                <w:szCs w:val="24"/>
              </w:rPr>
              <w:t>ženy (%)</w:t>
            </w:r>
          </w:p>
        </w:tc>
      </w:tr>
      <w:tr w:rsidR="006D6D90" w:rsidRPr="006D6D90" w14:paraId="2C062856" w14:textId="77777777" w:rsidTr="006D6D90">
        <w:trPr>
          <w:trHeight w:val="315"/>
        </w:trPr>
        <w:tc>
          <w:tcPr>
            <w:tcW w:w="4253" w:type="dxa"/>
            <w:tcBorders>
              <w:top w:val="single" w:sz="4" w:space="0" w:color="FFFFFF"/>
              <w:left w:val="nil"/>
              <w:bottom w:val="single" w:sz="4" w:space="0" w:color="FFFFFF"/>
              <w:right w:val="single" w:sz="4" w:space="0" w:color="FFFFFF"/>
            </w:tcBorders>
            <w:shd w:val="clear" w:color="B8CCE4" w:fill="B8CCE4"/>
            <w:noWrap/>
            <w:vAlign w:val="bottom"/>
            <w:hideMark/>
          </w:tcPr>
          <w:p w14:paraId="020E2FF8" w14:textId="77777777" w:rsidR="006D6D90" w:rsidRPr="006D6D90" w:rsidRDefault="006D6D90" w:rsidP="006D6D90">
            <w:pPr>
              <w:widowControl/>
              <w:rPr>
                <w:rFonts w:ascii="Calibri" w:hAnsi="Calibri" w:cs="Calibri"/>
                <w:color w:val="000000"/>
                <w:sz w:val="24"/>
                <w:szCs w:val="24"/>
              </w:rPr>
            </w:pPr>
            <w:r w:rsidRPr="006D6D90">
              <w:rPr>
                <w:rFonts w:ascii="Calibri" w:hAnsi="Calibri" w:cs="Calibri"/>
                <w:color w:val="000000"/>
                <w:sz w:val="24"/>
                <w:szCs w:val="24"/>
              </w:rPr>
              <w:t>Bratislava - mestská časť Petržalka</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7552F5A9"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114 000</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0AA759EC"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54 966</w:t>
            </w:r>
          </w:p>
        </w:tc>
        <w:tc>
          <w:tcPr>
            <w:tcW w:w="851"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51317126"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48,22</w:t>
            </w:r>
          </w:p>
        </w:tc>
        <w:tc>
          <w:tcPr>
            <w:tcW w:w="1050"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70CEA468"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59 034</w:t>
            </w:r>
          </w:p>
        </w:tc>
        <w:tc>
          <w:tcPr>
            <w:tcW w:w="880" w:type="dxa"/>
            <w:tcBorders>
              <w:top w:val="single" w:sz="4" w:space="0" w:color="FFFFFF"/>
              <w:left w:val="single" w:sz="4" w:space="0" w:color="FFFFFF"/>
              <w:bottom w:val="single" w:sz="4" w:space="0" w:color="FFFFFF"/>
              <w:right w:val="nil"/>
            </w:tcBorders>
            <w:shd w:val="clear" w:color="B8CCE4" w:fill="B8CCE4"/>
            <w:noWrap/>
            <w:vAlign w:val="center"/>
            <w:hideMark/>
          </w:tcPr>
          <w:p w14:paraId="42860F4F"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51,78</w:t>
            </w:r>
          </w:p>
        </w:tc>
      </w:tr>
      <w:tr w:rsidR="006D6D90" w:rsidRPr="006D6D90" w14:paraId="72D8170D" w14:textId="77777777" w:rsidTr="006D6D90">
        <w:trPr>
          <w:trHeight w:val="315"/>
        </w:trPr>
        <w:tc>
          <w:tcPr>
            <w:tcW w:w="4253" w:type="dxa"/>
            <w:tcBorders>
              <w:top w:val="single" w:sz="4" w:space="0" w:color="FFFFFF"/>
              <w:left w:val="nil"/>
              <w:bottom w:val="single" w:sz="4" w:space="0" w:color="FFFFFF"/>
              <w:right w:val="single" w:sz="4" w:space="0" w:color="FFFFFF"/>
            </w:tcBorders>
            <w:shd w:val="clear" w:color="auto" w:fill="FFE599" w:themeFill="accent4" w:themeFillTint="66"/>
            <w:noWrap/>
            <w:vAlign w:val="bottom"/>
            <w:hideMark/>
          </w:tcPr>
          <w:p w14:paraId="03462E88" w14:textId="77777777" w:rsidR="006D6D90" w:rsidRPr="006D6D90" w:rsidRDefault="006D6D90" w:rsidP="006D6D90">
            <w:pPr>
              <w:widowControl/>
              <w:rPr>
                <w:rFonts w:ascii="Calibri" w:hAnsi="Calibri" w:cs="Calibri"/>
                <w:color w:val="000000"/>
                <w:sz w:val="24"/>
                <w:szCs w:val="24"/>
              </w:rPr>
            </w:pPr>
            <w:r w:rsidRPr="006D6D90">
              <w:rPr>
                <w:rFonts w:ascii="Calibri" w:hAnsi="Calibri" w:cs="Calibri"/>
                <w:color w:val="000000"/>
                <w:sz w:val="24"/>
                <w:szCs w:val="24"/>
              </w:rPr>
              <w:t>Bratislava - mestská časť Ružinov</w:t>
            </w:r>
          </w:p>
        </w:tc>
        <w:tc>
          <w:tcPr>
            <w:tcW w:w="992" w:type="dxa"/>
            <w:tcBorders>
              <w:top w:val="single" w:sz="4" w:space="0" w:color="FFFFFF"/>
              <w:left w:val="single" w:sz="4" w:space="0" w:color="FFFFFF"/>
              <w:bottom w:val="single" w:sz="4" w:space="0" w:color="FFFFFF"/>
              <w:right w:val="single" w:sz="4" w:space="0" w:color="FFFFFF"/>
            </w:tcBorders>
            <w:shd w:val="clear" w:color="auto" w:fill="FFE599" w:themeFill="accent4" w:themeFillTint="66"/>
            <w:noWrap/>
            <w:vAlign w:val="center"/>
            <w:hideMark/>
          </w:tcPr>
          <w:p w14:paraId="3673CF3B"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81 004</w:t>
            </w:r>
          </w:p>
        </w:tc>
        <w:tc>
          <w:tcPr>
            <w:tcW w:w="992" w:type="dxa"/>
            <w:tcBorders>
              <w:top w:val="single" w:sz="4" w:space="0" w:color="FFFFFF"/>
              <w:left w:val="single" w:sz="4" w:space="0" w:color="FFFFFF"/>
              <w:bottom w:val="single" w:sz="4" w:space="0" w:color="FFFFFF"/>
              <w:right w:val="single" w:sz="4" w:space="0" w:color="FFFFFF"/>
            </w:tcBorders>
            <w:shd w:val="clear" w:color="auto" w:fill="FFE599" w:themeFill="accent4" w:themeFillTint="66"/>
            <w:noWrap/>
            <w:vAlign w:val="center"/>
            <w:hideMark/>
          </w:tcPr>
          <w:p w14:paraId="13E1CA47"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37 575</w:t>
            </w:r>
          </w:p>
        </w:tc>
        <w:tc>
          <w:tcPr>
            <w:tcW w:w="851" w:type="dxa"/>
            <w:tcBorders>
              <w:top w:val="single" w:sz="4" w:space="0" w:color="FFFFFF"/>
              <w:left w:val="single" w:sz="4" w:space="0" w:color="FFFFFF"/>
              <w:bottom w:val="single" w:sz="4" w:space="0" w:color="FFFFFF"/>
              <w:right w:val="single" w:sz="4" w:space="0" w:color="FFFFFF"/>
            </w:tcBorders>
            <w:shd w:val="clear" w:color="auto" w:fill="FFE599" w:themeFill="accent4" w:themeFillTint="66"/>
            <w:noWrap/>
            <w:vAlign w:val="center"/>
            <w:hideMark/>
          </w:tcPr>
          <w:p w14:paraId="5819C6FB"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46,39</w:t>
            </w:r>
          </w:p>
        </w:tc>
        <w:tc>
          <w:tcPr>
            <w:tcW w:w="1050" w:type="dxa"/>
            <w:tcBorders>
              <w:top w:val="single" w:sz="4" w:space="0" w:color="FFFFFF"/>
              <w:left w:val="single" w:sz="4" w:space="0" w:color="FFFFFF"/>
              <w:bottom w:val="single" w:sz="4" w:space="0" w:color="FFFFFF"/>
              <w:right w:val="single" w:sz="4" w:space="0" w:color="FFFFFF"/>
            </w:tcBorders>
            <w:shd w:val="clear" w:color="auto" w:fill="FFE599" w:themeFill="accent4" w:themeFillTint="66"/>
            <w:noWrap/>
            <w:vAlign w:val="center"/>
            <w:hideMark/>
          </w:tcPr>
          <w:p w14:paraId="6FF36612"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43 429</w:t>
            </w:r>
          </w:p>
        </w:tc>
        <w:tc>
          <w:tcPr>
            <w:tcW w:w="880" w:type="dxa"/>
            <w:tcBorders>
              <w:top w:val="single" w:sz="4" w:space="0" w:color="FFFFFF"/>
              <w:left w:val="single" w:sz="4" w:space="0" w:color="FFFFFF"/>
              <w:bottom w:val="single" w:sz="4" w:space="0" w:color="FFFFFF"/>
              <w:right w:val="nil"/>
            </w:tcBorders>
            <w:shd w:val="clear" w:color="auto" w:fill="FFE599" w:themeFill="accent4" w:themeFillTint="66"/>
            <w:noWrap/>
            <w:vAlign w:val="center"/>
            <w:hideMark/>
          </w:tcPr>
          <w:p w14:paraId="679FA70A"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53,61</w:t>
            </w:r>
          </w:p>
        </w:tc>
      </w:tr>
      <w:tr w:rsidR="006D6D90" w:rsidRPr="006D6D90" w14:paraId="5485ED13" w14:textId="77777777" w:rsidTr="006D6D90">
        <w:trPr>
          <w:trHeight w:val="315"/>
        </w:trPr>
        <w:tc>
          <w:tcPr>
            <w:tcW w:w="4253" w:type="dxa"/>
            <w:tcBorders>
              <w:top w:val="single" w:sz="4" w:space="0" w:color="FFFFFF"/>
              <w:left w:val="nil"/>
              <w:bottom w:val="single" w:sz="4" w:space="0" w:color="FFFFFF"/>
              <w:right w:val="single" w:sz="4" w:space="0" w:color="FFFFFF"/>
            </w:tcBorders>
            <w:shd w:val="clear" w:color="B8CCE4" w:fill="B8CCE4"/>
            <w:noWrap/>
            <w:vAlign w:val="bottom"/>
            <w:hideMark/>
          </w:tcPr>
          <w:p w14:paraId="66F9478E" w14:textId="77777777" w:rsidR="006D6D90" w:rsidRPr="006D6D90" w:rsidRDefault="006D6D90" w:rsidP="006D6D90">
            <w:pPr>
              <w:widowControl/>
              <w:rPr>
                <w:rFonts w:ascii="Calibri" w:hAnsi="Calibri" w:cs="Calibri"/>
                <w:color w:val="000000"/>
                <w:sz w:val="24"/>
                <w:szCs w:val="24"/>
              </w:rPr>
            </w:pPr>
            <w:r w:rsidRPr="006D6D90">
              <w:rPr>
                <w:rFonts w:ascii="Calibri" w:hAnsi="Calibri" w:cs="Calibri"/>
                <w:color w:val="000000"/>
                <w:sz w:val="24"/>
                <w:szCs w:val="24"/>
              </w:rPr>
              <w:t>Bratislava - mestská časť Staré Mesto</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043AF9EB"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46 080</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65924BFD"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22 210</w:t>
            </w:r>
          </w:p>
        </w:tc>
        <w:tc>
          <w:tcPr>
            <w:tcW w:w="851"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387A1BC7"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48,2</w:t>
            </w:r>
          </w:p>
        </w:tc>
        <w:tc>
          <w:tcPr>
            <w:tcW w:w="1050"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3F88663A"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23 870</w:t>
            </w:r>
          </w:p>
        </w:tc>
        <w:tc>
          <w:tcPr>
            <w:tcW w:w="880" w:type="dxa"/>
            <w:tcBorders>
              <w:top w:val="single" w:sz="4" w:space="0" w:color="FFFFFF"/>
              <w:left w:val="single" w:sz="4" w:space="0" w:color="FFFFFF"/>
              <w:bottom w:val="single" w:sz="4" w:space="0" w:color="FFFFFF"/>
              <w:right w:val="nil"/>
            </w:tcBorders>
            <w:shd w:val="clear" w:color="B8CCE4" w:fill="B8CCE4"/>
            <w:noWrap/>
            <w:vAlign w:val="center"/>
            <w:hideMark/>
          </w:tcPr>
          <w:p w14:paraId="6EC69D1A"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51,8</w:t>
            </w:r>
          </w:p>
        </w:tc>
      </w:tr>
      <w:tr w:rsidR="006D6D90" w:rsidRPr="006D6D90" w14:paraId="54724C19" w14:textId="77777777" w:rsidTr="006D6D90">
        <w:trPr>
          <w:trHeight w:val="315"/>
        </w:trPr>
        <w:tc>
          <w:tcPr>
            <w:tcW w:w="4253" w:type="dxa"/>
            <w:tcBorders>
              <w:top w:val="single" w:sz="4" w:space="0" w:color="FFFFFF"/>
              <w:left w:val="nil"/>
              <w:bottom w:val="single" w:sz="4" w:space="0" w:color="FFFFFF"/>
              <w:right w:val="single" w:sz="4" w:space="0" w:color="FFFFFF"/>
            </w:tcBorders>
            <w:shd w:val="clear" w:color="DCE6F1" w:fill="DCE6F1"/>
            <w:noWrap/>
            <w:vAlign w:val="bottom"/>
            <w:hideMark/>
          </w:tcPr>
          <w:p w14:paraId="30E4CAD8" w14:textId="77777777" w:rsidR="006D6D90" w:rsidRPr="006D6D90" w:rsidRDefault="006D6D90" w:rsidP="006D6D90">
            <w:pPr>
              <w:widowControl/>
              <w:rPr>
                <w:rFonts w:ascii="Calibri" w:hAnsi="Calibri" w:cs="Calibri"/>
                <w:color w:val="000000"/>
                <w:sz w:val="24"/>
                <w:szCs w:val="24"/>
              </w:rPr>
            </w:pPr>
            <w:r w:rsidRPr="006D6D90">
              <w:rPr>
                <w:rFonts w:ascii="Calibri" w:hAnsi="Calibri" w:cs="Calibri"/>
                <w:color w:val="000000"/>
                <w:sz w:val="24"/>
                <w:szCs w:val="24"/>
              </w:rPr>
              <w:t>Bratislava - mestská časť Nové Mesto</w:t>
            </w:r>
          </w:p>
        </w:tc>
        <w:tc>
          <w:tcPr>
            <w:tcW w:w="992"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54468B3F"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44 458</w:t>
            </w:r>
          </w:p>
        </w:tc>
        <w:tc>
          <w:tcPr>
            <w:tcW w:w="992"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3158D45E"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20 981</w:t>
            </w:r>
          </w:p>
        </w:tc>
        <w:tc>
          <w:tcPr>
            <w:tcW w:w="851"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37D7E3E1"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47,19</w:t>
            </w:r>
          </w:p>
        </w:tc>
        <w:tc>
          <w:tcPr>
            <w:tcW w:w="1050"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704DFE62"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23 477</w:t>
            </w:r>
          </w:p>
        </w:tc>
        <w:tc>
          <w:tcPr>
            <w:tcW w:w="880" w:type="dxa"/>
            <w:tcBorders>
              <w:top w:val="single" w:sz="4" w:space="0" w:color="FFFFFF"/>
              <w:left w:val="single" w:sz="4" w:space="0" w:color="FFFFFF"/>
              <w:bottom w:val="single" w:sz="4" w:space="0" w:color="FFFFFF"/>
              <w:right w:val="nil"/>
            </w:tcBorders>
            <w:shd w:val="clear" w:color="DCE6F1" w:fill="DCE6F1"/>
            <w:noWrap/>
            <w:vAlign w:val="center"/>
            <w:hideMark/>
          </w:tcPr>
          <w:p w14:paraId="7B24F906"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52,81</w:t>
            </w:r>
          </w:p>
        </w:tc>
      </w:tr>
      <w:tr w:rsidR="006D6D90" w:rsidRPr="006D6D90" w14:paraId="1F1BDE4A" w14:textId="77777777" w:rsidTr="006D6D90">
        <w:trPr>
          <w:trHeight w:val="315"/>
        </w:trPr>
        <w:tc>
          <w:tcPr>
            <w:tcW w:w="4253" w:type="dxa"/>
            <w:tcBorders>
              <w:top w:val="single" w:sz="4" w:space="0" w:color="FFFFFF"/>
              <w:left w:val="nil"/>
              <w:bottom w:val="single" w:sz="4" w:space="0" w:color="FFFFFF"/>
              <w:right w:val="single" w:sz="4" w:space="0" w:color="FFFFFF"/>
            </w:tcBorders>
            <w:shd w:val="clear" w:color="B8CCE4" w:fill="B8CCE4"/>
            <w:noWrap/>
            <w:vAlign w:val="bottom"/>
            <w:hideMark/>
          </w:tcPr>
          <w:p w14:paraId="3FDE2ABB" w14:textId="77777777" w:rsidR="006D6D90" w:rsidRPr="006D6D90" w:rsidRDefault="006D6D90" w:rsidP="006D6D90">
            <w:pPr>
              <w:widowControl/>
              <w:rPr>
                <w:rFonts w:ascii="Calibri" w:hAnsi="Calibri" w:cs="Calibri"/>
                <w:color w:val="000000"/>
                <w:sz w:val="24"/>
                <w:szCs w:val="24"/>
              </w:rPr>
            </w:pPr>
            <w:r w:rsidRPr="006D6D90">
              <w:rPr>
                <w:rFonts w:ascii="Calibri" w:hAnsi="Calibri" w:cs="Calibri"/>
                <w:color w:val="000000"/>
                <w:sz w:val="24"/>
                <w:szCs w:val="24"/>
              </w:rPr>
              <w:t>Bratislava - mestská časť Dúbravka</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491A24FF"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36 206</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0B0A150B"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17 109</w:t>
            </w:r>
          </w:p>
        </w:tc>
        <w:tc>
          <w:tcPr>
            <w:tcW w:w="851"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1CD608A3"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47,25</w:t>
            </w:r>
          </w:p>
        </w:tc>
        <w:tc>
          <w:tcPr>
            <w:tcW w:w="1050"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5A160D2F"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19 097</w:t>
            </w:r>
          </w:p>
        </w:tc>
        <w:tc>
          <w:tcPr>
            <w:tcW w:w="880" w:type="dxa"/>
            <w:tcBorders>
              <w:top w:val="single" w:sz="4" w:space="0" w:color="FFFFFF"/>
              <w:left w:val="single" w:sz="4" w:space="0" w:color="FFFFFF"/>
              <w:bottom w:val="single" w:sz="4" w:space="0" w:color="FFFFFF"/>
              <w:right w:val="nil"/>
            </w:tcBorders>
            <w:shd w:val="clear" w:color="B8CCE4" w:fill="B8CCE4"/>
            <w:noWrap/>
            <w:vAlign w:val="center"/>
            <w:hideMark/>
          </w:tcPr>
          <w:p w14:paraId="1B04B837"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52,75</w:t>
            </w:r>
          </w:p>
        </w:tc>
      </w:tr>
      <w:tr w:rsidR="006D6D90" w:rsidRPr="006D6D90" w14:paraId="74E897A0" w14:textId="77777777" w:rsidTr="006D6D90">
        <w:trPr>
          <w:trHeight w:val="315"/>
        </w:trPr>
        <w:tc>
          <w:tcPr>
            <w:tcW w:w="4253" w:type="dxa"/>
            <w:tcBorders>
              <w:top w:val="single" w:sz="4" w:space="0" w:color="FFFFFF"/>
              <w:left w:val="nil"/>
              <w:bottom w:val="single" w:sz="4" w:space="0" w:color="FFFFFF"/>
              <w:right w:val="single" w:sz="4" w:space="0" w:color="FFFFFF"/>
            </w:tcBorders>
            <w:shd w:val="clear" w:color="DCE6F1" w:fill="DCE6F1"/>
            <w:noWrap/>
            <w:vAlign w:val="bottom"/>
            <w:hideMark/>
          </w:tcPr>
          <w:p w14:paraId="0B2B7B3A" w14:textId="77777777" w:rsidR="006D6D90" w:rsidRPr="006D6D90" w:rsidRDefault="006D6D90" w:rsidP="006D6D90">
            <w:pPr>
              <w:widowControl/>
              <w:rPr>
                <w:rFonts w:ascii="Calibri" w:hAnsi="Calibri" w:cs="Calibri"/>
                <w:color w:val="000000"/>
                <w:sz w:val="24"/>
                <w:szCs w:val="24"/>
              </w:rPr>
            </w:pPr>
            <w:r w:rsidRPr="006D6D90">
              <w:rPr>
                <w:rFonts w:ascii="Calibri" w:hAnsi="Calibri" w:cs="Calibri"/>
                <w:color w:val="000000"/>
                <w:sz w:val="24"/>
                <w:szCs w:val="24"/>
              </w:rPr>
              <w:t>Bratislava - mestská časť Karlova Ves</w:t>
            </w:r>
          </w:p>
        </w:tc>
        <w:tc>
          <w:tcPr>
            <w:tcW w:w="992"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1E231858"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35 644</w:t>
            </w:r>
          </w:p>
        </w:tc>
        <w:tc>
          <w:tcPr>
            <w:tcW w:w="992"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4369AB41"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16 980</w:t>
            </w:r>
          </w:p>
        </w:tc>
        <w:tc>
          <w:tcPr>
            <w:tcW w:w="851"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47DBBACC"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47,64</w:t>
            </w:r>
          </w:p>
        </w:tc>
        <w:tc>
          <w:tcPr>
            <w:tcW w:w="1050"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539A0A50"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18 664</w:t>
            </w:r>
          </w:p>
        </w:tc>
        <w:tc>
          <w:tcPr>
            <w:tcW w:w="880" w:type="dxa"/>
            <w:tcBorders>
              <w:top w:val="single" w:sz="4" w:space="0" w:color="FFFFFF"/>
              <w:left w:val="single" w:sz="4" w:space="0" w:color="FFFFFF"/>
              <w:bottom w:val="single" w:sz="4" w:space="0" w:color="FFFFFF"/>
              <w:right w:val="nil"/>
            </w:tcBorders>
            <w:shd w:val="clear" w:color="DCE6F1" w:fill="DCE6F1"/>
            <w:noWrap/>
            <w:vAlign w:val="center"/>
            <w:hideMark/>
          </w:tcPr>
          <w:p w14:paraId="578A6F9C"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52,36</w:t>
            </w:r>
          </w:p>
        </w:tc>
      </w:tr>
      <w:tr w:rsidR="006D6D90" w:rsidRPr="006D6D90" w14:paraId="4ED9A9AD" w14:textId="77777777" w:rsidTr="006D6D90">
        <w:trPr>
          <w:trHeight w:val="315"/>
        </w:trPr>
        <w:tc>
          <w:tcPr>
            <w:tcW w:w="4253" w:type="dxa"/>
            <w:tcBorders>
              <w:top w:val="single" w:sz="4" w:space="0" w:color="FFFFFF"/>
              <w:left w:val="nil"/>
              <w:bottom w:val="single" w:sz="4" w:space="0" w:color="FFFFFF"/>
              <w:right w:val="single" w:sz="4" w:space="0" w:color="FFFFFF"/>
            </w:tcBorders>
            <w:shd w:val="clear" w:color="B8CCE4" w:fill="B8CCE4"/>
            <w:noWrap/>
            <w:vAlign w:val="bottom"/>
            <w:hideMark/>
          </w:tcPr>
          <w:p w14:paraId="1A0DBACE" w14:textId="77777777" w:rsidR="006D6D90" w:rsidRPr="006D6D90" w:rsidRDefault="006D6D90" w:rsidP="006D6D90">
            <w:pPr>
              <w:widowControl/>
              <w:rPr>
                <w:rFonts w:ascii="Calibri" w:hAnsi="Calibri" w:cs="Calibri"/>
                <w:color w:val="000000"/>
                <w:sz w:val="24"/>
                <w:szCs w:val="24"/>
              </w:rPr>
            </w:pPr>
            <w:r w:rsidRPr="006D6D90">
              <w:rPr>
                <w:rFonts w:ascii="Calibri" w:hAnsi="Calibri" w:cs="Calibri"/>
                <w:color w:val="000000"/>
                <w:sz w:val="24"/>
                <w:szCs w:val="24"/>
              </w:rPr>
              <w:t>Bratislava - mestská časť Rača</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1BC4370C"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25 733</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51808267"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12 717</w:t>
            </w:r>
          </w:p>
        </w:tc>
        <w:tc>
          <w:tcPr>
            <w:tcW w:w="851"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4A17885A"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49,42</w:t>
            </w:r>
          </w:p>
        </w:tc>
        <w:tc>
          <w:tcPr>
            <w:tcW w:w="1050"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03D6C3DC"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13 016</w:t>
            </w:r>
          </w:p>
        </w:tc>
        <w:tc>
          <w:tcPr>
            <w:tcW w:w="880" w:type="dxa"/>
            <w:tcBorders>
              <w:top w:val="single" w:sz="4" w:space="0" w:color="FFFFFF"/>
              <w:left w:val="single" w:sz="4" w:space="0" w:color="FFFFFF"/>
              <w:bottom w:val="single" w:sz="4" w:space="0" w:color="FFFFFF"/>
              <w:right w:val="nil"/>
            </w:tcBorders>
            <w:shd w:val="clear" w:color="B8CCE4" w:fill="B8CCE4"/>
            <w:noWrap/>
            <w:vAlign w:val="center"/>
            <w:hideMark/>
          </w:tcPr>
          <w:p w14:paraId="61247642"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50,58</w:t>
            </w:r>
          </w:p>
        </w:tc>
      </w:tr>
      <w:tr w:rsidR="006D6D90" w:rsidRPr="006D6D90" w14:paraId="0A46256C" w14:textId="77777777" w:rsidTr="006D6D90">
        <w:trPr>
          <w:trHeight w:val="315"/>
        </w:trPr>
        <w:tc>
          <w:tcPr>
            <w:tcW w:w="4253" w:type="dxa"/>
            <w:tcBorders>
              <w:top w:val="single" w:sz="4" w:space="0" w:color="FFFFFF"/>
              <w:left w:val="nil"/>
              <w:bottom w:val="single" w:sz="4" w:space="0" w:color="FFFFFF"/>
              <w:right w:val="single" w:sz="4" w:space="0" w:color="FFFFFF"/>
            </w:tcBorders>
            <w:shd w:val="clear" w:color="DCE6F1" w:fill="DCE6F1"/>
            <w:noWrap/>
            <w:vAlign w:val="bottom"/>
            <w:hideMark/>
          </w:tcPr>
          <w:p w14:paraId="0F4F3AAD" w14:textId="77777777" w:rsidR="006D6D90" w:rsidRPr="006D6D90" w:rsidRDefault="006D6D90" w:rsidP="006D6D90">
            <w:pPr>
              <w:widowControl/>
              <w:rPr>
                <w:rFonts w:ascii="Calibri" w:hAnsi="Calibri" w:cs="Calibri"/>
                <w:color w:val="000000"/>
                <w:sz w:val="24"/>
                <w:szCs w:val="24"/>
              </w:rPr>
            </w:pPr>
            <w:r w:rsidRPr="006D6D90">
              <w:rPr>
                <w:rFonts w:ascii="Calibri" w:hAnsi="Calibri" w:cs="Calibri"/>
                <w:color w:val="000000"/>
                <w:sz w:val="24"/>
                <w:szCs w:val="24"/>
              </w:rPr>
              <w:t>Bratislava - mestská časť Podunajské Biskupice</w:t>
            </w:r>
          </w:p>
        </w:tc>
        <w:tc>
          <w:tcPr>
            <w:tcW w:w="992"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6D8AB6BE"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23 464</w:t>
            </w:r>
          </w:p>
        </w:tc>
        <w:tc>
          <w:tcPr>
            <w:tcW w:w="992"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7D918431"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11 193</w:t>
            </w:r>
          </w:p>
        </w:tc>
        <w:tc>
          <w:tcPr>
            <w:tcW w:w="851"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52893EAA"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47,7</w:t>
            </w:r>
          </w:p>
        </w:tc>
        <w:tc>
          <w:tcPr>
            <w:tcW w:w="1050"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7635EB21"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12 271</w:t>
            </w:r>
          </w:p>
        </w:tc>
        <w:tc>
          <w:tcPr>
            <w:tcW w:w="880" w:type="dxa"/>
            <w:tcBorders>
              <w:top w:val="single" w:sz="4" w:space="0" w:color="FFFFFF"/>
              <w:left w:val="single" w:sz="4" w:space="0" w:color="FFFFFF"/>
              <w:bottom w:val="single" w:sz="4" w:space="0" w:color="FFFFFF"/>
              <w:right w:val="nil"/>
            </w:tcBorders>
            <w:shd w:val="clear" w:color="DCE6F1" w:fill="DCE6F1"/>
            <w:noWrap/>
            <w:vAlign w:val="center"/>
            <w:hideMark/>
          </w:tcPr>
          <w:p w14:paraId="0D8A35FF"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52,3</w:t>
            </w:r>
          </w:p>
        </w:tc>
      </w:tr>
      <w:tr w:rsidR="006D6D90" w:rsidRPr="006D6D90" w14:paraId="43DE135F" w14:textId="77777777" w:rsidTr="006D6D90">
        <w:trPr>
          <w:trHeight w:val="315"/>
        </w:trPr>
        <w:tc>
          <w:tcPr>
            <w:tcW w:w="4253" w:type="dxa"/>
            <w:tcBorders>
              <w:top w:val="single" w:sz="4" w:space="0" w:color="FFFFFF"/>
              <w:left w:val="nil"/>
              <w:bottom w:val="single" w:sz="4" w:space="0" w:color="FFFFFF"/>
              <w:right w:val="single" w:sz="4" w:space="0" w:color="FFFFFF"/>
            </w:tcBorders>
            <w:shd w:val="clear" w:color="B8CCE4" w:fill="B8CCE4"/>
            <w:noWrap/>
            <w:vAlign w:val="bottom"/>
            <w:hideMark/>
          </w:tcPr>
          <w:p w14:paraId="40165309" w14:textId="77777777" w:rsidR="006D6D90" w:rsidRPr="006D6D90" w:rsidRDefault="006D6D90" w:rsidP="006D6D90">
            <w:pPr>
              <w:widowControl/>
              <w:rPr>
                <w:rFonts w:ascii="Calibri" w:hAnsi="Calibri" w:cs="Calibri"/>
                <w:color w:val="000000"/>
                <w:sz w:val="24"/>
                <w:szCs w:val="24"/>
              </w:rPr>
            </w:pPr>
            <w:r w:rsidRPr="006D6D90">
              <w:rPr>
                <w:rFonts w:ascii="Calibri" w:hAnsi="Calibri" w:cs="Calibri"/>
                <w:color w:val="000000"/>
                <w:sz w:val="24"/>
                <w:szCs w:val="24"/>
              </w:rPr>
              <w:t>Bratislava - mestská časť Vrakuňa</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337C5FF4"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20 711</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4579EBC2"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9 945</w:t>
            </w:r>
          </w:p>
        </w:tc>
        <w:tc>
          <w:tcPr>
            <w:tcW w:w="851"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71563C54"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48,02</w:t>
            </w:r>
          </w:p>
        </w:tc>
        <w:tc>
          <w:tcPr>
            <w:tcW w:w="1050"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14554DF7"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10 766</w:t>
            </w:r>
          </w:p>
        </w:tc>
        <w:tc>
          <w:tcPr>
            <w:tcW w:w="880" w:type="dxa"/>
            <w:tcBorders>
              <w:top w:val="single" w:sz="4" w:space="0" w:color="FFFFFF"/>
              <w:left w:val="single" w:sz="4" w:space="0" w:color="FFFFFF"/>
              <w:bottom w:val="single" w:sz="4" w:space="0" w:color="FFFFFF"/>
              <w:right w:val="nil"/>
            </w:tcBorders>
            <w:shd w:val="clear" w:color="B8CCE4" w:fill="B8CCE4"/>
            <w:noWrap/>
            <w:vAlign w:val="center"/>
            <w:hideMark/>
          </w:tcPr>
          <w:p w14:paraId="279CC27E"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51,98</w:t>
            </w:r>
          </w:p>
        </w:tc>
      </w:tr>
      <w:tr w:rsidR="006D6D90" w:rsidRPr="006D6D90" w14:paraId="4EC7285B" w14:textId="77777777" w:rsidTr="006D6D90">
        <w:trPr>
          <w:trHeight w:val="315"/>
        </w:trPr>
        <w:tc>
          <w:tcPr>
            <w:tcW w:w="4253" w:type="dxa"/>
            <w:tcBorders>
              <w:top w:val="single" w:sz="4" w:space="0" w:color="FFFFFF"/>
              <w:left w:val="nil"/>
              <w:bottom w:val="single" w:sz="4" w:space="0" w:color="FFFFFF"/>
              <w:right w:val="single" w:sz="4" w:space="0" w:color="FFFFFF"/>
            </w:tcBorders>
            <w:shd w:val="clear" w:color="DCE6F1" w:fill="DCE6F1"/>
            <w:noWrap/>
            <w:vAlign w:val="bottom"/>
            <w:hideMark/>
          </w:tcPr>
          <w:p w14:paraId="3999F4CF" w14:textId="77777777" w:rsidR="006D6D90" w:rsidRPr="006D6D90" w:rsidRDefault="006D6D90" w:rsidP="006D6D90">
            <w:pPr>
              <w:widowControl/>
              <w:rPr>
                <w:rFonts w:ascii="Calibri" w:hAnsi="Calibri" w:cs="Calibri"/>
                <w:color w:val="000000"/>
                <w:sz w:val="24"/>
                <w:szCs w:val="24"/>
              </w:rPr>
            </w:pPr>
            <w:r w:rsidRPr="006D6D90">
              <w:rPr>
                <w:rFonts w:ascii="Calibri" w:hAnsi="Calibri" w:cs="Calibri"/>
                <w:color w:val="000000"/>
                <w:sz w:val="24"/>
                <w:szCs w:val="24"/>
              </w:rPr>
              <w:t>Bratislava - mestská časť Devínska Nová Ves</w:t>
            </w:r>
          </w:p>
        </w:tc>
        <w:tc>
          <w:tcPr>
            <w:tcW w:w="992"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6251861C"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17 153</w:t>
            </w:r>
          </w:p>
        </w:tc>
        <w:tc>
          <w:tcPr>
            <w:tcW w:w="992"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6C92C300"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8 446</w:t>
            </w:r>
          </w:p>
        </w:tc>
        <w:tc>
          <w:tcPr>
            <w:tcW w:w="851"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554FC73E"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49,24</w:t>
            </w:r>
          </w:p>
        </w:tc>
        <w:tc>
          <w:tcPr>
            <w:tcW w:w="1050"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709B7342"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8 707</w:t>
            </w:r>
          </w:p>
        </w:tc>
        <w:tc>
          <w:tcPr>
            <w:tcW w:w="880" w:type="dxa"/>
            <w:tcBorders>
              <w:top w:val="single" w:sz="4" w:space="0" w:color="FFFFFF"/>
              <w:left w:val="single" w:sz="4" w:space="0" w:color="FFFFFF"/>
              <w:bottom w:val="single" w:sz="4" w:space="0" w:color="FFFFFF"/>
              <w:right w:val="nil"/>
            </w:tcBorders>
            <w:shd w:val="clear" w:color="DCE6F1" w:fill="DCE6F1"/>
            <w:noWrap/>
            <w:vAlign w:val="center"/>
            <w:hideMark/>
          </w:tcPr>
          <w:p w14:paraId="16A18DBC"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50,76</w:t>
            </w:r>
          </w:p>
        </w:tc>
      </w:tr>
      <w:tr w:rsidR="006D6D90" w:rsidRPr="006D6D90" w14:paraId="56AC8F78" w14:textId="77777777" w:rsidTr="006D6D90">
        <w:trPr>
          <w:trHeight w:val="315"/>
        </w:trPr>
        <w:tc>
          <w:tcPr>
            <w:tcW w:w="4253" w:type="dxa"/>
            <w:tcBorders>
              <w:top w:val="single" w:sz="4" w:space="0" w:color="FFFFFF"/>
              <w:left w:val="nil"/>
              <w:bottom w:val="single" w:sz="4" w:space="0" w:color="FFFFFF"/>
              <w:right w:val="single" w:sz="4" w:space="0" w:color="FFFFFF"/>
            </w:tcBorders>
            <w:shd w:val="clear" w:color="B8CCE4" w:fill="B8CCE4"/>
            <w:noWrap/>
            <w:vAlign w:val="bottom"/>
            <w:hideMark/>
          </w:tcPr>
          <w:p w14:paraId="49641AB4" w14:textId="77777777" w:rsidR="006D6D90" w:rsidRPr="006D6D90" w:rsidRDefault="006D6D90" w:rsidP="006D6D90">
            <w:pPr>
              <w:widowControl/>
              <w:rPr>
                <w:rFonts w:ascii="Calibri" w:hAnsi="Calibri" w:cs="Calibri"/>
                <w:color w:val="000000"/>
                <w:sz w:val="24"/>
                <w:szCs w:val="24"/>
              </w:rPr>
            </w:pPr>
            <w:r w:rsidRPr="006D6D90">
              <w:rPr>
                <w:rFonts w:ascii="Calibri" w:hAnsi="Calibri" w:cs="Calibri"/>
                <w:color w:val="000000"/>
                <w:sz w:val="24"/>
                <w:szCs w:val="24"/>
              </w:rPr>
              <w:t>Bratislava - mestská časť Lamač</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20613798"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7 789</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4C9E91A4"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3 597</w:t>
            </w:r>
          </w:p>
        </w:tc>
        <w:tc>
          <w:tcPr>
            <w:tcW w:w="851"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7A462F18"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46,18</w:t>
            </w:r>
          </w:p>
        </w:tc>
        <w:tc>
          <w:tcPr>
            <w:tcW w:w="1050"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7189A8D9"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4 192</w:t>
            </w:r>
          </w:p>
        </w:tc>
        <w:tc>
          <w:tcPr>
            <w:tcW w:w="880" w:type="dxa"/>
            <w:tcBorders>
              <w:top w:val="single" w:sz="4" w:space="0" w:color="FFFFFF"/>
              <w:left w:val="single" w:sz="4" w:space="0" w:color="FFFFFF"/>
              <w:bottom w:val="single" w:sz="4" w:space="0" w:color="FFFFFF"/>
              <w:right w:val="nil"/>
            </w:tcBorders>
            <w:shd w:val="clear" w:color="B8CCE4" w:fill="B8CCE4"/>
            <w:noWrap/>
            <w:vAlign w:val="center"/>
            <w:hideMark/>
          </w:tcPr>
          <w:p w14:paraId="491F73DC"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53,82</w:t>
            </w:r>
          </w:p>
        </w:tc>
      </w:tr>
      <w:tr w:rsidR="006D6D90" w:rsidRPr="006D6D90" w14:paraId="7A251FEF" w14:textId="77777777" w:rsidTr="006D6D90">
        <w:trPr>
          <w:trHeight w:val="315"/>
        </w:trPr>
        <w:tc>
          <w:tcPr>
            <w:tcW w:w="4253" w:type="dxa"/>
            <w:tcBorders>
              <w:top w:val="single" w:sz="4" w:space="0" w:color="FFFFFF"/>
              <w:left w:val="nil"/>
              <w:bottom w:val="single" w:sz="4" w:space="0" w:color="FFFFFF"/>
              <w:right w:val="single" w:sz="4" w:space="0" w:color="FFFFFF"/>
            </w:tcBorders>
            <w:shd w:val="clear" w:color="DCE6F1" w:fill="DCE6F1"/>
            <w:noWrap/>
            <w:vAlign w:val="bottom"/>
            <w:hideMark/>
          </w:tcPr>
          <w:p w14:paraId="3508D28D" w14:textId="77777777" w:rsidR="006D6D90" w:rsidRPr="006D6D90" w:rsidRDefault="006D6D90" w:rsidP="006D6D90">
            <w:pPr>
              <w:widowControl/>
              <w:rPr>
                <w:rFonts w:ascii="Calibri" w:hAnsi="Calibri" w:cs="Calibri"/>
                <w:color w:val="000000"/>
                <w:sz w:val="24"/>
                <w:szCs w:val="24"/>
              </w:rPr>
            </w:pPr>
            <w:r w:rsidRPr="006D6D90">
              <w:rPr>
                <w:rFonts w:ascii="Calibri" w:hAnsi="Calibri" w:cs="Calibri"/>
                <w:color w:val="000000"/>
                <w:sz w:val="24"/>
                <w:szCs w:val="24"/>
              </w:rPr>
              <w:t>Bratislava - mestská časť Záhorská Bystrica</w:t>
            </w:r>
          </w:p>
        </w:tc>
        <w:tc>
          <w:tcPr>
            <w:tcW w:w="992"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2E822A8A"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6 541</w:t>
            </w:r>
          </w:p>
        </w:tc>
        <w:tc>
          <w:tcPr>
            <w:tcW w:w="992"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52A6B644"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3 165</w:t>
            </w:r>
          </w:p>
        </w:tc>
        <w:tc>
          <w:tcPr>
            <w:tcW w:w="851"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60AB2924"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48,39</w:t>
            </w:r>
          </w:p>
        </w:tc>
        <w:tc>
          <w:tcPr>
            <w:tcW w:w="1050"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21562D23"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3 376</w:t>
            </w:r>
          </w:p>
        </w:tc>
        <w:tc>
          <w:tcPr>
            <w:tcW w:w="880" w:type="dxa"/>
            <w:tcBorders>
              <w:top w:val="single" w:sz="4" w:space="0" w:color="FFFFFF"/>
              <w:left w:val="single" w:sz="4" w:space="0" w:color="FFFFFF"/>
              <w:bottom w:val="single" w:sz="4" w:space="0" w:color="FFFFFF"/>
              <w:right w:val="nil"/>
            </w:tcBorders>
            <w:shd w:val="clear" w:color="DCE6F1" w:fill="DCE6F1"/>
            <w:noWrap/>
            <w:vAlign w:val="center"/>
            <w:hideMark/>
          </w:tcPr>
          <w:p w14:paraId="020E5024"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51,61</w:t>
            </w:r>
          </w:p>
        </w:tc>
      </w:tr>
      <w:tr w:rsidR="006D6D90" w:rsidRPr="006D6D90" w14:paraId="7CB8B88A" w14:textId="77777777" w:rsidTr="006D6D90">
        <w:trPr>
          <w:trHeight w:val="315"/>
        </w:trPr>
        <w:tc>
          <w:tcPr>
            <w:tcW w:w="4253" w:type="dxa"/>
            <w:tcBorders>
              <w:top w:val="single" w:sz="4" w:space="0" w:color="FFFFFF"/>
              <w:left w:val="nil"/>
              <w:bottom w:val="single" w:sz="4" w:space="0" w:color="FFFFFF"/>
              <w:right w:val="single" w:sz="4" w:space="0" w:color="FFFFFF"/>
            </w:tcBorders>
            <w:shd w:val="clear" w:color="B8CCE4" w:fill="B8CCE4"/>
            <w:noWrap/>
            <w:vAlign w:val="bottom"/>
            <w:hideMark/>
          </w:tcPr>
          <w:p w14:paraId="7D471021" w14:textId="77777777" w:rsidR="006D6D90" w:rsidRPr="006D6D90" w:rsidRDefault="006D6D90" w:rsidP="006D6D90">
            <w:pPr>
              <w:widowControl/>
              <w:rPr>
                <w:rFonts w:ascii="Calibri" w:hAnsi="Calibri" w:cs="Calibri"/>
                <w:color w:val="000000"/>
                <w:sz w:val="24"/>
                <w:szCs w:val="24"/>
              </w:rPr>
            </w:pPr>
            <w:r w:rsidRPr="006D6D90">
              <w:rPr>
                <w:rFonts w:ascii="Calibri" w:hAnsi="Calibri" w:cs="Calibri"/>
                <w:color w:val="000000"/>
                <w:sz w:val="24"/>
                <w:szCs w:val="24"/>
              </w:rPr>
              <w:t>Bratislava - mestská časť Vajnory</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2A42BFF2"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6 079</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5DCA676D"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3 056</w:t>
            </w:r>
          </w:p>
        </w:tc>
        <w:tc>
          <w:tcPr>
            <w:tcW w:w="851"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38EEA97F"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50,27</w:t>
            </w:r>
          </w:p>
        </w:tc>
        <w:tc>
          <w:tcPr>
            <w:tcW w:w="1050"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36E9525E"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3 023</w:t>
            </w:r>
          </w:p>
        </w:tc>
        <w:tc>
          <w:tcPr>
            <w:tcW w:w="880" w:type="dxa"/>
            <w:tcBorders>
              <w:top w:val="single" w:sz="4" w:space="0" w:color="FFFFFF"/>
              <w:left w:val="single" w:sz="4" w:space="0" w:color="FFFFFF"/>
              <w:bottom w:val="single" w:sz="4" w:space="0" w:color="FFFFFF"/>
              <w:right w:val="nil"/>
            </w:tcBorders>
            <w:shd w:val="clear" w:color="B8CCE4" w:fill="B8CCE4"/>
            <w:noWrap/>
            <w:vAlign w:val="center"/>
            <w:hideMark/>
          </w:tcPr>
          <w:p w14:paraId="3009A2D6"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49,73</w:t>
            </w:r>
          </w:p>
        </w:tc>
      </w:tr>
      <w:tr w:rsidR="006D6D90" w:rsidRPr="006D6D90" w14:paraId="3CE9D515" w14:textId="77777777" w:rsidTr="006D6D90">
        <w:trPr>
          <w:trHeight w:val="315"/>
        </w:trPr>
        <w:tc>
          <w:tcPr>
            <w:tcW w:w="4253" w:type="dxa"/>
            <w:tcBorders>
              <w:top w:val="single" w:sz="4" w:space="0" w:color="FFFFFF"/>
              <w:left w:val="nil"/>
              <w:bottom w:val="single" w:sz="4" w:space="0" w:color="FFFFFF"/>
              <w:right w:val="single" w:sz="4" w:space="0" w:color="FFFFFF"/>
            </w:tcBorders>
            <w:shd w:val="clear" w:color="DCE6F1" w:fill="DCE6F1"/>
            <w:noWrap/>
            <w:vAlign w:val="bottom"/>
            <w:hideMark/>
          </w:tcPr>
          <w:p w14:paraId="558C8D4D" w14:textId="77777777" w:rsidR="006D6D90" w:rsidRPr="006D6D90" w:rsidRDefault="006D6D90" w:rsidP="006D6D90">
            <w:pPr>
              <w:widowControl/>
              <w:rPr>
                <w:rFonts w:ascii="Calibri" w:hAnsi="Calibri" w:cs="Calibri"/>
                <w:color w:val="000000"/>
                <w:sz w:val="24"/>
                <w:szCs w:val="24"/>
              </w:rPr>
            </w:pPr>
            <w:r w:rsidRPr="006D6D90">
              <w:rPr>
                <w:rFonts w:ascii="Calibri" w:hAnsi="Calibri" w:cs="Calibri"/>
                <w:color w:val="000000"/>
                <w:sz w:val="24"/>
                <w:szCs w:val="24"/>
              </w:rPr>
              <w:t>Bratislava - mestská časť Rusovce</w:t>
            </w:r>
          </w:p>
        </w:tc>
        <w:tc>
          <w:tcPr>
            <w:tcW w:w="992"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0C15B6E4"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4 388</w:t>
            </w:r>
          </w:p>
        </w:tc>
        <w:tc>
          <w:tcPr>
            <w:tcW w:w="992"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3815FC3B"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2 141</w:t>
            </w:r>
          </w:p>
        </w:tc>
        <w:tc>
          <w:tcPr>
            <w:tcW w:w="851"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3E7A2E23"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48,79</w:t>
            </w:r>
          </w:p>
        </w:tc>
        <w:tc>
          <w:tcPr>
            <w:tcW w:w="1050"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7048D239"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2 247</w:t>
            </w:r>
          </w:p>
        </w:tc>
        <w:tc>
          <w:tcPr>
            <w:tcW w:w="880" w:type="dxa"/>
            <w:tcBorders>
              <w:top w:val="single" w:sz="4" w:space="0" w:color="FFFFFF"/>
              <w:left w:val="single" w:sz="4" w:space="0" w:color="FFFFFF"/>
              <w:bottom w:val="single" w:sz="4" w:space="0" w:color="FFFFFF"/>
              <w:right w:val="nil"/>
            </w:tcBorders>
            <w:shd w:val="clear" w:color="DCE6F1" w:fill="DCE6F1"/>
            <w:noWrap/>
            <w:vAlign w:val="center"/>
            <w:hideMark/>
          </w:tcPr>
          <w:p w14:paraId="34B5C8EC"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51,21</w:t>
            </w:r>
          </w:p>
        </w:tc>
      </w:tr>
      <w:tr w:rsidR="006D6D90" w:rsidRPr="006D6D90" w14:paraId="53AC2799" w14:textId="77777777" w:rsidTr="006D6D90">
        <w:trPr>
          <w:trHeight w:val="315"/>
        </w:trPr>
        <w:tc>
          <w:tcPr>
            <w:tcW w:w="4253" w:type="dxa"/>
            <w:tcBorders>
              <w:top w:val="single" w:sz="4" w:space="0" w:color="FFFFFF"/>
              <w:left w:val="nil"/>
              <w:bottom w:val="single" w:sz="4" w:space="0" w:color="FFFFFF"/>
              <w:right w:val="single" w:sz="4" w:space="0" w:color="FFFFFF"/>
            </w:tcBorders>
            <w:shd w:val="clear" w:color="B8CCE4" w:fill="B8CCE4"/>
            <w:noWrap/>
            <w:vAlign w:val="bottom"/>
            <w:hideMark/>
          </w:tcPr>
          <w:p w14:paraId="71A06E2D" w14:textId="77777777" w:rsidR="006D6D90" w:rsidRPr="006D6D90" w:rsidRDefault="006D6D90" w:rsidP="006D6D90">
            <w:pPr>
              <w:widowControl/>
              <w:rPr>
                <w:rFonts w:ascii="Calibri" w:hAnsi="Calibri" w:cs="Calibri"/>
                <w:color w:val="000000"/>
                <w:sz w:val="24"/>
                <w:szCs w:val="24"/>
              </w:rPr>
            </w:pPr>
            <w:r w:rsidRPr="006D6D90">
              <w:rPr>
                <w:rFonts w:ascii="Calibri" w:hAnsi="Calibri" w:cs="Calibri"/>
                <w:color w:val="000000"/>
                <w:sz w:val="24"/>
                <w:szCs w:val="24"/>
              </w:rPr>
              <w:t>Bratislava - mestská časť Jarovce</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32AFB59A"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2 706</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19D69529"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1 358</w:t>
            </w:r>
          </w:p>
        </w:tc>
        <w:tc>
          <w:tcPr>
            <w:tcW w:w="851"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582512EB"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50,18</w:t>
            </w:r>
          </w:p>
        </w:tc>
        <w:tc>
          <w:tcPr>
            <w:tcW w:w="1050"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2153B716"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1 348</w:t>
            </w:r>
          </w:p>
        </w:tc>
        <w:tc>
          <w:tcPr>
            <w:tcW w:w="880" w:type="dxa"/>
            <w:tcBorders>
              <w:top w:val="single" w:sz="4" w:space="0" w:color="FFFFFF"/>
              <w:left w:val="single" w:sz="4" w:space="0" w:color="FFFFFF"/>
              <w:bottom w:val="single" w:sz="4" w:space="0" w:color="FFFFFF"/>
              <w:right w:val="nil"/>
            </w:tcBorders>
            <w:shd w:val="clear" w:color="B8CCE4" w:fill="B8CCE4"/>
            <w:noWrap/>
            <w:vAlign w:val="center"/>
            <w:hideMark/>
          </w:tcPr>
          <w:p w14:paraId="23A3882F"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49,82</w:t>
            </w:r>
          </w:p>
        </w:tc>
      </w:tr>
      <w:tr w:rsidR="006D6D90" w:rsidRPr="006D6D90" w14:paraId="4D504EE5" w14:textId="77777777" w:rsidTr="006D6D90">
        <w:trPr>
          <w:trHeight w:val="315"/>
        </w:trPr>
        <w:tc>
          <w:tcPr>
            <w:tcW w:w="4253" w:type="dxa"/>
            <w:tcBorders>
              <w:top w:val="single" w:sz="4" w:space="0" w:color="FFFFFF"/>
              <w:left w:val="nil"/>
              <w:bottom w:val="single" w:sz="4" w:space="0" w:color="FFFFFF"/>
              <w:right w:val="single" w:sz="4" w:space="0" w:color="FFFFFF"/>
            </w:tcBorders>
            <w:shd w:val="clear" w:color="DCE6F1" w:fill="DCE6F1"/>
            <w:noWrap/>
            <w:vAlign w:val="bottom"/>
            <w:hideMark/>
          </w:tcPr>
          <w:p w14:paraId="0E77FF16" w14:textId="77777777" w:rsidR="006D6D90" w:rsidRPr="006D6D90" w:rsidRDefault="006D6D90" w:rsidP="006D6D90">
            <w:pPr>
              <w:widowControl/>
              <w:rPr>
                <w:rFonts w:ascii="Calibri" w:hAnsi="Calibri" w:cs="Calibri"/>
                <w:color w:val="000000"/>
                <w:sz w:val="24"/>
                <w:szCs w:val="24"/>
              </w:rPr>
            </w:pPr>
            <w:r w:rsidRPr="006D6D90">
              <w:rPr>
                <w:rFonts w:ascii="Calibri" w:hAnsi="Calibri" w:cs="Calibri"/>
                <w:color w:val="000000"/>
                <w:sz w:val="24"/>
                <w:szCs w:val="24"/>
              </w:rPr>
              <w:t>Bratislava - mestská časť Devín</w:t>
            </w:r>
          </w:p>
        </w:tc>
        <w:tc>
          <w:tcPr>
            <w:tcW w:w="992"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2C81B50D"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1 912</w:t>
            </w:r>
          </w:p>
        </w:tc>
        <w:tc>
          <w:tcPr>
            <w:tcW w:w="992"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070B8732"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950</w:t>
            </w:r>
          </w:p>
        </w:tc>
        <w:tc>
          <w:tcPr>
            <w:tcW w:w="851"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604E49FA"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49,69</w:t>
            </w:r>
          </w:p>
        </w:tc>
        <w:tc>
          <w:tcPr>
            <w:tcW w:w="1050" w:type="dxa"/>
            <w:tcBorders>
              <w:top w:val="single" w:sz="4" w:space="0" w:color="FFFFFF"/>
              <w:left w:val="single" w:sz="4" w:space="0" w:color="FFFFFF"/>
              <w:bottom w:val="single" w:sz="4" w:space="0" w:color="FFFFFF"/>
              <w:right w:val="single" w:sz="4" w:space="0" w:color="FFFFFF"/>
            </w:tcBorders>
            <w:shd w:val="clear" w:color="DCE6F1" w:fill="DCE6F1"/>
            <w:noWrap/>
            <w:vAlign w:val="center"/>
            <w:hideMark/>
          </w:tcPr>
          <w:p w14:paraId="3678DA3B"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962</w:t>
            </w:r>
          </w:p>
        </w:tc>
        <w:tc>
          <w:tcPr>
            <w:tcW w:w="880" w:type="dxa"/>
            <w:tcBorders>
              <w:top w:val="single" w:sz="4" w:space="0" w:color="FFFFFF"/>
              <w:left w:val="single" w:sz="4" w:space="0" w:color="FFFFFF"/>
              <w:bottom w:val="single" w:sz="4" w:space="0" w:color="FFFFFF"/>
              <w:right w:val="nil"/>
            </w:tcBorders>
            <w:shd w:val="clear" w:color="DCE6F1" w:fill="DCE6F1"/>
            <w:noWrap/>
            <w:vAlign w:val="center"/>
            <w:hideMark/>
          </w:tcPr>
          <w:p w14:paraId="5558DE2D"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50,31</w:t>
            </w:r>
          </w:p>
        </w:tc>
      </w:tr>
      <w:tr w:rsidR="006D6D90" w:rsidRPr="006D6D90" w14:paraId="1F5DB933" w14:textId="77777777" w:rsidTr="006D6D90">
        <w:trPr>
          <w:trHeight w:val="315"/>
        </w:trPr>
        <w:tc>
          <w:tcPr>
            <w:tcW w:w="4253" w:type="dxa"/>
            <w:tcBorders>
              <w:top w:val="single" w:sz="4" w:space="0" w:color="FFFFFF"/>
              <w:left w:val="nil"/>
              <w:bottom w:val="single" w:sz="4" w:space="0" w:color="FFFFFF"/>
              <w:right w:val="single" w:sz="4" w:space="0" w:color="FFFFFF"/>
            </w:tcBorders>
            <w:shd w:val="clear" w:color="B8CCE4" w:fill="B8CCE4"/>
            <w:noWrap/>
            <w:vAlign w:val="bottom"/>
            <w:hideMark/>
          </w:tcPr>
          <w:p w14:paraId="1CEF8C46" w14:textId="77777777" w:rsidR="006D6D90" w:rsidRPr="006D6D90" w:rsidRDefault="006D6D90" w:rsidP="006D6D90">
            <w:pPr>
              <w:widowControl/>
              <w:rPr>
                <w:rFonts w:ascii="Calibri" w:hAnsi="Calibri" w:cs="Calibri"/>
                <w:color w:val="000000"/>
                <w:sz w:val="24"/>
                <w:szCs w:val="24"/>
              </w:rPr>
            </w:pPr>
            <w:r w:rsidRPr="006D6D90">
              <w:rPr>
                <w:rFonts w:ascii="Calibri" w:hAnsi="Calibri" w:cs="Calibri"/>
                <w:color w:val="000000"/>
                <w:sz w:val="24"/>
                <w:szCs w:val="24"/>
              </w:rPr>
              <w:t>Bratislava - mestská časť Čunovo</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2CE50E2E"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1 635</w:t>
            </w:r>
          </w:p>
        </w:tc>
        <w:tc>
          <w:tcPr>
            <w:tcW w:w="992"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6A5DCFC1"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836</w:t>
            </w:r>
          </w:p>
        </w:tc>
        <w:tc>
          <w:tcPr>
            <w:tcW w:w="851"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2BF7FF2C"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51,13</w:t>
            </w:r>
          </w:p>
        </w:tc>
        <w:tc>
          <w:tcPr>
            <w:tcW w:w="1050" w:type="dxa"/>
            <w:tcBorders>
              <w:top w:val="single" w:sz="4" w:space="0" w:color="FFFFFF"/>
              <w:left w:val="single" w:sz="4" w:space="0" w:color="FFFFFF"/>
              <w:bottom w:val="single" w:sz="4" w:space="0" w:color="FFFFFF"/>
              <w:right w:val="single" w:sz="4" w:space="0" w:color="FFFFFF"/>
            </w:tcBorders>
            <w:shd w:val="clear" w:color="B8CCE4" w:fill="B8CCE4"/>
            <w:noWrap/>
            <w:vAlign w:val="center"/>
            <w:hideMark/>
          </w:tcPr>
          <w:p w14:paraId="64050F94"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799</w:t>
            </w:r>
          </w:p>
        </w:tc>
        <w:tc>
          <w:tcPr>
            <w:tcW w:w="880" w:type="dxa"/>
            <w:tcBorders>
              <w:top w:val="single" w:sz="4" w:space="0" w:color="FFFFFF"/>
              <w:left w:val="single" w:sz="4" w:space="0" w:color="FFFFFF"/>
              <w:bottom w:val="single" w:sz="4" w:space="0" w:color="FFFFFF"/>
              <w:right w:val="nil"/>
            </w:tcBorders>
            <w:shd w:val="clear" w:color="B8CCE4" w:fill="B8CCE4"/>
            <w:noWrap/>
            <w:vAlign w:val="center"/>
            <w:hideMark/>
          </w:tcPr>
          <w:p w14:paraId="31337D61" w14:textId="77777777" w:rsidR="006D6D90" w:rsidRPr="006D6D90" w:rsidRDefault="006D6D90" w:rsidP="006D6D90">
            <w:pPr>
              <w:widowControl/>
              <w:jc w:val="center"/>
              <w:rPr>
                <w:rFonts w:ascii="Calibri" w:hAnsi="Calibri" w:cs="Calibri"/>
                <w:color w:val="000000"/>
                <w:sz w:val="24"/>
                <w:szCs w:val="24"/>
              </w:rPr>
            </w:pPr>
            <w:r w:rsidRPr="006D6D90">
              <w:rPr>
                <w:rFonts w:ascii="Calibri" w:hAnsi="Calibri" w:cs="Calibri"/>
                <w:color w:val="000000"/>
                <w:sz w:val="24"/>
                <w:szCs w:val="24"/>
              </w:rPr>
              <w:t>48,87</w:t>
            </w:r>
          </w:p>
        </w:tc>
      </w:tr>
      <w:tr w:rsidR="006D6D90" w:rsidRPr="006D6D90" w14:paraId="392DDE6D" w14:textId="77777777" w:rsidTr="006D6D90">
        <w:trPr>
          <w:trHeight w:val="420"/>
        </w:trPr>
        <w:tc>
          <w:tcPr>
            <w:tcW w:w="4253" w:type="dxa"/>
            <w:tcBorders>
              <w:top w:val="single" w:sz="4" w:space="0" w:color="FFFFFF"/>
              <w:left w:val="nil"/>
              <w:bottom w:val="single" w:sz="4" w:space="0" w:color="FFFFFF"/>
              <w:right w:val="single" w:sz="4" w:space="0" w:color="FFFFFF"/>
            </w:tcBorders>
            <w:shd w:val="clear" w:color="000000" w:fill="0070C0"/>
            <w:noWrap/>
            <w:vAlign w:val="center"/>
            <w:hideMark/>
          </w:tcPr>
          <w:p w14:paraId="69968D86" w14:textId="77777777" w:rsidR="006D6D90" w:rsidRPr="006D6D90" w:rsidRDefault="006D6D90" w:rsidP="006D6D90">
            <w:pPr>
              <w:widowControl/>
              <w:jc w:val="center"/>
              <w:rPr>
                <w:rFonts w:ascii="Calibri" w:hAnsi="Calibri" w:cs="Calibri"/>
                <w:b/>
                <w:bCs/>
                <w:color w:val="FFFFFF"/>
                <w:sz w:val="24"/>
                <w:szCs w:val="24"/>
              </w:rPr>
            </w:pPr>
            <w:r w:rsidRPr="006D6D90">
              <w:rPr>
                <w:rFonts w:ascii="Calibri" w:hAnsi="Calibri" w:cs="Calibri"/>
                <w:b/>
                <w:bCs/>
                <w:color w:val="FFFFFF"/>
                <w:sz w:val="24"/>
                <w:szCs w:val="24"/>
              </w:rPr>
              <w:t>Spolu</w:t>
            </w:r>
          </w:p>
        </w:tc>
        <w:tc>
          <w:tcPr>
            <w:tcW w:w="992" w:type="dxa"/>
            <w:tcBorders>
              <w:top w:val="single" w:sz="4" w:space="0" w:color="FFFFFF"/>
              <w:left w:val="single" w:sz="4" w:space="0" w:color="FFFFFF"/>
              <w:bottom w:val="single" w:sz="4" w:space="0" w:color="FFFFFF"/>
              <w:right w:val="single" w:sz="4" w:space="0" w:color="FFFFFF"/>
            </w:tcBorders>
            <w:shd w:val="clear" w:color="000000" w:fill="0070C0"/>
            <w:noWrap/>
            <w:vAlign w:val="center"/>
            <w:hideMark/>
          </w:tcPr>
          <w:p w14:paraId="4FC05021" w14:textId="77777777" w:rsidR="006D6D90" w:rsidRPr="006D6D90" w:rsidRDefault="006D6D90" w:rsidP="006D6D90">
            <w:pPr>
              <w:widowControl/>
              <w:jc w:val="center"/>
              <w:rPr>
                <w:rFonts w:ascii="Calibri" w:hAnsi="Calibri" w:cs="Calibri"/>
                <w:b/>
                <w:bCs/>
                <w:color w:val="FFFFFF"/>
                <w:sz w:val="24"/>
                <w:szCs w:val="24"/>
              </w:rPr>
            </w:pPr>
            <w:r w:rsidRPr="006D6D90">
              <w:rPr>
                <w:rFonts w:ascii="Calibri" w:hAnsi="Calibri" w:cs="Calibri"/>
                <w:b/>
                <w:bCs/>
                <w:color w:val="FFFFFF"/>
                <w:sz w:val="24"/>
                <w:szCs w:val="24"/>
              </w:rPr>
              <w:t>475 503</w:t>
            </w:r>
          </w:p>
        </w:tc>
        <w:tc>
          <w:tcPr>
            <w:tcW w:w="992" w:type="dxa"/>
            <w:tcBorders>
              <w:top w:val="single" w:sz="4" w:space="0" w:color="FFFFFF"/>
              <w:left w:val="single" w:sz="4" w:space="0" w:color="FFFFFF"/>
              <w:bottom w:val="single" w:sz="4" w:space="0" w:color="FFFFFF"/>
              <w:right w:val="single" w:sz="4" w:space="0" w:color="FFFFFF"/>
            </w:tcBorders>
            <w:shd w:val="clear" w:color="000000" w:fill="0070C0"/>
            <w:noWrap/>
            <w:vAlign w:val="center"/>
            <w:hideMark/>
          </w:tcPr>
          <w:p w14:paraId="1FCEE4E5" w14:textId="77777777" w:rsidR="006D6D90" w:rsidRPr="006D6D90" w:rsidRDefault="006D6D90" w:rsidP="006D6D90">
            <w:pPr>
              <w:widowControl/>
              <w:jc w:val="center"/>
              <w:rPr>
                <w:rFonts w:ascii="Calibri" w:hAnsi="Calibri" w:cs="Calibri"/>
                <w:b/>
                <w:bCs/>
                <w:color w:val="FFFFFF"/>
                <w:sz w:val="24"/>
                <w:szCs w:val="24"/>
              </w:rPr>
            </w:pPr>
            <w:r w:rsidRPr="006D6D90">
              <w:rPr>
                <w:rFonts w:ascii="Calibri" w:hAnsi="Calibri" w:cs="Calibri"/>
                <w:b/>
                <w:bCs/>
                <w:color w:val="FFFFFF"/>
                <w:sz w:val="24"/>
                <w:szCs w:val="24"/>
              </w:rPr>
              <w:t>227 225</w:t>
            </w:r>
          </w:p>
        </w:tc>
        <w:tc>
          <w:tcPr>
            <w:tcW w:w="851" w:type="dxa"/>
            <w:tcBorders>
              <w:top w:val="single" w:sz="4" w:space="0" w:color="FFFFFF"/>
              <w:left w:val="single" w:sz="4" w:space="0" w:color="FFFFFF"/>
              <w:bottom w:val="single" w:sz="4" w:space="0" w:color="FFFFFF"/>
              <w:right w:val="single" w:sz="4" w:space="0" w:color="FFFFFF"/>
            </w:tcBorders>
            <w:shd w:val="clear" w:color="000000" w:fill="0070C0"/>
            <w:noWrap/>
            <w:vAlign w:val="center"/>
            <w:hideMark/>
          </w:tcPr>
          <w:p w14:paraId="5F2FF60A" w14:textId="77777777" w:rsidR="006D6D90" w:rsidRPr="006D6D90" w:rsidRDefault="006D6D90" w:rsidP="006D6D90">
            <w:pPr>
              <w:widowControl/>
              <w:jc w:val="center"/>
              <w:rPr>
                <w:rFonts w:ascii="Calibri" w:hAnsi="Calibri" w:cs="Calibri"/>
                <w:b/>
                <w:bCs/>
                <w:color w:val="FFFFFF"/>
                <w:sz w:val="24"/>
                <w:szCs w:val="24"/>
              </w:rPr>
            </w:pPr>
            <w:r w:rsidRPr="006D6D90">
              <w:rPr>
                <w:rFonts w:ascii="Calibri" w:hAnsi="Calibri" w:cs="Calibri"/>
                <w:b/>
                <w:bCs/>
                <w:color w:val="FFFFFF"/>
                <w:sz w:val="24"/>
                <w:szCs w:val="24"/>
              </w:rPr>
              <w:t> </w:t>
            </w:r>
          </w:p>
        </w:tc>
        <w:tc>
          <w:tcPr>
            <w:tcW w:w="1050" w:type="dxa"/>
            <w:tcBorders>
              <w:top w:val="single" w:sz="4" w:space="0" w:color="FFFFFF"/>
              <w:left w:val="single" w:sz="4" w:space="0" w:color="FFFFFF"/>
              <w:bottom w:val="single" w:sz="4" w:space="0" w:color="FFFFFF"/>
              <w:right w:val="single" w:sz="4" w:space="0" w:color="FFFFFF"/>
            </w:tcBorders>
            <w:shd w:val="clear" w:color="000000" w:fill="0070C0"/>
            <w:noWrap/>
            <w:vAlign w:val="center"/>
            <w:hideMark/>
          </w:tcPr>
          <w:p w14:paraId="4DFEB719" w14:textId="77777777" w:rsidR="006D6D90" w:rsidRPr="006D6D90" w:rsidRDefault="006D6D90" w:rsidP="006D6D90">
            <w:pPr>
              <w:widowControl/>
              <w:jc w:val="center"/>
              <w:rPr>
                <w:rFonts w:ascii="Calibri" w:hAnsi="Calibri" w:cs="Calibri"/>
                <w:b/>
                <w:bCs/>
                <w:color w:val="FFFFFF"/>
                <w:sz w:val="24"/>
                <w:szCs w:val="24"/>
              </w:rPr>
            </w:pPr>
            <w:r w:rsidRPr="006D6D90">
              <w:rPr>
                <w:rFonts w:ascii="Calibri" w:hAnsi="Calibri" w:cs="Calibri"/>
                <w:b/>
                <w:bCs/>
                <w:color w:val="FFFFFF"/>
                <w:sz w:val="24"/>
                <w:szCs w:val="24"/>
              </w:rPr>
              <w:t>248 278</w:t>
            </w:r>
          </w:p>
        </w:tc>
        <w:tc>
          <w:tcPr>
            <w:tcW w:w="880" w:type="dxa"/>
            <w:tcBorders>
              <w:top w:val="single" w:sz="4" w:space="0" w:color="FFFFFF"/>
              <w:left w:val="single" w:sz="4" w:space="0" w:color="FFFFFF"/>
              <w:bottom w:val="single" w:sz="4" w:space="0" w:color="FFFFFF"/>
              <w:right w:val="nil"/>
            </w:tcBorders>
            <w:shd w:val="clear" w:color="000000" w:fill="0070C0"/>
            <w:noWrap/>
            <w:vAlign w:val="center"/>
            <w:hideMark/>
          </w:tcPr>
          <w:p w14:paraId="3FC30F47" w14:textId="77777777" w:rsidR="006D6D90" w:rsidRPr="006D6D90" w:rsidRDefault="006D6D90" w:rsidP="006D6D90">
            <w:pPr>
              <w:widowControl/>
              <w:jc w:val="center"/>
              <w:rPr>
                <w:rFonts w:ascii="Calibri" w:hAnsi="Calibri" w:cs="Calibri"/>
                <w:b/>
                <w:bCs/>
                <w:color w:val="FFFFFF"/>
                <w:sz w:val="24"/>
                <w:szCs w:val="24"/>
              </w:rPr>
            </w:pPr>
            <w:r w:rsidRPr="006D6D90">
              <w:rPr>
                <w:rFonts w:ascii="Calibri" w:hAnsi="Calibri" w:cs="Calibri"/>
                <w:b/>
                <w:bCs/>
                <w:color w:val="FFFFFF"/>
                <w:sz w:val="24"/>
                <w:szCs w:val="24"/>
              </w:rPr>
              <w:t> </w:t>
            </w:r>
          </w:p>
        </w:tc>
      </w:tr>
    </w:tbl>
    <w:p w14:paraId="59DD3F46" w14:textId="639A1ADF" w:rsidR="00B05E7A" w:rsidRPr="00D3406C" w:rsidRDefault="00BD0F36" w:rsidP="00DB751A">
      <w:pPr>
        <w:pStyle w:val="A-Text11"/>
        <w:spacing w:after="120"/>
        <w:ind w:firstLine="0"/>
        <w:jc w:val="center"/>
        <w:rPr>
          <w:sz w:val="18"/>
          <w:szCs w:val="18"/>
        </w:rPr>
      </w:pPr>
      <w:r w:rsidRPr="00D3406C">
        <w:rPr>
          <w:sz w:val="18"/>
          <w:szCs w:val="18"/>
        </w:rPr>
        <w:t xml:space="preserve">Zdroj: </w:t>
      </w:r>
      <w:r w:rsidR="00D3406C">
        <w:rPr>
          <w:sz w:val="18"/>
          <w:szCs w:val="18"/>
        </w:rPr>
        <w:t xml:space="preserve">Štatistický úrad SR, </w:t>
      </w:r>
      <w:r w:rsidRPr="00D3406C">
        <w:rPr>
          <w:sz w:val="18"/>
          <w:szCs w:val="18"/>
        </w:rPr>
        <w:t>scitanie.sk</w:t>
      </w:r>
    </w:p>
    <w:p w14:paraId="53DCF666" w14:textId="5EE57953" w:rsidR="00B05E7A" w:rsidRDefault="00B05E7A" w:rsidP="007245A6">
      <w:pPr>
        <w:spacing w:before="120"/>
        <w:jc w:val="both"/>
        <w:rPr>
          <w:rFonts w:ascii="Arial" w:hAnsi="Arial" w:cs="Arial"/>
          <w:sz w:val="22"/>
          <w:szCs w:val="22"/>
        </w:rPr>
      </w:pPr>
    </w:p>
    <w:p w14:paraId="1024EA27" w14:textId="407B8801" w:rsidR="007245A6" w:rsidRDefault="009D6510" w:rsidP="007245A6">
      <w:pPr>
        <w:jc w:val="both"/>
        <w:rPr>
          <w:rFonts w:ascii="Arial" w:hAnsi="Arial" w:cs="Arial"/>
          <w:color w:val="0070C0"/>
          <w:sz w:val="22"/>
          <w:szCs w:val="22"/>
        </w:rPr>
      </w:pPr>
      <w:r w:rsidRPr="003B73C6">
        <w:rPr>
          <w:rFonts w:ascii="Arial" w:hAnsi="Arial" w:cs="Arial"/>
          <w:noProof/>
          <w:color w:val="0070C0"/>
          <w:sz w:val="22"/>
          <w:szCs w:val="22"/>
        </w:rPr>
        <w:drawing>
          <wp:inline distT="0" distB="0" distL="0" distR="0" wp14:anchorId="4207451D" wp14:editId="234C25B8">
            <wp:extent cx="5667375" cy="1748707"/>
            <wp:effectExtent l="0" t="0" r="0" b="4445"/>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t="10982" b="5727"/>
                    <a:stretch>
                      <a:fillRect/>
                    </a:stretch>
                  </pic:blipFill>
                  <pic:spPr bwMode="auto">
                    <a:xfrm>
                      <a:off x="0" y="0"/>
                      <a:ext cx="5685724" cy="1754369"/>
                    </a:xfrm>
                    <a:prstGeom prst="rect">
                      <a:avLst/>
                    </a:prstGeom>
                    <a:noFill/>
                    <a:ln>
                      <a:noFill/>
                    </a:ln>
                  </pic:spPr>
                </pic:pic>
              </a:graphicData>
            </a:graphic>
          </wp:inline>
        </w:drawing>
      </w:r>
    </w:p>
    <w:p w14:paraId="27421AF0" w14:textId="71D7B6FD" w:rsidR="0072324E" w:rsidRPr="0072324E" w:rsidRDefault="0072324E" w:rsidP="0072324E">
      <w:pPr>
        <w:jc w:val="center"/>
        <w:rPr>
          <w:rFonts w:ascii="Arial" w:hAnsi="Arial" w:cs="Arial"/>
          <w:i/>
          <w:iCs/>
          <w:sz w:val="18"/>
          <w:szCs w:val="18"/>
        </w:rPr>
      </w:pPr>
      <w:r w:rsidRPr="0072324E">
        <w:rPr>
          <w:rFonts w:ascii="Arial" w:hAnsi="Arial" w:cs="Arial"/>
          <w:i/>
          <w:iCs/>
          <w:sz w:val="18"/>
          <w:szCs w:val="18"/>
        </w:rPr>
        <w:t>Obr.</w:t>
      </w:r>
      <w:r w:rsidR="00505A21">
        <w:rPr>
          <w:rFonts w:ascii="Arial" w:hAnsi="Arial" w:cs="Arial"/>
          <w:i/>
          <w:iCs/>
          <w:sz w:val="18"/>
          <w:szCs w:val="18"/>
        </w:rPr>
        <w:t xml:space="preserve"> </w:t>
      </w:r>
      <w:r w:rsidRPr="0072324E">
        <w:rPr>
          <w:rFonts w:ascii="Arial" w:hAnsi="Arial" w:cs="Arial"/>
          <w:i/>
          <w:iCs/>
          <w:sz w:val="18"/>
          <w:szCs w:val="18"/>
        </w:rPr>
        <w:t>č. III.3.1.1 Vývoj počtu žien v reprodukčnom veku (15-49 r.) v Bratislave a jej obvodoch v rokoch 1996-2015</w:t>
      </w:r>
    </w:p>
    <w:p w14:paraId="73379F40" w14:textId="77777777" w:rsidR="007245A6" w:rsidRPr="00AF70AA" w:rsidRDefault="007245A6" w:rsidP="0072324E">
      <w:pPr>
        <w:spacing w:before="120"/>
        <w:jc w:val="center"/>
        <w:rPr>
          <w:rFonts w:ascii="Arial" w:hAnsi="Arial" w:cs="Arial"/>
          <w:i/>
          <w:iCs/>
          <w:sz w:val="18"/>
          <w:szCs w:val="18"/>
        </w:rPr>
      </w:pPr>
      <w:r w:rsidRPr="00AF70AA">
        <w:rPr>
          <w:rFonts w:ascii="Arial" w:hAnsi="Arial" w:cs="Arial"/>
          <w:i/>
          <w:iCs/>
          <w:sz w:val="18"/>
          <w:szCs w:val="18"/>
        </w:rPr>
        <w:t>Zdroj údajov: ŠÚ SR, INFOSTAT: Štúdia demografického potenciálu hlavného mesta Slovenskej republiky Bratislavy do roku 2050</w:t>
      </w:r>
    </w:p>
    <w:p w14:paraId="71C3C8CD" w14:textId="77777777" w:rsidR="007245A6" w:rsidRPr="00AF70AA" w:rsidRDefault="007245A6" w:rsidP="0072324E">
      <w:pPr>
        <w:pStyle w:val="A-Text11"/>
      </w:pPr>
      <w:r w:rsidRPr="00AF70AA">
        <w:t xml:space="preserve">Kým v druhej polovici 90. rokov deti do 15 rokov tvorili viac ako 18 %, na začiatku 21. storočia to už bolo len približne 12 %. Jednoznačne najviac sa situácia zmenila v piatom a čiastočne aj vo štvrtom mestskom okrese. Tieto ešte v polovici 90. rokov patrili k obvodom s najvyšším podielom predreprodukčnej zložky. Dramatický prepad až k hranici 10 % (okres B5) </w:t>
      </w:r>
      <w:r w:rsidRPr="00AF70AA">
        <w:lastRenderedPageBreak/>
        <w:t xml:space="preserve">spôsobil, že v súčasnosti ide o okres s najnižším podielom detí nielen v samotnej Bratislave, ale na Slovensku vôbec. </w:t>
      </w:r>
    </w:p>
    <w:p w14:paraId="7EFB6757" w14:textId="1B920A36" w:rsidR="007245A6" w:rsidRPr="00AF70AA" w:rsidRDefault="007245A6" w:rsidP="0072324E">
      <w:pPr>
        <w:pStyle w:val="A-Text11"/>
      </w:pPr>
      <w:r w:rsidRPr="00AF70AA">
        <w:t>Opačný vývoj je v prípade produktívnej zložky populácie Bratislavy a jej jednotlivých mestských okresov. Jej podiel najmä vďaka poklesu počtu a podielu detí pomerne výrazne rástol. Maximálnu úroveň pritom dosiahol v piatom mestskom okrese, kde viac ako tri štvrtiny z celej miestnej populácie tvorili práve osoby vo veku 20-64 rokov.</w:t>
      </w:r>
    </w:p>
    <w:p w14:paraId="7613B4A5" w14:textId="77777777" w:rsidR="0083641C" w:rsidRPr="00AF70AA" w:rsidRDefault="0083641C" w:rsidP="0072324E">
      <w:pPr>
        <w:pStyle w:val="A-Text11"/>
      </w:pPr>
      <w:r w:rsidRPr="00AF70AA">
        <w:t>Seniorská zložka v Bratislave má dlhodobo mierne rastúci trend, pričom jej váha je stabilne o niečo vyššia ako v celej populácii Slovenska. Za posledných 20 rokov síce nedošlo k tak výrazným zmenám ako v predchádzajúcich vekových skupinách (nárast z necelých 12 na takmer 17 %), no posledné obdobie potvrdzuje zvyšujúcu sa dynamiku tohto procesu.</w:t>
      </w:r>
    </w:p>
    <w:p w14:paraId="6D061440" w14:textId="0172D293" w:rsidR="0083641C" w:rsidRPr="00AF70AA" w:rsidRDefault="0083641C" w:rsidP="0043457D">
      <w:pPr>
        <w:pStyle w:val="A-Text11"/>
        <w:spacing w:after="120"/>
        <w:ind w:firstLine="425"/>
      </w:pPr>
      <w:r w:rsidRPr="00AF70AA">
        <w:t>Vzhľadom na skutočnosť, že do veku 65 a viac rokov už začínajú sa dostávať veľmi početné kohorty osôb narodených v 50. rokoch, je možné očakávať ďalšie pomerne výrazné zvyšovanie podielu seniorskej zložky.</w:t>
      </w:r>
    </w:p>
    <w:p w14:paraId="7820FE0C" w14:textId="609A571C" w:rsidR="007245A6" w:rsidRDefault="009D6510" w:rsidP="007245A6">
      <w:pPr>
        <w:jc w:val="both"/>
        <w:rPr>
          <w:rFonts w:ascii="Arial" w:hAnsi="Arial" w:cs="Arial"/>
          <w:sz w:val="22"/>
          <w:szCs w:val="22"/>
        </w:rPr>
      </w:pPr>
      <w:r w:rsidRPr="00AF70AA">
        <w:rPr>
          <w:rFonts w:ascii="Arial" w:hAnsi="Arial" w:cs="Arial"/>
          <w:noProof/>
          <w:sz w:val="22"/>
          <w:szCs w:val="22"/>
        </w:rPr>
        <w:drawing>
          <wp:inline distT="0" distB="0" distL="0" distR="0" wp14:anchorId="565E8F5A" wp14:editId="1616C51F">
            <wp:extent cx="5762625" cy="2477135"/>
            <wp:effectExtent l="0" t="0" r="0" b="0"/>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b="6834"/>
                    <a:stretch>
                      <a:fillRect/>
                    </a:stretch>
                  </pic:blipFill>
                  <pic:spPr bwMode="auto">
                    <a:xfrm>
                      <a:off x="0" y="0"/>
                      <a:ext cx="5762625" cy="2477135"/>
                    </a:xfrm>
                    <a:prstGeom prst="rect">
                      <a:avLst/>
                    </a:prstGeom>
                    <a:noFill/>
                    <a:ln>
                      <a:noFill/>
                    </a:ln>
                  </pic:spPr>
                </pic:pic>
              </a:graphicData>
            </a:graphic>
          </wp:inline>
        </w:drawing>
      </w:r>
    </w:p>
    <w:p w14:paraId="24BF08E6" w14:textId="5F64ED09" w:rsidR="007245A6" w:rsidRPr="00AF70AA" w:rsidRDefault="0072324E" w:rsidP="004E2D2A">
      <w:pPr>
        <w:jc w:val="center"/>
        <w:rPr>
          <w:rFonts w:ascii="Arial" w:hAnsi="Arial" w:cs="Arial"/>
          <w:i/>
          <w:iCs/>
          <w:sz w:val="18"/>
          <w:szCs w:val="18"/>
        </w:rPr>
      </w:pPr>
      <w:r w:rsidRPr="0072324E">
        <w:rPr>
          <w:rFonts w:ascii="Arial" w:hAnsi="Arial" w:cs="Arial"/>
          <w:i/>
          <w:iCs/>
          <w:sz w:val="18"/>
          <w:szCs w:val="18"/>
        </w:rPr>
        <w:t>Obr. č. III.3.1.2 Vývoj podielu osôb vo veku 0-14 rokov v Bratislave, jej obvodoch a na Slovensku v rokoch 1996-2015</w:t>
      </w:r>
      <w:r w:rsidR="004E2D2A">
        <w:rPr>
          <w:rFonts w:ascii="Arial" w:hAnsi="Arial" w:cs="Arial"/>
          <w:i/>
          <w:iCs/>
          <w:sz w:val="18"/>
          <w:szCs w:val="18"/>
        </w:rPr>
        <w:t xml:space="preserve">  </w:t>
      </w:r>
      <w:r w:rsidR="007245A6" w:rsidRPr="00AF70AA">
        <w:rPr>
          <w:rFonts w:ascii="Arial" w:hAnsi="Arial" w:cs="Arial"/>
          <w:i/>
          <w:iCs/>
          <w:sz w:val="18"/>
          <w:szCs w:val="18"/>
        </w:rPr>
        <w:t>Zdroj údajov: ŠÚ SR, INFOSTAT: Štúdia demografického potenciálu hlavného mesta Slovenskej republiky Bratislavy do roku 2050</w:t>
      </w:r>
    </w:p>
    <w:p w14:paraId="0477DF63" w14:textId="77777777" w:rsidR="00C10F5F" w:rsidRDefault="00C10F5F" w:rsidP="007245A6">
      <w:pPr>
        <w:spacing w:before="120"/>
        <w:jc w:val="both"/>
        <w:rPr>
          <w:rFonts w:ascii="Arial" w:hAnsi="Arial" w:cs="Arial"/>
          <w:sz w:val="22"/>
          <w:szCs w:val="22"/>
        </w:rPr>
      </w:pPr>
    </w:p>
    <w:p w14:paraId="4A568011" w14:textId="1FE6BE71" w:rsidR="007245A6" w:rsidRDefault="009D6510" w:rsidP="007245A6">
      <w:pPr>
        <w:jc w:val="both"/>
        <w:rPr>
          <w:rFonts w:ascii="Arial" w:hAnsi="Arial" w:cs="Arial"/>
          <w:color w:val="FF0000"/>
          <w:sz w:val="22"/>
          <w:szCs w:val="22"/>
        </w:rPr>
      </w:pPr>
      <w:r w:rsidRPr="004A7717">
        <w:rPr>
          <w:rFonts w:ascii="Arial" w:hAnsi="Arial" w:cs="Arial"/>
          <w:noProof/>
          <w:color w:val="FF0000"/>
          <w:sz w:val="22"/>
          <w:szCs w:val="22"/>
        </w:rPr>
        <w:drawing>
          <wp:inline distT="0" distB="0" distL="0" distR="0" wp14:anchorId="74028D1F" wp14:editId="324110AB">
            <wp:extent cx="5761867" cy="2424119"/>
            <wp:effectExtent l="0" t="0" r="0" b="0"/>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6">
                      <a:extLst>
                        <a:ext uri="{28A0092B-C50C-407E-A947-70E740481C1C}">
                          <a14:useLocalDpi xmlns:a14="http://schemas.microsoft.com/office/drawing/2010/main" val="0"/>
                        </a:ext>
                      </a:extLst>
                    </a:blip>
                    <a:srcRect b="6525"/>
                    <a:stretch/>
                  </pic:blipFill>
                  <pic:spPr bwMode="auto">
                    <a:xfrm>
                      <a:off x="0" y="0"/>
                      <a:ext cx="5762625" cy="2424438"/>
                    </a:xfrm>
                    <a:prstGeom prst="rect">
                      <a:avLst/>
                    </a:prstGeom>
                    <a:noFill/>
                    <a:ln>
                      <a:noFill/>
                    </a:ln>
                    <a:extLst>
                      <a:ext uri="{53640926-AAD7-44D8-BBD7-CCE9431645EC}">
                        <a14:shadowObscured xmlns:a14="http://schemas.microsoft.com/office/drawing/2010/main"/>
                      </a:ext>
                    </a:extLst>
                  </pic:spPr>
                </pic:pic>
              </a:graphicData>
            </a:graphic>
          </wp:inline>
        </w:drawing>
      </w:r>
    </w:p>
    <w:p w14:paraId="7224ADC5" w14:textId="13C76970" w:rsidR="0072324E" w:rsidRPr="0072324E" w:rsidRDefault="0072324E" w:rsidP="0072324E">
      <w:pPr>
        <w:jc w:val="center"/>
        <w:rPr>
          <w:rFonts w:ascii="Arial" w:hAnsi="Arial" w:cs="Arial"/>
          <w:i/>
          <w:iCs/>
          <w:sz w:val="18"/>
          <w:szCs w:val="18"/>
        </w:rPr>
      </w:pPr>
      <w:r w:rsidRPr="0072324E">
        <w:rPr>
          <w:rFonts w:ascii="Arial" w:hAnsi="Arial" w:cs="Arial"/>
          <w:i/>
          <w:iCs/>
          <w:sz w:val="18"/>
          <w:szCs w:val="18"/>
        </w:rPr>
        <w:t>Obr. č. III.3.1.3 Vývoj podielu osôb vo veku 65 a viac rokov v Bratislave, jej obvodoch a na Slovensku v rokoch 1996-2015</w:t>
      </w:r>
    </w:p>
    <w:p w14:paraId="737BDC1F" w14:textId="77777777" w:rsidR="007245A6" w:rsidRPr="00AF70AA" w:rsidRDefault="007245A6" w:rsidP="0072324E">
      <w:pPr>
        <w:spacing w:before="120"/>
        <w:jc w:val="center"/>
        <w:rPr>
          <w:rFonts w:ascii="Arial" w:hAnsi="Arial" w:cs="Arial"/>
          <w:i/>
          <w:iCs/>
          <w:sz w:val="18"/>
          <w:szCs w:val="18"/>
        </w:rPr>
      </w:pPr>
      <w:r w:rsidRPr="00AF70AA">
        <w:rPr>
          <w:rFonts w:ascii="Arial" w:hAnsi="Arial" w:cs="Arial"/>
          <w:i/>
          <w:iCs/>
          <w:sz w:val="18"/>
          <w:szCs w:val="18"/>
        </w:rPr>
        <w:t xml:space="preserve">Zdroj údajov: ŠÚ SR, INFOSTAT: Štúdia demografického potenciálu hlavného mesta Slovenskej republiky </w:t>
      </w:r>
      <w:r w:rsidRPr="00AF70AA">
        <w:rPr>
          <w:rFonts w:ascii="Arial" w:hAnsi="Arial" w:cs="Arial"/>
          <w:i/>
          <w:iCs/>
          <w:sz w:val="18"/>
          <w:szCs w:val="18"/>
        </w:rPr>
        <w:lastRenderedPageBreak/>
        <w:t>Bratislavy do roku 2050</w:t>
      </w:r>
    </w:p>
    <w:p w14:paraId="71B88A31" w14:textId="2A5DC30C" w:rsidR="007245A6" w:rsidRDefault="007245A6" w:rsidP="007245A6">
      <w:pPr>
        <w:spacing w:before="120"/>
        <w:jc w:val="both"/>
        <w:rPr>
          <w:rFonts w:ascii="Arial" w:hAnsi="Arial" w:cs="Arial"/>
          <w:sz w:val="22"/>
          <w:szCs w:val="22"/>
        </w:rPr>
      </w:pPr>
      <w:r w:rsidRPr="00AF70AA">
        <w:rPr>
          <w:rFonts w:ascii="Arial" w:hAnsi="Arial" w:cs="Arial"/>
          <w:sz w:val="22"/>
          <w:szCs w:val="22"/>
        </w:rPr>
        <w:t xml:space="preserve">Index starnutia dáva do pomeru počet seniorov, osôb vo veku 65 a viac rokov a detskú zložku, čiže deti do 15 rokov. Predstavuje jeden zo základných indikátorov úrovne a dynamiky starnutia sledovanej populácie. Vo všeobecnosti platí, že demograficky mladé populácie sa vyznačujú prevahou detskej zložky a opak nachádzame u demograficky starnúcich a starých populácií. Znamená to, že čím je hodnota indexu starnutia vyššia od jednej prípadne 100, tým je prevaha seniorov výraznejšia. </w:t>
      </w:r>
    </w:p>
    <w:p w14:paraId="6A105FD3" w14:textId="77777777" w:rsidR="003B62A2" w:rsidRPr="00AF70AA" w:rsidRDefault="003B62A2" w:rsidP="007245A6">
      <w:pPr>
        <w:spacing w:before="120"/>
        <w:jc w:val="both"/>
        <w:rPr>
          <w:rFonts w:ascii="Arial" w:hAnsi="Arial" w:cs="Arial"/>
          <w:sz w:val="22"/>
          <w:szCs w:val="22"/>
        </w:rPr>
      </w:pPr>
    </w:p>
    <w:p w14:paraId="69AAD509" w14:textId="77777777" w:rsidR="003B62A2" w:rsidRDefault="009D6510" w:rsidP="007245A6">
      <w:pPr>
        <w:jc w:val="both"/>
        <w:rPr>
          <w:rFonts w:ascii="Arial" w:hAnsi="Arial" w:cs="Arial"/>
          <w:sz w:val="22"/>
          <w:szCs w:val="22"/>
        </w:rPr>
      </w:pPr>
      <w:r w:rsidRPr="00AF70AA">
        <w:rPr>
          <w:rFonts w:ascii="Arial" w:hAnsi="Arial" w:cs="Arial"/>
          <w:noProof/>
          <w:sz w:val="22"/>
          <w:szCs w:val="22"/>
        </w:rPr>
        <w:drawing>
          <wp:inline distT="0" distB="0" distL="0" distR="0" wp14:anchorId="1192635E" wp14:editId="54926C38">
            <wp:extent cx="5762625" cy="2870015"/>
            <wp:effectExtent l="0" t="0" r="0" b="6985"/>
            <wp:docPr id="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b="7103"/>
                    <a:stretch>
                      <a:fillRect/>
                    </a:stretch>
                  </pic:blipFill>
                  <pic:spPr bwMode="auto">
                    <a:xfrm>
                      <a:off x="0" y="0"/>
                      <a:ext cx="5782986" cy="2880156"/>
                    </a:xfrm>
                    <a:prstGeom prst="rect">
                      <a:avLst/>
                    </a:prstGeom>
                    <a:noFill/>
                    <a:ln>
                      <a:noFill/>
                    </a:ln>
                  </pic:spPr>
                </pic:pic>
              </a:graphicData>
            </a:graphic>
          </wp:inline>
        </w:drawing>
      </w:r>
      <w:r w:rsidR="007245A6" w:rsidRPr="00AF70AA">
        <w:rPr>
          <w:rFonts w:ascii="Arial" w:hAnsi="Arial" w:cs="Arial"/>
          <w:sz w:val="22"/>
          <w:szCs w:val="22"/>
        </w:rPr>
        <w:t xml:space="preserve"> </w:t>
      </w:r>
    </w:p>
    <w:p w14:paraId="709A8E74" w14:textId="77777777" w:rsidR="003B62A2" w:rsidRPr="003B62A2" w:rsidRDefault="003B62A2" w:rsidP="003B62A2">
      <w:pPr>
        <w:jc w:val="center"/>
        <w:rPr>
          <w:rFonts w:ascii="Arial" w:hAnsi="Arial" w:cs="Arial"/>
          <w:i/>
          <w:iCs/>
          <w:sz w:val="18"/>
          <w:szCs w:val="18"/>
        </w:rPr>
      </w:pPr>
      <w:r w:rsidRPr="003B62A2">
        <w:rPr>
          <w:rFonts w:ascii="Arial" w:hAnsi="Arial" w:cs="Arial"/>
          <w:i/>
          <w:iCs/>
          <w:sz w:val="18"/>
          <w:szCs w:val="18"/>
        </w:rPr>
        <w:t>Obr. č. III.3.1.4  Index starnutia populácie Bratislavy, jej obvodov a Slovenska v rokoch 1996-2015</w:t>
      </w:r>
    </w:p>
    <w:p w14:paraId="75443EBA" w14:textId="59BB9F59" w:rsidR="007245A6" w:rsidRPr="00AF70AA" w:rsidRDefault="007245A6" w:rsidP="003B62A2">
      <w:pPr>
        <w:spacing w:before="120"/>
        <w:jc w:val="center"/>
        <w:rPr>
          <w:rFonts w:ascii="Arial" w:hAnsi="Arial" w:cs="Arial"/>
          <w:i/>
          <w:iCs/>
          <w:sz w:val="18"/>
          <w:szCs w:val="18"/>
        </w:rPr>
      </w:pPr>
      <w:r w:rsidRPr="00AF70AA">
        <w:rPr>
          <w:rFonts w:ascii="Arial" w:hAnsi="Arial" w:cs="Arial"/>
          <w:i/>
          <w:iCs/>
          <w:sz w:val="18"/>
          <w:szCs w:val="18"/>
        </w:rPr>
        <w:t>Zdroj údajov: ŠÚ SR, INFOSTAT: Štúdia demografického potenciálu hlavného mesta Slovenskej republiky Bratislavy do roku 2050</w:t>
      </w:r>
    </w:p>
    <w:p w14:paraId="3ED76181" w14:textId="113911E6" w:rsidR="007245A6" w:rsidRPr="00AF70AA" w:rsidRDefault="00903820" w:rsidP="007245A6">
      <w:pPr>
        <w:spacing w:before="120"/>
        <w:jc w:val="both"/>
        <w:rPr>
          <w:rFonts w:ascii="Arial" w:hAnsi="Arial" w:cs="Arial"/>
          <w:b/>
          <w:bCs/>
          <w:sz w:val="22"/>
          <w:szCs w:val="22"/>
        </w:rPr>
      </w:pPr>
      <w:r w:rsidRPr="00AF70AA">
        <w:rPr>
          <w:rFonts w:ascii="Arial" w:hAnsi="Arial" w:cs="Arial"/>
          <w:b/>
          <w:bCs/>
          <w:sz w:val="22"/>
          <w:szCs w:val="22"/>
        </w:rPr>
        <w:t>Zloženie obyvateľstva podľa pohlavia</w:t>
      </w:r>
    </w:p>
    <w:p w14:paraId="67C468EE" w14:textId="77777777" w:rsidR="007245A6" w:rsidRPr="00AF70AA" w:rsidRDefault="007245A6" w:rsidP="003B62A2">
      <w:pPr>
        <w:pStyle w:val="A-Text11"/>
      </w:pPr>
      <w:r w:rsidRPr="00AF70AA">
        <w:t>Z hľadiska zloženia obyvateľstva podľa pohlavia je Bratislava typickým reprezentantom mestských sídiel, kde je zastúpenie žien nadpriemerné, najmä kvôli štruktúre ekonomiky mesta a zamestnanosti. Toto platí univerzálne pre mestskú populáciu na Slovensku, pričom Bratislava je ešte výrazne nad hodnotou súboru miest. Kým v obciach veľkostnej kategórie do 199 obyvateľov je pomer mužov a žien vyrovnaný, v mestách nad 100 tisíc obyvateľov (Bratislava a Košice) je mierna prevaha žien (približne 53 %).</w:t>
      </w:r>
    </w:p>
    <w:p w14:paraId="74FA4ED8" w14:textId="3952A7C8" w:rsidR="007245A6" w:rsidRPr="00AF70AA" w:rsidRDefault="00903820" w:rsidP="007245A6">
      <w:pPr>
        <w:spacing w:before="120"/>
        <w:jc w:val="both"/>
        <w:rPr>
          <w:rFonts w:ascii="Arial" w:hAnsi="Arial" w:cs="Arial"/>
          <w:b/>
          <w:bCs/>
          <w:sz w:val="22"/>
          <w:szCs w:val="22"/>
        </w:rPr>
      </w:pPr>
      <w:r w:rsidRPr="00AF70AA">
        <w:rPr>
          <w:rFonts w:ascii="Arial" w:hAnsi="Arial" w:cs="Arial"/>
          <w:b/>
          <w:bCs/>
          <w:sz w:val="22"/>
          <w:szCs w:val="22"/>
        </w:rPr>
        <w:t>Veková štruktúra obyvateľstva</w:t>
      </w:r>
    </w:p>
    <w:p w14:paraId="41AFB33F" w14:textId="3C2383F7" w:rsidR="007245A6" w:rsidRPr="00AF70AA" w:rsidRDefault="007245A6" w:rsidP="003B62A2">
      <w:pPr>
        <w:pStyle w:val="A-Text11"/>
      </w:pPr>
      <w:r w:rsidRPr="00AF70AA">
        <w:t xml:space="preserve">Dôležitou súčasťou súčasného a najmä budúceho populačného vývoja Bratislavy a v ešte väčšej miere jej jednotlivých obvodov je a bude existencia pomerne výrazných nerovnomerností vo vekovej štruktúre. Na obrázku je zobrazená veková štruktúra Bratislavy, kde môžeme vidieť výrazne rozdiely v početnosti jednotlivých populačných ročníkov. Ide najmä o dve skupiny generácií, ktoré sa vyznačujú výrazne vyššou početnosťou ako predchádzajúce alebo nasledujúce kohorty. Prvou sú osoby narodené v 50. rokoch, teda v období povojnového baby boomu, vysokej plodnosti a pôrodnosti. Nutné je však dodať, že okrem zvýšenej pôrodnosti dôležitou bola aj ich migrácia do Bratislavy v nasledujúcich rokoch. Druhou výraznou skupinou sú osoby narodené od prvej polovice 70. rokov do približne druhej polovice 80. rokov. </w:t>
      </w:r>
    </w:p>
    <w:p w14:paraId="1A468800" w14:textId="77777777" w:rsidR="007245A6" w:rsidRPr="00AF70AA" w:rsidRDefault="007245A6" w:rsidP="007245A6">
      <w:pPr>
        <w:jc w:val="both"/>
        <w:rPr>
          <w:rFonts w:ascii="Arial" w:hAnsi="Arial" w:cs="Arial"/>
          <w:sz w:val="22"/>
          <w:szCs w:val="22"/>
        </w:rPr>
      </w:pPr>
    </w:p>
    <w:p w14:paraId="1EDC2F1C" w14:textId="4DDCEC0A" w:rsidR="007245A6" w:rsidRPr="00AF70AA" w:rsidRDefault="009D6510" w:rsidP="007245A6">
      <w:pPr>
        <w:jc w:val="both"/>
        <w:rPr>
          <w:rFonts w:ascii="Arial" w:hAnsi="Arial" w:cs="Arial"/>
          <w:sz w:val="22"/>
          <w:szCs w:val="22"/>
        </w:rPr>
      </w:pPr>
      <w:r w:rsidRPr="00AF70AA">
        <w:rPr>
          <w:rFonts w:ascii="Arial" w:hAnsi="Arial" w:cs="Arial"/>
          <w:noProof/>
          <w:sz w:val="22"/>
          <w:szCs w:val="22"/>
        </w:rPr>
        <w:lastRenderedPageBreak/>
        <w:drawing>
          <wp:inline distT="0" distB="0" distL="0" distR="0" wp14:anchorId="7DF4B897" wp14:editId="50A62053">
            <wp:extent cx="5847715" cy="2085766"/>
            <wp:effectExtent l="0" t="0" r="635" b="0"/>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t="1253" b="6285"/>
                    <a:stretch>
                      <a:fillRect/>
                    </a:stretch>
                  </pic:blipFill>
                  <pic:spPr bwMode="auto">
                    <a:xfrm>
                      <a:off x="0" y="0"/>
                      <a:ext cx="5866282" cy="2092388"/>
                    </a:xfrm>
                    <a:prstGeom prst="rect">
                      <a:avLst/>
                    </a:prstGeom>
                    <a:noFill/>
                    <a:ln>
                      <a:noFill/>
                    </a:ln>
                  </pic:spPr>
                </pic:pic>
              </a:graphicData>
            </a:graphic>
          </wp:inline>
        </w:drawing>
      </w:r>
    </w:p>
    <w:p w14:paraId="7187A8BF" w14:textId="48E8A34B" w:rsidR="003B62A2" w:rsidRPr="003B62A2" w:rsidRDefault="003B62A2" w:rsidP="003B62A2">
      <w:pPr>
        <w:jc w:val="center"/>
        <w:rPr>
          <w:rFonts w:ascii="Arial" w:hAnsi="Arial" w:cs="Arial"/>
          <w:i/>
          <w:iCs/>
          <w:sz w:val="18"/>
          <w:szCs w:val="18"/>
        </w:rPr>
      </w:pPr>
      <w:r w:rsidRPr="003B62A2">
        <w:rPr>
          <w:rFonts w:ascii="Arial" w:hAnsi="Arial" w:cs="Arial"/>
          <w:i/>
          <w:iCs/>
          <w:sz w:val="18"/>
          <w:szCs w:val="18"/>
        </w:rPr>
        <w:t>Obr. č. III.3.1.5   Počet osôb v Bratislave podľa veku a roku narodenia k 31.12.2015</w:t>
      </w:r>
    </w:p>
    <w:p w14:paraId="0008071D" w14:textId="2F88805D" w:rsidR="007245A6" w:rsidRDefault="007245A6" w:rsidP="003B62A2">
      <w:pPr>
        <w:spacing w:before="120"/>
        <w:jc w:val="center"/>
        <w:rPr>
          <w:rFonts w:ascii="Arial" w:hAnsi="Arial" w:cs="Arial"/>
          <w:i/>
          <w:iCs/>
          <w:sz w:val="18"/>
          <w:szCs w:val="18"/>
        </w:rPr>
      </w:pPr>
      <w:r w:rsidRPr="00AF70AA">
        <w:rPr>
          <w:rFonts w:ascii="Arial" w:hAnsi="Arial" w:cs="Arial"/>
          <w:i/>
          <w:iCs/>
          <w:sz w:val="18"/>
          <w:szCs w:val="18"/>
        </w:rPr>
        <w:t>Zdroj údajov: ŠÚ SR, INFOSTAT: Štúdia demografického potenciálu hlavného mesta Slovenskej republiky Bratislavy do roku 2050</w:t>
      </w:r>
    </w:p>
    <w:p w14:paraId="23992A1C" w14:textId="6507B1E3" w:rsidR="007245A6" w:rsidRPr="003B62A2" w:rsidRDefault="003B62A2" w:rsidP="007245A6">
      <w:pPr>
        <w:spacing w:before="120"/>
        <w:jc w:val="both"/>
        <w:rPr>
          <w:rFonts w:ascii="Arial" w:hAnsi="Arial" w:cs="Arial"/>
          <w:b/>
          <w:bCs/>
          <w:sz w:val="22"/>
          <w:szCs w:val="22"/>
        </w:rPr>
      </w:pPr>
      <w:r w:rsidRPr="003B62A2">
        <w:rPr>
          <w:rFonts w:ascii="Arial" w:hAnsi="Arial" w:cs="Arial"/>
          <w:b/>
          <w:bCs/>
          <w:sz w:val="22"/>
          <w:szCs w:val="22"/>
        </w:rPr>
        <w:t xml:space="preserve">Prognóza vývoja obyvateľstva </w:t>
      </w:r>
      <w:r w:rsidR="00C90143">
        <w:rPr>
          <w:rFonts w:ascii="Arial" w:hAnsi="Arial" w:cs="Arial"/>
          <w:b/>
          <w:bCs/>
          <w:sz w:val="22"/>
          <w:szCs w:val="22"/>
        </w:rPr>
        <w:t>B</w:t>
      </w:r>
      <w:r w:rsidRPr="003B62A2">
        <w:rPr>
          <w:rFonts w:ascii="Arial" w:hAnsi="Arial" w:cs="Arial"/>
          <w:b/>
          <w:bCs/>
          <w:sz w:val="22"/>
          <w:szCs w:val="22"/>
        </w:rPr>
        <w:t>ratislavy do roku 2050</w:t>
      </w:r>
    </w:p>
    <w:p w14:paraId="45F14B9D" w14:textId="77777777" w:rsidR="007245A6" w:rsidRPr="003B62A2" w:rsidRDefault="007245A6" w:rsidP="007245A6">
      <w:pPr>
        <w:spacing w:before="120"/>
        <w:jc w:val="both"/>
        <w:rPr>
          <w:rFonts w:ascii="Arial" w:hAnsi="Arial" w:cs="Arial"/>
          <w:b/>
          <w:bCs/>
          <w:sz w:val="22"/>
          <w:szCs w:val="22"/>
        </w:rPr>
      </w:pPr>
      <w:r w:rsidRPr="003B62A2">
        <w:rPr>
          <w:rFonts w:ascii="Arial" w:hAnsi="Arial" w:cs="Arial"/>
          <w:b/>
          <w:bCs/>
          <w:sz w:val="22"/>
          <w:szCs w:val="22"/>
        </w:rPr>
        <w:t>Celkový prírastok obyvateľstva</w:t>
      </w:r>
    </w:p>
    <w:p w14:paraId="54EE9EE6" w14:textId="7FC98626" w:rsidR="007245A6" w:rsidRDefault="007245A6" w:rsidP="003B62A2">
      <w:pPr>
        <w:pStyle w:val="A-Text11"/>
      </w:pPr>
      <w:r w:rsidRPr="00AF70AA">
        <w:t xml:space="preserve">Očakávané migračné trendy vo všetkých bratislavských obvodoch budú zmierňovať očakávaný vývoj prirodzeného pohybu obyvateľstva. Preto celkový úbytok obyvateľstva je možné očakávať do roku 2050 len v obvode Bratislava V. V ostatných obvodoch sa udrží celkový prírastok obyvateľstva až do konca prognózovaného obdobia. </w:t>
      </w:r>
    </w:p>
    <w:p w14:paraId="712C58E3" w14:textId="77777777" w:rsidR="00ED5C8B" w:rsidRDefault="00ED5C8B" w:rsidP="003B62A2">
      <w:pPr>
        <w:pStyle w:val="A-Text11"/>
      </w:pPr>
    </w:p>
    <w:p w14:paraId="13D84C27" w14:textId="77777777" w:rsidR="003B62A2" w:rsidRDefault="009D6510" w:rsidP="007245A6">
      <w:pPr>
        <w:jc w:val="both"/>
        <w:rPr>
          <w:rFonts w:ascii="Arial" w:hAnsi="Arial" w:cs="Arial"/>
          <w:color w:val="FF0000"/>
          <w:sz w:val="22"/>
          <w:szCs w:val="22"/>
        </w:rPr>
      </w:pPr>
      <w:r w:rsidRPr="004A7717">
        <w:rPr>
          <w:rFonts w:ascii="Arial" w:hAnsi="Arial" w:cs="Arial"/>
          <w:noProof/>
          <w:color w:val="FF0000"/>
          <w:sz w:val="22"/>
          <w:szCs w:val="22"/>
        </w:rPr>
        <w:drawing>
          <wp:inline distT="0" distB="0" distL="0" distR="0" wp14:anchorId="068A1247" wp14:editId="3FEACDC5">
            <wp:extent cx="5761711" cy="2232604"/>
            <wp:effectExtent l="0" t="0" r="0" b="0"/>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t="1654"/>
                    <a:stretch>
                      <a:fillRect/>
                    </a:stretch>
                  </pic:blipFill>
                  <pic:spPr bwMode="auto">
                    <a:xfrm>
                      <a:off x="0" y="0"/>
                      <a:ext cx="5784703" cy="2241513"/>
                    </a:xfrm>
                    <a:prstGeom prst="rect">
                      <a:avLst/>
                    </a:prstGeom>
                    <a:noFill/>
                    <a:ln>
                      <a:noFill/>
                    </a:ln>
                  </pic:spPr>
                </pic:pic>
              </a:graphicData>
            </a:graphic>
          </wp:inline>
        </w:drawing>
      </w:r>
      <w:r w:rsidR="007245A6" w:rsidRPr="004A7717">
        <w:rPr>
          <w:rFonts w:ascii="Arial" w:hAnsi="Arial" w:cs="Arial"/>
          <w:color w:val="FF0000"/>
          <w:sz w:val="22"/>
          <w:szCs w:val="22"/>
        </w:rPr>
        <w:t xml:space="preserve"> </w:t>
      </w:r>
    </w:p>
    <w:p w14:paraId="1BE97087" w14:textId="77777777" w:rsidR="003B62A2" w:rsidRPr="003B62A2" w:rsidRDefault="003B62A2" w:rsidP="003B62A2">
      <w:pPr>
        <w:jc w:val="center"/>
        <w:rPr>
          <w:rFonts w:ascii="Arial" w:hAnsi="Arial" w:cs="Arial"/>
          <w:sz w:val="18"/>
          <w:szCs w:val="18"/>
        </w:rPr>
      </w:pPr>
      <w:r w:rsidRPr="003B62A2">
        <w:rPr>
          <w:rFonts w:ascii="Arial" w:hAnsi="Arial" w:cs="Arial"/>
          <w:sz w:val="18"/>
          <w:szCs w:val="18"/>
        </w:rPr>
        <w:t>Obr. č. III.3.1.6  Očakávaný vývoj celkového prírastku obyvateľstva v obvodoch Bratislavy</w:t>
      </w:r>
    </w:p>
    <w:p w14:paraId="3FC5132C" w14:textId="7554F4EB" w:rsidR="007245A6" w:rsidRDefault="007245A6" w:rsidP="003B62A2">
      <w:pPr>
        <w:spacing w:before="120"/>
        <w:jc w:val="center"/>
        <w:rPr>
          <w:rFonts w:ascii="Arial" w:hAnsi="Arial" w:cs="Arial"/>
          <w:sz w:val="18"/>
          <w:szCs w:val="18"/>
        </w:rPr>
      </w:pPr>
      <w:r w:rsidRPr="00C10F5F">
        <w:rPr>
          <w:rFonts w:ascii="Arial" w:hAnsi="Arial" w:cs="Arial"/>
          <w:sz w:val="18"/>
          <w:szCs w:val="18"/>
        </w:rPr>
        <w:t>Zdroj: INFOSTAT: Štúdia demografického potenciálu hlavného mesta Slovenskej republiky Bratislavy do roku 2050</w:t>
      </w:r>
    </w:p>
    <w:p w14:paraId="067D4858" w14:textId="2BBE4673" w:rsidR="007245A6" w:rsidRPr="003B62A2" w:rsidRDefault="003B62A2" w:rsidP="007245A6">
      <w:pPr>
        <w:spacing w:before="120"/>
        <w:jc w:val="both"/>
        <w:rPr>
          <w:rFonts w:ascii="Arial" w:hAnsi="Arial" w:cs="Arial"/>
          <w:b/>
          <w:bCs/>
          <w:sz w:val="22"/>
          <w:szCs w:val="22"/>
        </w:rPr>
      </w:pPr>
      <w:r w:rsidRPr="003B62A2">
        <w:rPr>
          <w:rFonts w:ascii="Arial" w:hAnsi="Arial" w:cs="Arial"/>
          <w:b/>
          <w:bCs/>
          <w:sz w:val="22"/>
          <w:szCs w:val="22"/>
        </w:rPr>
        <w:t>Počet obyvateľov</w:t>
      </w:r>
    </w:p>
    <w:p w14:paraId="0F4D04C7" w14:textId="77777777" w:rsidR="007245A6" w:rsidRPr="00AF70AA" w:rsidRDefault="007245A6" w:rsidP="003B62A2">
      <w:pPr>
        <w:pStyle w:val="A-Text11"/>
      </w:pPr>
      <w:r w:rsidRPr="00AF70AA">
        <w:rPr>
          <w:shd w:val="clear" w:color="auto" w:fill="FFFFFF"/>
        </w:rPr>
        <w:t xml:space="preserve">Podľa sčítania 11. marca 2016 žilo v Bratislave 472 966 obyvateľov. </w:t>
      </w:r>
      <w:r w:rsidRPr="00AF70AA">
        <w:t xml:space="preserve">Počet obyvateľov bude v prvom bratislavskom obvode stagnovať, v druhom, treťom a štvrtok obvode mierne rásť a v piatom bratislavskom obvode klesať. Na miernom prírastku obyvateľov v meste Bratislave sa budú teda podieľať len tri obvody. Počet obyvateľov v obvode Bratislava I bude počas celého prognózovaného obdobia prakticky nezmenený a bude sa pohybovať v tesnej blízkosti hranice 40 tis. osôb. Prvý bratislavský obvod zostane počtom obyvateľov najmenší z bratislavských obvodov. </w:t>
      </w:r>
    </w:p>
    <w:p w14:paraId="18BD1199" w14:textId="77777777" w:rsidR="007245A6" w:rsidRPr="00AF70AA" w:rsidRDefault="007245A6" w:rsidP="003B62A2">
      <w:pPr>
        <w:pStyle w:val="A-Text11"/>
      </w:pPr>
      <w:r w:rsidRPr="00AF70AA">
        <w:lastRenderedPageBreak/>
        <w:t xml:space="preserve">V obvodoch Bratislava II, III a IV sa očakáva do roku 2050 prírastok počtu obyvateľov. Kým v druhom a treťom obvode pôjde o prírastok na úrovni zhruba 20 %, vo štvrtom obvode bude prírastok výrazne nižší – len 5 %. </w:t>
      </w:r>
    </w:p>
    <w:p w14:paraId="2858E31D" w14:textId="77777777" w:rsidR="007245A6" w:rsidRPr="00AF70AA" w:rsidRDefault="007245A6" w:rsidP="003B62A2">
      <w:pPr>
        <w:pStyle w:val="A-Text11"/>
      </w:pPr>
      <w:r w:rsidRPr="00AF70AA">
        <w:t xml:space="preserve">Počet obyvateľov v piatom bratislavskom obvode sa do roku 2050 zníži zhruba o 10 %. Druhý bratislavský obvod zostane najväčší čo do počtu obyvateľov, pričom jeho odstup od ostatných obvodov sa zvýši. </w:t>
      </w:r>
    </w:p>
    <w:p w14:paraId="750DA2C7" w14:textId="77777777" w:rsidR="007245A6" w:rsidRPr="00AF70AA" w:rsidRDefault="007245A6" w:rsidP="003B62A2">
      <w:pPr>
        <w:pStyle w:val="A-Text11"/>
      </w:pPr>
      <w:r w:rsidRPr="00AF70AA">
        <w:t xml:space="preserve">Kým v roku 2015 bol rozdiel medzi druhým a piatym obvodom len necelých 5 tis. osôb, v roku 2050 bude rozdiel medzi druhým a štvrtým obvodom, ktorý bude druhým v poradí čo sa týka počtu obyvateľov, už viac ako 35 tis. osôb. V roku 2050 by mal mať obvod Bratislava II viac ako 136 tis. obyvateľov. Očakávané zvýšenie počtu obyvateľov vo štvrtom obvode a zníženie počtu obyvateľov v piatom obvode bude mať za následok, že počet obyvateľov v týchto dvoch obvodoch sa na konci prognózovaného obdobia vyrovná zhruba na úrovni 100 tis. osôb. Pritom v súčasnosti je počet obyvateľov v piatom obvode zhruba o 15 tis. osôb vyšší ako vo štvrtom. </w:t>
      </w:r>
    </w:p>
    <w:p w14:paraId="272AA4EE" w14:textId="1009C2BD" w:rsidR="007245A6" w:rsidRDefault="007245A6" w:rsidP="003B62A2">
      <w:pPr>
        <w:pStyle w:val="A-Text11"/>
      </w:pPr>
      <w:r w:rsidRPr="00AF70AA">
        <w:t>Druhým najmenším bratislavským obvodom je obvod Bratislava III a nič sa na tejto skutočnosti nezmení ani počas najbližších štyroch desaťročí. Vďaka očakávanému vývoju prírastkov obyvateľstva sa však odstup tretieho bratislavského obvodu od štvrtého a piateho obvodu zníži a naopak odstup od najmenšieho prvého obvodu zvýši. Tretí bratislavský obvod by mal mať v roku 2050 necelých 80 tis. obyvateľov.</w:t>
      </w:r>
    </w:p>
    <w:p w14:paraId="2C54120C" w14:textId="77777777" w:rsidR="000A6EA1" w:rsidRPr="00AF70AA" w:rsidRDefault="000A6EA1" w:rsidP="007245A6">
      <w:pPr>
        <w:spacing w:before="120"/>
        <w:jc w:val="both"/>
        <w:rPr>
          <w:rFonts w:ascii="Arial" w:hAnsi="Arial" w:cs="Arial"/>
          <w:sz w:val="22"/>
          <w:szCs w:val="22"/>
        </w:rPr>
      </w:pPr>
    </w:p>
    <w:p w14:paraId="43AEB860" w14:textId="19E15E22" w:rsidR="007245A6" w:rsidRDefault="009D6510" w:rsidP="007245A6">
      <w:pPr>
        <w:jc w:val="both"/>
        <w:rPr>
          <w:rFonts w:ascii="Arial" w:hAnsi="Arial" w:cs="Arial"/>
          <w:color w:val="FF0000"/>
          <w:sz w:val="22"/>
          <w:szCs w:val="22"/>
        </w:rPr>
      </w:pPr>
      <w:r w:rsidRPr="004A7717">
        <w:rPr>
          <w:rFonts w:ascii="Arial" w:hAnsi="Arial" w:cs="Arial"/>
          <w:noProof/>
          <w:color w:val="FF0000"/>
          <w:sz w:val="22"/>
          <w:szCs w:val="22"/>
        </w:rPr>
        <w:drawing>
          <wp:inline distT="0" distB="0" distL="0" distR="0" wp14:anchorId="7ED37EEF" wp14:editId="5C65F27D">
            <wp:extent cx="5762625" cy="3263900"/>
            <wp:effectExtent l="0" t="0" r="0" b="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2625" cy="3263900"/>
                    </a:xfrm>
                    <a:prstGeom prst="rect">
                      <a:avLst/>
                    </a:prstGeom>
                    <a:noFill/>
                    <a:ln>
                      <a:noFill/>
                    </a:ln>
                  </pic:spPr>
                </pic:pic>
              </a:graphicData>
            </a:graphic>
          </wp:inline>
        </w:drawing>
      </w:r>
    </w:p>
    <w:p w14:paraId="6BE47AC3" w14:textId="77777777" w:rsidR="003B62A2" w:rsidRPr="003B62A2" w:rsidRDefault="003B62A2" w:rsidP="003B62A2">
      <w:pPr>
        <w:jc w:val="center"/>
        <w:rPr>
          <w:rFonts w:ascii="Arial" w:hAnsi="Arial" w:cs="Arial"/>
          <w:sz w:val="18"/>
          <w:szCs w:val="18"/>
        </w:rPr>
      </w:pPr>
      <w:r w:rsidRPr="003B62A2">
        <w:rPr>
          <w:rFonts w:ascii="Arial" w:hAnsi="Arial" w:cs="Arial"/>
          <w:sz w:val="18"/>
          <w:szCs w:val="18"/>
        </w:rPr>
        <w:t>Obr. č. III.3.1.7   Očakávaný vývoj počtu obyvateľov v obvodoch Bratislavy</w:t>
      </w:r>
    </w:p>
    <w:p w14:paraId="20E40162" w14:textId="07328D88" w:rsidR="007245A6" w:rsidRDefault="007245A6" w:rsidP="003B62A2">
      <w:pPr>
        <w:spacing w:before="120"/>
        <w:jc w:val="center"/>
        <w:rPr>
          <w:rFonts w:ascii="Arial" w:hAnsi="Arial" w:cs="Arial"/>
          <w:sz w:val="18"/>
          <w:szCs w:val="18"/>
        </w:rPr>
      </w:pPr>
      <w:r w:rsidRPr="00AF70AA">
        <w:rPr>
          <w:rFonts w:ascii="Arial" w:hAnsi="Arial" w:cs="Arial"/>
          <w:sz w:val="18"/>
          <w:szCs w:val="18"/>
        </w:rPr>
        <w:t>Zdroj: INFOSTAT: Štúdia demografického potenciálu hlavného mesta Slovenskej republiky Bratislavy do roku 2050</w:t>
      </w:r>
    </w:p>
    <w:p w14:paraId="70C633C4" w14:textId="241F99C1" w:rsidR="007245A6" w:rsidRPr="00AF70AA" w:rsidRDefault="007245A6" w:rsidP="003B62A2">
      <w:pPr>
        <w:pStyle w:val="A-Text11"/>
      </w:pPr>
      <w:r w:rsidRPr="00AF70AA">
        <w:t xml:space="preserve">Vzhľadom k tomu, že na území mesta Bratislava je denne prítomných podstatne viac obyvateľov (nielen vlastné trvale bývajúce obyvateľstvo), ktoré zaťažuje všetky zariadenia občianskej vybavenosti, komunikačné a inžinierske siete, bola vypracovaná aj prognóza predpokladaného vývoja prítomného obyvateľstva. </w:t>
      </w:r>
    </w:p>
    <w:p w14:paraId="7EBCC6DB" w14:textId="341C87FD" w:rsidR="007245A6" w:rsidRDefault="007245A6" w:rsidP="003B62A2">
      <w:pPr>
        <w:pStyle w:val="A-Text11"/>
      </w:pPr>
      <w:r w:rsidRPr="00AF70AA">
        <w:lastRenderedPageBreak/>
        <w:t xml:space="preserve">V prognóze sa uvažuje, že podiel prítomného obyvateľstva v pomere k trvalo bývajúcemu sa nebude výrazne zvyšovať a  bude oscilovať na úrovni dnešného podielu v rozsahu 40-50 %, vrátane návštevníkov mesta. To znamená, že v návrhovom období k roku 2030 sa predpokladá celkový počet v rozsahu 770 až 820 tis. denne prítomných obyvateľov, s čím by sa malo uvažovať pri záťaži jednotlivých mestských funkcií. </w:t>
      </w:r>
    </w:p>
    <w:p w14:paraId="2B25CC0D" w14:textId="098D58F1" w:rsidR="007245A6" w:rsidRPr="00332C38" w:rsidRDefault="00332C38" w:rsidP="003B62A2">
      <w:pPr>
        <w:pStyle w:val="A-Text11"/>
        <w:rPr>
          <w:b/>
          <w:bCs/>
        </w:rPr>
      </w:pPr>
      <w:r w:rsidRPr="00332C38">
        <w:rPr>
          <w:b/>
          <w:bCs/>
        </w:rPr>
        <w:t>Ekonomická aktivita obyvateľstva</w:t>
      </w:r>
    </w:p>
    <w:p w14:paraId="6411D860" w14:textId="77777777" w:rsidR="007245A6" w:rsidRPr="00AF70AA" w:rsidRDefault="007245A6" w:rsidP="003B62A2">
      <w:pPr>
        <w:pStyle w:val="A-Text11"/>
      </w:pPr>
      <w:r w:rsidRPr="00AF70AA">
        <w:t>Z ekonomického a hospodárskeho hľadiska je predovšetkým dôležitý pomer produktívnej a neproduktívnej zložky. Na tento účel sa využíva najmä index celkové ekonomického zaťaženia produktívnej časti populácie. Ten vyjadruje pomer počtu detí (0-14 rokov) a seniorov (65 a viac rokov) pripadajúcich na jednu resp. sto osôb v produktívnom veku (20- 64 rokov). V jednotlivých populáciách Bratislavy, ako aj celého Slovenska v 90. rokoch a na začiatku nového milénia dochádzalo k pomerne výraznému znižovaniu miery zaťaženia.</w:t>
      </w:r>
    </w:p>
    <w:p w14:paraId="1BA6C9EC" w14:textId="77777777" w:rsidR="007245A6" w:rsidRPr="00AF70AA" w:rsidRDefault="007245A6" w:rsidP="003B62A2">
      <w:pPr>
        <w:pStyle w:val="A-Text11"/>
      </w:pPr>
      <w:r w:rsidRPr="00AF70AA">
        <w:t>V posledných rokoch sa však situácia zhoršuje, paradoxne aj vďaka oživeniu pôrodnosti a plodnosti a pomer medzi neproduktívnou a produktívnou časťou populácie sa zvyšuje. Súčasne však platí, že s výnimkou piateho bratislavského okresu všetky ostatné dosahujú horšie charakteristiky ako je priemer Slovenska.</w:t>
      </w:r>
    </w:p>
    <w:p w14:paraId="689D1D8D" w14:textId="77777777" w:rsidR="007245A6" w:rsidRPr="00AF70AA" w:rsidRDefault="007245A6" w:rsidP="003B62A2">
      <w:pPr>
        <w:pStyle w:val="A-Text11"/>
      </w:pPr>
      <w:r w:rsidRPr="00AF70AA">
        <w:t>V súčasnosti tak na 100 osôb vo veku 20-64 rokov pripadá v Bratislave približne 50 v neproduktívnom veku, čo je veľmi podobná hodnota ako celoslovenský priemer (54 osôb).</w:t>
      </w:r>
    </w:p>
    <w:p w14:paraId="6E839A9D" w14:textId="2983AC5C" w:rsidR="007245A6" w:rsidRPr="00AF70AA" w:rsidRDefault="007245A6" w:rsidP="003B62A2">
      <w:pPr>
        <w:pStyle w:val="A-Text11"/>
      </w:pPr>
      <w:r w:rsidRPr="00AF70AA">
        <w:t>Podiel pracujúcich mužov i žien v Bratislave podľa výsledkov SODB 2011 bol vo všetkých vekových skupinách u oboch pohlaví vyšší.</w:t>
      </w:r>
    </w:p>
    <w:p w14:paraId="6BF452CB" w14:textId="17191FC6" w:rsidR="0035347F" w:rsidRDefault="0035347F" w:rsidP="007245A6">
      <w:pPr>
        <w:jc w:val="both"/>
        <w:rPr>
          <w:rFonts w:ascii="Arial" w:hAnsi="Arial" w:cs="Arial"/>
          <w:sz w:val="22"/>
          <w:szCs w:val="22"/>
          <w:highlight w:val="yellow"/>
        </w:rPr>
      </w:pPr>
    </w:p>
    <w:p w14:paraId="37D87CD1" w14:textId="6D478B3F" w:rsidR="007245A6" w:rsidRPr="00AF70AA" w:rsidRDefault="009D6510" w:rsidP="007245A6">
      <w:pPr>
        <w:jc w:val="both"/>
        <w:rPr>
          <w:rFonts w:ascii="Arial" w:hAnsi="Arial" w:cs="Arial"/>
          <w:sz w:val="22"/>
          <w:szCs w:val="22"/>
        </w:rPr>
      </w:pPr>
      <w:r w:rsidRPr="00AF70AA">
        <w:rPr>
          <w:rFonts w:ascii="Arial" w:hAnsi="Arial" w:cs="Arial"/>
          <w:noProof/>
          <w:sz w:val="22"/>
          <w:szCs w:val="22"/>
        </w:rPr>
        <w:drawing>
          <wp:inline distT="0" distB="0" distL="0" distR="0" wp14:anchorId="568CE28B" wp14:editId="200C7EAA">
            <wp:extent cx="5762625" cy="2839085"/>
            <wp:effectExtent l="0" t="0" r="0" b="0"/>
            <wp:docPr id="10"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b="9238"/>
                    <a:stretch>
                      <a:fillRect/>
                    </a:stretch>
                  </pic:blipFill>
                  <pic:spPr bwMode="auto">
                    <a:xfrm>
                      <a:off x="0" y="0"/>
                      <a:ext cx="5762625" cy="2839085"/>
                    </a:xfrm>
                    <a:prstGeom prst="rect">
                      <a:avLst/>
                    </a:prstGeom>
                    <a:noFill/>
                    <a:ln>
                      <a:noFill/>
                    </a:ln>
                  </pic:spPr>
                </pic:pic>
              </a:graphicData>
            </a:graphic>
          </wp:inline>
        </w:drawing>
      </w:r>
    </w:p>
    <w:p w14:paraId="6F2F95C6" w14:textId="77777777" w:rsidR="00332C38" w:rsidRPr="00332C38" w:rsidRDefault="00332C38" w:rsidP="00332C38">
      <w:pPr>
        <w:jc w:val="center"/>
        <w:rPr>
          <w:rFonts w:ascii="Arial" w:hAnsi="Arial" w:cs="Arial"/>
          <w:i/>
          <w:iCs/>
          <w:sz w:val="18"/>
          <w:szCs w:val="18"/>
        </w:rPr>
      </w:pPr>
      <w:r w:rsidRPr="00332C38">
        <w:rPr>
          <w:rFonts w:ascii="Arial" w:hAnsi="Arial" w:cs="Arial"/>
          <w:i/>
          <w:iCs/>
          <w:sz w:val="18"/>
          <w:szCs w:val="18"/>
        </w:rPr>
        <w:t>Obr. č. III.3.1.8  Podiel pracujúcich (vrátane) dôchodcov (vľavo) a nezamestnaných mužov a žien v Bratislave a na Slovensku podľa veku, SODB 2011</w:t>
      </w:r>
    </w:p>
    <w:p w14:paraId="073933B9" w14:textId="0CBFDD03" w:rsidR="007245A6" w:rsidRPr="00AF70AA" w:rsidRDefault="007245A6" w:rsidP="00332C38">
      <w:pPr>
        <w:spacing w:before="120"/>
        <w:jc w:val="center"/>
        <w:rPr>
          <w:rFonts w:ascii="Arial" w:hAnsi="Arial" w:cs="Arial"/>
          <w:i/>
          <w:iCs/>
          <w:sz w:val="18"/>
          <w:szCs w:val="18"/>
        </w:rPr>
      </w:pPr>
      <w:r w:rsidRPr="00AF70AA">
        <w:rPr>
          <w:rFonts w:ascii="Arial" w:hAnsi="Arial" w:cs="Arial"/>
          <w:i/>
          <w:iCs/>
          <w:sz w:val="18"/>
          <w:szCs w:val="18"/>
        </w:rPr>
        <w:t>Zdroj údajov: SODB 2011,ŠÚ SR, INFOSTAT: Štúdia demografického potenciálu hlavného mesta Slovenskej republiky Bratislavy do roku 2050.</w:t>
      </w:r>
    </w:p>
    <w:p w14:paraId="6C4EB3AB" w14:textId="2D1215CA" w:rsidR="007245A6" w:rsidRPr="00AF70AA" w:rsidRDefault="007245A6" w:rsidP="004D7A3D">
      <w:pPr>
        <w:pStyle w:val="A-Text11"/>
      </w:pPr>
      <w:r w:rsidRPr="00AF70AA">
        <w:rPr>
          <w:rStyle w:val="A-Text11Char"/>
        </w:rPr>
        <w:t>Vývoj prírastkov obyvateľstva naznačuje, že v Bratislave sa do roku 2050 výraznejšia zmena počtu obyvateľov neočakáva. Pravdepodobné je mierne zvýšenie počtu obyvateľov. V prípade menej priaznivého demografického vývoja a nižšej imigrácii by sa dokonca po roku 2025 mohol</w:t>
      </w:r>
      <w:r w:rsidRPr="00AF70AA">
        <w:t xml:space="preserve"> počet obyvateľov Bratislavy znížiť. V roku 2050 by sa počet obyvateľov mal teda </w:t>
      </w:r>
      <w:r w:rsidRPr="00AF70AA">
        <w:lastRenderedPageBreak/>
        <w:t xml:space="preserve">pohybovať v rozpätí od 420 tis. do 490 tis., najpravdepodobnejšie tesne pod hranicou 460 tis. </w:t>
      </w:r>
      <w:r w:rsidR="00664858" w:rsidRPr="00AF70AA">
        <w:t>o</w:t>
      </w:r>
      <w:r w:rsidRPr="00AF70AA">
        <w:t>sôb</w:t>
      </w:r>
      <w:r w:rsidR="001827B6" w:rsidRPr="00AF70AA">
        <w:t xml:space="preserve">. </w:t>
      </w:r>
    </w:p>
    <w:p w14:paraId="10E3A4FE" w14:textId="3F2627AB" w:rsidR="004D7A3D" w:rsidRPr="00AF70AA" w:rsidRDefault="004D7A3D" w:rsidP="004D7A3D">
      <w:pPr>
        <w:pStyle w:val="A-Text11"/>
        <w:rPr>
          <w:b/>
          <w:bCs/>
        </w:rPr>
      </w:pPr>
      <w:r w:rsidRPr="00AF70AA">
        <w:rPr>
          <w:b/>
          <w:bCs/>
        </w:rPr>
        <w:t>Mestská časť Bratislava - Ružinov</w:t>
      </w:r>
    </w:p>
    <w:p w14:paraId="083D68FD" w14:textId="37859D0D" w:rsidR="004D7A3D" w:rsidRPr="00AF70AA" w:rsidRDefault="004D7A3D" w:rsidP="00AF70AA">
      <w:pPr>
        <w:pStyle w:val="A-Text11"/>
        <w:spacing w:before="0" w:line="240" w:lineRule="auto"/>
        <w:ind w:firstLine="425"/>
        <w:rPr>
          <w:i/>
          <w:iCs/>
        </w:rPr>
      </w:pPr>
      <w:r w:rsidRPr="00AF70AA">
        <w:rPr>
          <w:i/>
          <w:iCs/>
        </w:rPr>
        <w:t>Zdroj: Program hospodársk</w:t>
      </w:r>
      <w:r w:rsidR="00DA14B2">
        <w:rPr>
          <w:i/>
          <w:iCs/>
        </w:rPr>
        <w:t>e</w:t>
      </w:r>
      <w:r w:rsidRPr="00AF70AA">
        <w:rPr>
          <w:i/>
          <w:iCs/>
        </w:rPr>
        <w:t>ho rozvoja a sociá</w:t>
      </w:r>
      <w:r w:rsidR="00DA14B2">
        <w:rPr>
          <w:i/>
          <w:iCs/>
        </w:rPr>
        <w:t>l</w:t>
      </w:r>
      <w:r w:rsidRPr="00AF70AA">
        <w:rPr>
          <w:i/>
          <w:iCs/>
        </w:rPr>
        <w:t>neho rozvoja mestskej časti Bratislava – Ružinov na roky 2021 - 2027</w:t>
      </w:r>
    </w:p>
    <w:p w14:paraId="36F154AE" w14:textId="41A01BAB" w:rsidR="004D7A3D" w:rsidRPr="00AF70AA" w:rsidRDefault="004D7A3D" w:rsidP="004D7A3D">
      <w:pPr>
        <w:pStyle w:val="A-Text11"/>
      </w:pPr>
      <w:r w:rsidRPr="00AF70AA">
        <w:t xml:space="preserve">V mestskej časti, v ktorej má byť umiestnená plánovaná činnosť je podľa PHSR Bratislava – Ružinov (2021) v sledovanom časovom úseku 7 rokov možné pozorovať celkový nárast počtu obyvateľov. Od začiatku sledovaného obdobia v roku 2014, až po jeho koniec v roku 2020, je vidieť kontinuálny nárast pohybujúci sa počas rokov v priemere na úrovni 0,798%. Konkrétne zo 70 660 obyvateľov sa ich počet v pozorovanom období zvýšil na 74 125. </w:t>
      </w:r>
    </w:p>
    <w:p w14:paraId="634A5579" w14:textId="77777777" w:rsidR="004D7A3D" w:rsidRPr="00AF70AA" w:rsidRDefault="004D7A3D" w:rsidP="004D7A3D">
      <w:pPr>
        <w:pStyle w:val="A-Text11"/>
      </w:pPr>
      <w:r w:rsidRPr="00AF70AA">
        <w:t xml:space="preserve">Z hľadiska prirodzeného pohybu obyvateľstva bolo pozorovaným obdobím 6 rokov (2014 - 2019). Hodnota tohto ukazovateľa má v sledovanom období prevažne kladné hodnoty, najnižšia hodnota v sledovanom období je 0 v roku 2015, kedy sa počet zomretých vyrovnal počtu živonarodených. Počas zvyšných rokov bol počet živonarodených vyšší ako počet zomretých, pričom najmarkantnejší prírastok bol zaznamenaný v roku 2018. </w:t>
      </w:r>
    </w:p>
    <w:p w14:paraId="35BE00FD" w14:textId="54E125E3" w:rsidR="004D7A3D" w:rsidRPr="00AF70AA" w:rsidRDefault="004D7A3D" w:rsidP="004D7A3D">
      <w:pPr>
        <w:pStyle w:val="A-Text11"/>
      </w:pPr>
      <w:r w:rsidRPr="00AF70AA">
        <w:t>Podstatným ukazovateľom je z hľadiska celkového počtu obyva</w:t>
      </w:r>
      <w:r w:rsidR="00134DB8">
        <w:t>te</w:t>
      </w:r>
      <w:r w:rsidRPr="00AF70AA">
        <w:t xml:space="preserve">ľov aj migračný pohyb obyvateľstva. Najvyšší počet prisťahovaného obyvateľstva dosiahla záujmová mestská časť v roku 2015, naopak najvyšší počet obyvateľov, ktorí sa z mestskej časti vysťahovali, bol v roku 2018. Migračný pohyb v sledovanom období má kolísavý charakter, napriek tomu, že hodnoty sa držia na kladnej strane a pod hodnotu 500 sa tento údaj dostal len v dvoch rokoch, vývoj nie je ustálený. Táto imigrácia do mestskej časti Bratislava – Ružinov môže byť z veľkej časti vnímaná ako dôsledok migrácie za prácou a atraktívnym prostredím, nakoľko je mestská časť Bratislava – Ružinov z hľadiska mestských častí najväčšou a poskytuje mnoho pracovných príležitostí. </w:t>
      </w:r>
    </w:p>
    <w:p w14:paraId="5538B151" w14:textId="77777777" w:rsidR="004D7A3D" w:rsidRPr="004D7A3D" w:rsidRDefault="004D7A3D" w:rsidP="004D7A3D">
      <w:pPr>
        <w:pStyle w:val="A-Text11"/>
        <w:ind w:firstLine="0"/>
        <w:rPr>
          <w:color w:val="0070C0"/>
        </w:rPr>
      </w:pPr>
      <w:r w:rsidRPr="004D7A3D">
        <w:rPr>
          <w:noProof/>
          <w:color w:val="0070C0"/>
        </w:rPr>
        <w:drawing>
          <wp:inline distT="0" distB="0" distL="0" distR="0" wp14:anchorId="15561E84" wp14:editId="23DD6793">
            <wp:extent cx="5760720" cy="2691765"/>
            <wp:effectExtent l="19050" t="19050" r="11430" b="13335"/>
            <wp:docPr id="40" name="Obrázo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60720" cy="2691765"/>
                    </a:xfrm>
                    <a:prstGeom prst="rect">
                      <a:avLst/>
                    </a:prstGeom>
                    <a:ln w="12700">
                      <a:solidFill>
                        <a:schemeClr val="tx1"/>
                      </a:solidFill>
                    </a:ln>
                  </pic:spPr>
                </pic:pic>
              </a:graphicData>
            </a:graphic>
          </wp:inline>
        </w:drawing>
      </w:r>
    </w:p>
    <w:p w14:paraId="7AF74E3C" w14:textId="7BE9420B" w:rsidR="004D7A3D" w:rsidRPr="00596DAB" w:rsidRDefault="004D7A3D" w:rsidP="004D7A3D">
      <w:pPr>
        <w:spacing w:before="120"/>
        <w:jc w:val="center"/>
        <w:rPr>
          <w:rFonts w:ascii="Arial" w:hAnsi="Arial" w:cs="Arial"/>
          <w:i/>
          <w:iCs/>
          <w:sz w:val="18"/>
          <w:szCs w:val="18"/>
        </w:rPr>
      </w:pPr>
      <w:r w:rsidRPr="00596DAB">
        <w:rPr>
          <w:rFonts w:ascii="Arial" w:hAnsi="Arial" w:cs="Arial"/>
          <w:i/>
          <w:iCs/>
          <w:sz w:val="18"/>
          <w:szCs w:val="18"/>
        </w:rPr>
        <w:t>Obr. č. III.3.1.</w:t>
      </w:r>
      <w:r w:rsidR="00595B53" w:rsidRPr="00596DAB">
        <w:rPr>
          <w:rFonts w:ascii="Arial" w:hAnsi="Arial" w:cs="Arial"/>
          <w:i/>
          <w:iCs/>
          <w:sz w:val="18"/>
          <w:szCs w:val="18"/>
        </w:rPr>
        <w:t>9</w:t>
      </w:r>
      <w:r w:rsidRPr="00596DAB">
        <w:rPr>
          <w:rFonts w:ascii="Arial" w:hAnsi="Arial" w:cs="Arial"/>
          <w:i/>
          <w:iCs/>
          <w:sz w:val="18"/>
          <w:szCs w:val="18"/>
        </w:rPr>
        <w:t>: Vývoj pohybu obyvateľstva mestskej časti Bratislava - Ružinov</w:t>
      </w:r>
    </w:p>
    <w:p w14:paraId="7C813D84" w14:textId="0707A0DF" w:rsidR="004D7A3D" w:rsidRPr="00C10F5F" w:rsidRDefault="004D7A3D" w:rsidP="004D7A3D">
      <w:pPr>
        <w:spacing w:before="120"/>
        <w:jc w:val="center"/>
        <w:rPr>
          <w:rFonts w:ascii="Arial" w:hAnsi="Arial" w:cs="Arial"/>
          <w:i/>
          <w:iCs/>
          <w:sz w:val="18"/>
          <w:szCs w:val="18"/>
        </w:rPr>
      </w:pPr>
      <w:r w:rsidRPr="00C10F5F">
        <w:rPr>
          <w:rFonts w:ascii="Arial" w:hAnsi="Arial" w:cs="Arial"/>
          <w:i/>
          <w:iCs/>
          <w:sz w:val="18"/>
          <w:szCs w:val="18"/>
        </w:rPr>
        <w:t>Zdroj: Program hospodársk</w:t>
      </w:r>
      <w:r w:rsidR="00DA14B2">
        <w:rPr>
          <w:rFonts w:ascii="Arial" w:hAnsi="Arial" w:cs="Arial"/>
          <w:i/>
          <w:iCs/>
          <w:sz w:val="18"/>
          <w:szCs w:val="18"/>
        </w:rPr>
        <w:t>e</w:t>
      </w:r>
      <w:r w:rsidRPr="00C10F5F">
        <w:rPr>
          <w:rFonts w:ascii="Arial" w:hAnsi="Arial" w:cs="Arial"/>
          <w:i/>
          <w:iCs/>
          <w:sz w:val="18"/>
          <w:szCs w:val="18"/>
        </w:rPr>
        <w:t>ho rozvoja a sociálneho rozvoja mestskej časti Bratislava – Ružinov na roky 2021 - 2027</w:t>
      </w:r>
    </w:p>
    <w:p w14:paraId="03E249A0" w14:textId="77777777" w:rsidR="004D7A3D" w:rsidRPr="00AF70AA" w:rsidRDefault="004D7A3D" w:rsidP="004D7A3D">
      <w:pPr>
        <w:pStyle w:val="A-Text11"/>
      </w:pPr>
      <w:r w:rsidRPr="00AF70AA">
        <w:t xml:space="preserve">Z hľadiska pohlavnej štruktúry obyvateľstva podiel žien počas celého sledovaného obdobia prevyšoval podiel mužov na celkovom počte obyvateľov mestskej časti Bratislava – Ružinov, o čom svedčia aj hodnoty percentuálneho podielu na celkovom počte obyvateľov. </w:t>
      </w:r>
      <w:r w:rsidRPr="00AF70AA">
        <w:lastRenderedPageBreak/>
        <w:t>Hodnoty percentuálneho podielu sa menia len minimálne. Počas sledovaného obdobia však môžeme sledovať trend vývoja v prospech nárastu mužskej populácie medzi obyvateľmi mestskej časti Bratislava – Ružinov, nakoľko každým rokom vzrastá podiel mužskej populácie o jednu desatinu percentuálneho bodu oproti minulému roku a tento vývoj je počas celého sledovaného obdobia stabilný.</w:t>
      </w:r>
    </w:p>
    <w:p w14:paraId="1B2F2C89" w14:textId="3A676A07" w:rsidR="004D7A3D" w:rsidRPr="005145B5" w:rsidRDefault="004D7A3D" w:rsidP="004D7A3D">
      <w:pPr>
        <w:pStyle w:val="A-Text11"/>
        <w:ind w:firstLine="0"/>
        <w:rPr>
          <w:sz w:val="18"/>
          <w:szCs w:val="18"/>
        </w:rPr>
      </w:pPr>
      <w:r w:rsidRPr="005145B5">
        <w:rPr>
          <w:sz w:val="18"/>
          <w:szCs w:val="18"/>
        </w:rPr>
        <w:t>Tab. č. III.3.1.</w:t>
      </w:r>
      <w:r w:rsidR="00452449">
        <w:rPr>
          <w:sz w:val="18"/>
          <w:szCs w:val="18"/>
        </w:rPr>
        <w:t>3</w:t>
      </w:r>
      <w:r w:rsidRPr="005145B5">
        <w:rPr>
          <w:sz w:val="18"/>
          <w:szCs w:val="18"/>
        </w:rPr>
        <w:t>: Vývoj podielu mužov a žien mestskej časti Bratislava - Ružinov</w:t>
      </w:r>
    </w:p>
    <w:p w14:paraId="7BCC3A17" w14:textId="77777777" w:rsidR="004D7A3D" w:rsidRPr="00AF70AA" w:rsidRDefault="004D7A3D" w:rsidP="004D7A3D">
      <w:pPr>
        <w:autoSpaceDE w:val="0"/>
        <w:autoSpaceDN w:val="0"/>
        <w:adjustRightInd w:val="0"/>
        <w:jc w:val="both"/>
      </w:pPr>
      <w:r w:rsidRPr="00AF70AA">
        <w:rPr>
          <w:noProof/>
        </w:rPr>
        <w:drawing>
          <wp:inline distT="0" distB="0" distL="0" distR="0" wp14:anchorId="7FDB4006" wp14:editId="19342D47">
            <wp:extent cx="5760720" cy="1469390"/>
            <wp:effectExtent l="0" t="0" r="0" b="0"/>
            <wp:docPr id="43" name="Obrázo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60720" cy="1469390"/>
                    </a:xfrm>
                    <a:prstGeom prst="rect">
                      <a:avLst/>
                    </a:prstGeom>
                  </pic:spPr>
                </pic:pic>
              </a:graphicData>
            </a:graphic>
          </wp:inline>
        </w:drawing>
      </w:r>
    </w:p>
    <w:p w14:paraId="5F4AE16E" w14:textId="77777777" w:rsidR="00596DAB" w:rsidRPr="00C10F5F" w:rsidRDefault="00596DAB" w:rsidP="00596DAB">
      <w:pPr>
        <w:spacing w:before="120"/>
        <w:jc w:val="center"/>
        <w:rPr>
          <w:rFonts w:ascii="Arial" w:hAnsi="Arial" w:cs="Arial"/>
          <w:i/>
          <w:iCs/>
          <w:sz w:val="18"/>
          <w:szCs w:val="18"/>
        </w:rPr>
      </w:pPr>
      <w:r w:rsidRPr="00C10F5F">
        <w:rPr>
          <w:rFonts w:ascii="Arial" w:hAnsi="Arial" w:cs="Arial"/>
          <w:i/>
          <w:iCs/>
          <w:sz w:val="18"/>
          <w:szCs w:val="18"/>
        </w:rPr>
        <w:t>Zdroj: Program hospodárskho rozvoja a sociáleneho rozvoja mestskej časti Bratislava – Ružinov na roky 2021 - 2027</w:t>
      </w:r>
    </w:p>
    <w:p w14:paraId="1F6A2830" w14:textId="77777777" w:rsidR="004D7A3D" w:rsidRPr="00AF70AA" w:rsidRDefault="004D7A3D" w:rsidP="004D7A3D">
      <w:pPr>
        <w:pStyle w:val="A-Text11"/>
      </w:pPr>
      <w:r w:rsidRPr="00AF70AA">
        <w:t>Čo sa týka vekovej štruktúry, podiel obyvateľov v predproduktívnom veku (0 – 14 rokov) za obdobie rokov 2014 - 2020 stúpol o 2,4 %, čo je možné považovať za značne pozitívny trend spôsobený, vzhľadom na vyššie uvedené údaje o prirodzenom a migračnom pohybe obyvateľstva, najmä migračným prírastkom mladých rodín a pozitívnym prirodzeným prírastkom v celom sledovanom období. V ďalších dvoch vekových kategóriách nastal úbytok obyvateľov v celom sledovanom období. Rozdiel medzi rokmi 2014 a 2020 pri obyvateľstve v poproduktívnom veku klesol o 0,83 %. Tento vývoj poukazuje na trend, ktorý je na Slovensku ojedinelý, keďže vo väčšine obcí a miest dochádza k starnutiu obyvateľstva, v mestskej časti Bratislava – Ružinov je to naopak.</w:t>
      </w:r>
    </w:p>
    <w:p w14:paraId="46946F89" w14:textId="77777777" w:rsidR="004D7A3D" w:rsidRPr="00AF70AA" w:rsidRDefault="004D7A3D" w:rsidP="004D7A3D">
      <w:pPr>
        <w:autoSpaceDE w:val="0"/>
        <w:autoSpaceDN w:val="0"/>
        <w:adjustRightInd w:val="0"/>
        <w:jc w:val="both"/>
        <w:rPr>
          <w:rFonts w:ascii="Arial" w:hAnsi="Arial" w:cs="Arial"/>
          <w:sz w:val="22"/>
          <w:szCs w:val="22"/>
        </w:rPr>
      </w:pPr>
    </w:p>
    <w:p w14:paraId="4787BA27" w14:textId="77777777" w:rsidR="004D7A3D" w:rsidRPr="00AF70AA" w:rsidRDefault="004D7A3D" w:rsidP="004D7A3D">
      <w:pPr>
        <w:autoSpaceDE w:val="0"/>
        <w:autoSpaceDN w:val="0"/>
        <w:adjustRightInd w:val="0"/>
        <w:jc w:val="both"/>
        <w:rPr>
          <w:rFonts w:ascii="Arial" w:hAnsi="Arial" w:cs="Arial"/>
          <w:sz w:val="22"/>
          <w:szCs w:val="22"/>
        </w:rPr>
      </w:pPr>
      <w:r w:rsidRPr="00AF70AA">
        <w:rPr>
          <w:rFonts w:ascii="Arial" w:hAnsi="Arial" w:cs="Arial"/>
          <w:noProof/>
          <w:sz w:val="22"/>
          <w:szCs w:val="22"/>
        </w:rPr>
        <w:drawing>
          <wp:inline distT="0" distB="0" distL="0" distR="0" wp14:anchorId="01B9C374" wp14:editId="4E8BF7A1">
            <wp:extent cx="5760720" cy="3018155"/>
            <wp:effectExtent l="19050" t="19050" r="11430" b="10795"/>
            <wp:docPr id="44" name="Obrázo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60720" cy="3018155"/>
                    </a:xfrm>
                    <a:prstGeom prst="rect">
                      <a:avLst/>
                    </a:prstGeom>
                    <a:ln w="12700">
                      <a:solidFill>
                        <a:schemeClr val="tx1"/>
                      </a:solidFill>
                    </a:ln>
                  </pic:spPr>
                </pic:pic>
              </a:graphicData>
            </a:graphic>
          </wp:inline>
        </w:drawing>
      </w:r>
    </w:p>
    <w:p w14:paraId="2BB348F0" w14:textId="2DDAA9D2" w:rsidR="00596DAB" w:rsidRPr="00596DAB" w:rsidRDefault="00596DAB" w:rsidP="00596DAB">
      <w:pPr>
        <w:spacing w:before="120"/>
        <w:jc w:val="center"/>
        <w:rPr>
          <w:rFonts w:ascii="Arial" w:hAnsi="Arial" w:cs="Arial"/>
          <w:i/>
          <w:iCs/>
          <w:sz w:val="18"/>
          <w:szCs w:val="18"/>
        </w:rPr>
      </w:pPr>
      <w:r w:rsidRPr="00596DAB">
        <w:rPr>
          <w:rFonts w:ascii="Arial" w:hAnsi="Arial" w:cs="Arial"/>
          <w:i/>
          <w:iCs/>
          <w:sz w:val="18"/>
          <w:szCs w:val="18"/>
        </w:rPr>
        <w:t>Obr. č. III.3.1.</w:t>
      </w:r>
      <w:r>
        <w:rPr>
          <w:rFonts w:ascii="Arial" w:hAnsi="Arial" w:cs="Arial"/>
          <w:i/>
          <w:iCs/>
          <w:sz w:val="18"/>
          <w:szCs w:val="18"/>
        </w:rPr>
        <w:t>10</w:t>
      </w:r>
      <w:r w:rsidRPr="00596DAB">
        <w:rPr>
          <w:rFonts w:ascii="Arial" w:hAnsi="Arial" w:cs="Arial"/>
          <w:i/>
          <w:iCs/>
          <w:sz w:val="18"/>
          <w:szCs w:val="18"/>
        </w:rPr>
        <w:t xml:space="preserve">: Vývoj </w:t>
      </w:r>
      <w:r>
        <w:rPr>
          <w:rFonts w:ascii="Arial" w:hAnsi="Arial" w:cs="Arial"/>
          <w:i/>
          <w:iCs/>
          <w:sz w:val="18"/>
          <w:szCs w:val="18"/>
        </w:rPr>
        <w:t>podielu vekových zložiek</w:t>
      </w:r>
      <w:r w:rsidRPr="00596DAB">
        <w:rPr>
          <w:rFonts w:ascii="Arial" w:hAnsi="Arial" w:cs="Arial"/>
          <w:i/>
          <w:iCs/>
          <w:sz w:val="18"/>
          <w:szCs w:val="18"/>
        </w:rPr>
        <w:t xml:space="preserve"> obyvateľstva mestskej časti Bratislava - Ružinov</w:t>
      </w:r>
    </w:p>
    <w:p w14:paraId="56B72BC0" w14:textId="045D02FE" w:rsidR="00596DAB" w:rsidRPr="00C10F5F" w:rsidRDefault="00596DAB" w:rsidP="00596DAB">
      <w:pPr>
        <w:spacing w:before="120"/>
        <w:jc w:val="center"/>
        <w:rPr>
          <w:rFonts w:ascii="Arial" w:hAnsi="Arial" w:cs="Arial"/>
          <w:i/>
          <w:iCs/>
          <w:sz w:val="18"/>
          <w:szCs w:val="18"/>
        </w:rPr>
      </w:pPr>
      <w:r w:rsidRPr="00C10F5F">
        <w:rPr>
          <w:rFonts w:ascii="Arial" w:hAnsi="Arial" w:cs="Arial"/>
          <w:i/>
          <w:iCs/>
          <w:sz w:val="18"/>
          <w:szCs w:val="18"/>
        </w:rPr>
        <w:t>Zdroj: Program hospodárskho rozvoja a sociáleneho rozvoja mestskej časti Bratislava – Ružinov na roky 2021 - 027</w:t>
      </w:r>
    </w:p>
    <w:p w14:paraId="5C772344" w14:textId="77777777" w:rsidR="004D7A3D" w:rsidRPr="00AF70AA" w:rsidRDefault="004D7A3D" w:rsidP="004D7A3D">
      <w:pPr>
        <w:pStyle w:val="A-Text11"/>
      </w:pPr>
      <w:r w:rsidRPr="00AF70AA">
        <w:lastRenderedPageBreak/>
        <w:t>Z hľadiska národnostnej štruktúry, podľa posledných dostupných údajov sa v roku 2011 k slovenskej národnosti hlásilo v mestskej časti Bratislava – Ružinov 92 % obyvateľstva, druhou najpočetnejšou národnosťou bola maďarská a česká. Ostatné národnostné menšiny boli zastúpené v počte pod 1%.</w:t>
      </w:r>
    </w:p>
    <w:p w14:paraId="6190D1A6" w14:textId="77777777" w:rsidR="004D7A3D" w:rsidRPr="00AF70AA" w:rsidRDefault="004D7A3D" w:rsidP="004D7A3D">
      <w:pPr>
        <w:pStyle w:val="A-Text11"/>
      </w:pPr>
      <w:r w:rsidRPr="00AF70AA">
        <w:t>Podobne ako národnosť, aj náboženské zloženie má vplyv na vývoj a myslenie spoločnosti. Z hľadiska religiozity je obyvateľstvo mestskej časti Bratislava – Ružinov prevažne rímskokatolíckeho vierovyznania (58 %). Výrazný je však aj podiel obyvateľstva bez vyznania, ktorý tvorí viac ako tretinu všetkých obyvateľov mestskej časti Bratislava – Ružinov (33 %) a 7 % obyvateľstva sa hlási k evanjelickému augsburskému vyznaniu a približne 1 % obyvateľov sa hlási ku gréckokatolíckej cirkvi.</w:t>
      </w:r>
    </w:p>
    <w:p w14:paraId="0BC7C75E" w14:textId="77777777" w:rsidR="004D7A3D" w:rsidRPr="00AF70AA" w:rsidRDefault="004D7A3D" w:rsidP="004D7A3D">
      <w:pPr>
        <w:pStyle w:val="A-Text11"/>
      </w:pPr>
      <w:r w:rsidRPr="00AF70AA">
        <w:t xml:space="preserve">Vzdelanostná štruktúra sa podľa posledných dostupných údajov ukazuje ako priaznivá pre ďalší rozvoj záujmovej mestskej časti. Obyvatelia mestskej časti Bratislava – Ružinov vo väčšine prípadov ukončené úplné učňovské, stredné odborné, vrátane vyššieho, alebo stredné všeobecné vzdelanie s maturitou. Druhé najväčšie zastúpenie má vysokoškolské vzdelanie. Na treťom mieste z hľadiska početnosti sa nachádza učňovské a stredné odborné vzdelanie bez maturity. V súlade s celoslovenským trendom, sa v budúcnosti očakáva zvyšovanie podielu obyvateľov s vysokoškolským vzdelaním. </w:t>
      </w:r>
    </w:p>
    <w:p w14:paraId="0A381082" w14:textId="77777777" w:rsidR="004D7A3D" w:rsidRPr="00AF70AA" w:rsidRDefault="004D7A3D" w:rsidP="004D7A3D">
      <w:pPr>
        <w:pStyle w:val="A-Text11"/>
      </w:pPr>
      <w:r w:rsidRPr="00AF70AA">
        <w:t>Ekonomická aktivita predstavuje ďalší z faktorov, ktoré výrazne vplývajú na potreby občanov. Rovnako ako pri predchádzajúcich štruktúrach obyvateľstva (národnostná, religiózna a vzdelanostná štruktúra) sme vychádzali z posledných dostupných údajov za rok 2011. MČ Bratislava – Ružinov mala v tomto roku 57,88 % ekonomicky aktívneho obyvateľstva (EAO), pričom podiel pracujúcich v rámci EAO dosahoval 70,34 %. Podiel pracujúcich z celkového počtu obyvateľov mestskej časti Bratislava – Ružinov bol 40,71 % a nezamestnaných 4,27 %. Vysoký podiel na celkovom počte obyvateľov mali dôchodcovia (28,82 %) a závislé osoby (13,64 %), medzi ktoré patria deti do 16 rokov. Obyvatelia nachádzajú svoje pracovné uplatnenie práve v samotnej mestskej časti Bratislava - Ružinov, alebo okolitých častiach Bratislavy.</w:t>
      </w:r>
    </w:p>
    <w:p w14:paraId="23DDF6E9" w14:textId="77777777" w:rsidR="004D7A3D" w:rsidRPr="00AF70AA" w:rsidRDefault="004D7A3D" w:rsidP="004D7A3D">
      <w:pPr>
        <w:pStyle w:val="A-Text11"/>
      </w:pPr>
      <w:r w:rsidRPr="00AF70AA">
        <w:t>Počet uchádzačov o zamestnanie v mestskej časti Bratislava – Ružinov má klesajúci charakter počas celého sledovaného obdobia, okrem posledného roku 2019, kedy je zaznamenaný opätovný nárast o 9,7 % oproti predchádzajúcemu roku.</w:t>
      </w:r>
    </w:p>
    <w:p w14:paraId="03E37DBA" w14:textId="72B09DFB" w:rsidR="00E65CA9" w:rsidRPr="003C5893" w:rsidRDefault="00FC3731" w:rsidP="008C6F96">
      <w:pPr>
        <w:pStyle w:val="3rovenadpis"/>
      </w:pPr>
      <w:bookmarkStart w:id="193" w:name="_Toc495992964"/>
      <w:r w:rsidRPr="003C5893">
        <w:t xml:space="preserve"> </w:t>
      </w:r>
      <w:bookmarkStart w:id="194" w:name="_Toc93916829"/>
      <w:r w:rsidR="00E65CA9" w:rsidRPr="003C5893">
        <w:t>Kultúrno-historické hodnoty územia</w:t>
      </w:r>
      <w:bookmarkEnd w:id="188"/>
      <w:bookmarkEnd w:id="189"/>
      <w:bookmarkEnd w:id="190"/>
      <w:bookmarkEnd w:id="191"/>
      <w:bookmarkEnd w:id="192"/>
      <w:bookmarkEnd w:id="193"/>
      <w:bookmarkEnd w:id="194"/>
    </w:p>
    <w:p w14:paraId="495AF3A7" w14:textId="77777777" w:rsidR="00275605" w:rsidRPr="00AF70AA" w:rsidRDefault="00275605" w:rsidP="003C5893">
      <w:pPr>
        <w:pStyle w:val="A-Text11"/>
      </w:pPr>
      <w:r w:rsidRPr="00AF70AA">
        <w:t xml:space="preserve">Prvé stopy po trvalom osídlení sa viažu k mladšej dobe kamennej. Keltský kmeň Bójov v 2. storočí pred n. l., na území mesta založil významné mocenské centrum s obrannou funkciou, ktoré sa preslávilo aj vďaka razeniu mincí. Najznámejšie sú zlaté statéry s nápisom Biatec. </w:t>
      </w:r>
    </w:p>
    <w:p w14:paraId="41423884" w14:textId="77777777" w:rsidR="00275605" w:rsidRPr="00AF70AA" w:rsidRDefault="00275605" w:rsidP="003C5893">
      <w:pPr>
        <w:pStyle w:val="A-Text11"/>
      </w:pPr>
      <w:r w:rsidRPr="00AF70AA">
        <w:t>Strategický význam oblasti súčasnej Bratislavy objavili Rimania. Vybudovali tu vojenské tábory, ktoré boli strategické aj z hľadiska obchodu. Jedným z táborov bola Gerulata na území dnešných Rusoviec, ktorá bola súčasťou obranného systému Limes Romanus.</w:t>
      </w:r>
    </w:p>
    <w:p w14:paraId="247EFA8B" w14:textId="77777777" w:rsidR="00275605" w:rsidRPr="00AF70AA" w:rsidRDefault="00275605" w:rsidP="003C5893">
      <w:pPr>
        <w:pStyle w:val="A-Text11"/>
      </w:pPr>
      <w:r w:rsidRPr="00AF70AA">
        <w:t>Počas výbojov rozširovali rímske légie pestovanie viniča a výrobu vína na všetkých obsadených územiach.</w:t>
      </w:r>
    </w:p>
    <w:p w14:paraId="365E7120" w14:textId="77777777" w:rsidR="00275605" w:rsidRPr="00AF70AA" w:rsidRDefault="00275605" w:rsidP="003C5893">
      <w:pPr>
        <w:pStyle w:val="A-Text11"/>
      </w:pPr>
      <w:r w:rsidRPr="00AF70AA">
        <w:t xml:space="preserve">Počas sťahovania národov sa na území dnešnej Bratislavy usadili Slovania. Pod vedením franského kupca Sama vznikla Samova ríša – prvý známy kmeňový zväzok Slovanov. Predchádzali mu nájazdy bojových kmeňov kočovných Avarov a potreba obrany voči nim. Po Samovej smrti sa ríša rozpadla na kniežatstvá. Následným spájaním kniežactiev vznikol štátny </w:t>
      </w:r>
      <w:r w:rsidRPr="00AF70AA">
        <w:lastRenderedPageBreak/>
        <w:t>útvar Veľkej Moravy. Sláva ríše vyvrcholila počas vlády najvýznamnejšieho panovníka Svätopluka. Začiatok jej postupného zániku sa spája s prvou písomnou zmienkou o Bratislavskom hrade v Salzburských letopisoch z roku 907, kedy sa pri Hrade odohrala bitka medzi maďarskými družinami a bavorským vojskom. Starí Maďari v nej zvíťazili a obsadili východnú časť Veľkej Moravy.</w:t>
      </w:r>
    </w:p>
    <w:p w14:paraId="6026AF2A" w14:textId="77777777" w:rsidR="00275605" w:rsidRPr="00AF70AA" w:rsidRDefault="00275605" w:rsidP="003C5893">
      <w:pPr>
        <w:pStyle w:val="A-Text11"/>
      </w:pPr>
      <w:r w:rsidRPr="00AF70AA">
        <w:t>Koncom 10. storočia vznikol Uhorský štát a za vlády Štefana I. (1001-1038) bolo k nemu pripojené územie dnešnej Bratislavy. Bratislava sa stala dôležitým hospodárskym a správnym centrom uhorského pohraničia.</w:t>
      </w:r>
    </w:p>
    <w:p w14:paraId="471AD698" w14:textId="77777777" w:rsidR="00AE5C29" w:rsidRPr="00AF70AA" w:rsidRDefault="00275605" w:rsidP="003C5893">
      <w:pPr>
        <w:pStyle w:val="A-Text11"/>
      </w:pPr>
      <w:r w:rsidRPr="00AF70AA">
        <w:t xml:space="preserve">V 13. storočí boli Bratislave udelené kráľovské výsady. Významným obdobím v živote mesta na prelome 14. a 15. storočia bolo obdobie vlády Žigmunda Luxemburského. </w:t>
      </w:r>
    </w:p>
    <w:p w14:paraId="6BA7541E" w14:textId="7E2451F9" w:rsidR="00275605" w:rsidRPr="00AF70AA" w:rsidRDefault="00275605" w:rsidP="003C5893">
      <w:pPr>
        <w:pStyle w:val="A-Text11"/>
      </w:pPr>
      <w:r w:rsidRPr="00AF70AA">
        <w:t>Žigmund potvrdil mestu staršie donácie a výsady udelené Arpádovcami a Anjouovcami a udelením nových privilégií vyzdvihol Bratislavu na popredné politické a hospodárske mesto v Uhorsku. Na základe jeho dekrétu z roku 1405 sa Bratislava zaradila medzi najvýznamnejšie mestá, ktoré sa odvtedy nazývali slobodné kráľovské mestá. V roku 1434 udelil mestu erbovú listinu s právom používať znak s tromi vežami nad otvorenou bránou v hradbách.</w:t>
      </w:r>
    </w:p>
    <w:p w14:paraId="0D52E702" w14:textId="77777777" w:rsidR="00275605" w:rsidRPr="00AF70AA" w:rsidRDefault="00275605" w:rsidP="003C5893">
      <w:pPr>
        <w:pStyle w:val="A-Text11"/>
      </w:pPr>
      <w:r w:rsidRPr="00AF70AA">
        <w:t>Nečakaný obrat v histórii mesta prinieslo 16. storočie. V tragickej bitke s Turkami pri Moháči v roku 1526 zahynul uhorský kráľ Ľudovít II. Za nového kráľa bol napriek protikandidátovi Jánovi Zápoľskému a napriek odporu časti uhorskej šľachty zvolený na zasadnutí v bratislavskom františkánskom kostole Ferdinand Habsburský. Turci postupovali veľmi rýchlo dovnútra krajiny. Uhorská šľachta sa zachraňovala útekom na terajšie územie Slovenska, kam sa sťahovali i krajinské úrady. V roku 1530 ohrozovali Turci aj Bratislavu a čiastočne ju poškodili delostreľbou.</w:t>
      </w:r>
    </w:p>
    <w:p w14:paraId="4074DE9D" w14:textId="77777777" w:rsidR="00275605" w:rsidRPr="00AF70AA" w:rsidRDefault="00275605" w:rsidP="003C5893">
      <w:pPr>
        <w:pStyle w:val="A-Text11"/>
      </w:pPr>
      <w:r w:rsidRPr="00AF70AA">
        <w:t>Katastrofa, ktorá postihla Uhorsko po moháčskej bitke, bola pre Bratislavu paradoxne pozitívom. Po obsadení hlavného mesta Budína hľadala uhorská šľachta, svetskí aj cirkevní hodnostári útočisko na sever od Dunaja a čo najbližšie k Viedni, kde sídlil kráľ Ferdinand. Výhodná poloha a relatívna bezpečnosť Bratislavy rozhodli o tom, že sa stala hlavným mestom Uhorska. Rozhodol o tom uhorský snem na svojom zasadnutí roku 1536. Mesto obchodníkov, remeselníkov a vinohradníkov sa stalo sídelným mestom krajiny, sídlom panstva a cirkvi. Bratislava sa stala snemovým mestom kráľovstva a korunovačným mestom uhorských kráľov, sídlom kráľa, arcibiskupa a najdôležitejších inštitúcií krajiny. V rokoch 1536-1830 bolo v Dóme sv. Martina korunovaných 11 kráľov a kráľovien.</w:t>
      </w:r>
    </w:p>
    <w:p w14:paraId="5E8D114A" w14:textId="77777777" w:rsidR="00275605" w:rsidRPr="00AF70AA" w:rsidRDefault="00275605" w:rsidP="003C5893">
      <w:pPr>
        <w:pStyle w:val="A-Text11"/>
      </w:pPr>
      <w:r w:rsidRPr="00AF70AA">
        <w:t>V 18. storočí sa Bratislava stala nielen najväčším a najvýznamnejším mestom Slovenska, ale i celého Uhorska. V tomto storočí sa postavilo veľa honosných palácov uhorskej aristokracie, stavali sa kostoly, kláštory a iné cirkevné budovy, prestaval a rozšíril sa hrad, vyrastali nové ulice a počet obyvateľov sa strojnásobil. Konali sa tu zasadania stavovského snemu, korunovácie kráľov a kráľovien, pulzoval tu čulý kultúrny a spoločenský život.</w:t>
      </w:r>
    </w:p>
    <w:p w14:paraId="64DD1F12" w14:textId="77777777" w:rsidR="00275605" w:rsidRPr="00AF70AA" w:rsidRDefault="00275605" w:rsidP="003C5893">
      <w:pPr>
        <w:pStyle w:val="A-Text11"/>
      </w:pPr>
      <w:r w:rsidRPr="00AF70AA">
        <w:t>Obdobie najväčšieho rozvoja mesta predstavuje doba vlády Márie Terézie (1740-1780). Od jej nástupu začala usmerňovať stavebný vývoj v meste stavebná kancelária Uhorskej kráľovskej komory, ktorá riadila najmä stavbu erárnych budov (palác Uhorskej kráľovskej komory, Vodná kasáreň, a i.). Veľké stavebné úpravy sa vykonali aj na hrade, ktorý sa stal reprezentačným kráľovským sídlom (resp. jeho uhorského miestodržiteľa) a strediskom spoločenského a politického života na najvyššej úrovni.</w:t>
      </w:r>
    </w:p>
    <w:p w14:paraId="11FDD18E" w14:textId="77777777" w:rsidR="00275605" w:rsidRPr="00AF70AA" w:rsidRDefault="00275605" w:rsidP="003C5893">
      <w:pPr>
        <w:pStyle w:val="A-Text11"/>
      </w:pPr>
      <w:r w:rsidRPr="00AF70AA">
        <w:t xml:space="preserve">Vláda Jozefa II. znamenala pre Bratislavu ústup zo slávy. Bratislava prestala byť hlavným mestom Uhorska. Na Jozefov príkaz sa roku 1783 odsťahovala do Budína Miestodržiteľská </w:t>
      </w:r>
      <w:r w:rsidRPr="00AF70AA">
        <w:lastRenderedPageBreak/>
        <w:t>rada a iné centrálne úrady a 13. mája odviezli do Viedne aj kráľovskú korunu stráženú dovtedy na Bratislavskom hrade. Odsťahovanie ústredných úradov vyvolalo priam masový odchod šľachty z mesta. Bratislava sa z hlavého mesta krajiny zmenila opäť na provinčné mesto.</w:t>
      </w:r>
    </w:p>
    <w:p w14:paraId="515CEA29" w14:textId="77777777" w:rsidR="00275605" w:rsidRPr="00AF70AA" w:rsidRDefault="00275605" w:rsidP="003C5893">
      <w:pPr>
        <w:pStyle w:val="A-Text11"/>
      </w:pPr>
      <w:r w:rsidRPr="00AF70AA">
        <w:t>Začiatok 19. storočia sa niesol v znamení napoleonských vojen. V roku 1805 bol po bitke pri Slavkove uzavretý v Zrkadlovej sieni Primaciálneho paláca tzv. Bratislavský mier medzi Francúzskom a Rakúskom. Mier však netrval dlho a už v roku 1809 Napoleonova armáda poškodila mesto delostreleckým ostreľovaním z pravého brehu Dunaja.</w:t>
      </w:r>
    </w:p>
    <w:p w14:paraId="748FFBDC" w14:textId="77777777" w:rsidR="00275605" w:rsidRPr="00AF70AA" w:rsidRDefault="00275605" w:rsidP="003C5893">
      <w:pPr>
        <w:pStyle w:val="A-Text11"/>
      </w:pPr>
      <w:r w:rsidRPr="00AF70AA">
        <w:t>Od tridsiatych rokov 19. storočia nastal v meste prudký rozvoj priemyslu, podporený zavedením modernej dopravy. Rýchlu dopravu vo veľkom umožňovali na Dunaji parné lode schopné plávať už aj proti prúdu rieky. Od roku 1848 začali premávať parné vlaky.</w:t>
      </w:r>
    </w:p>
    <w:p w14:paraId="52BE2660" w14:textId="77777777" w:rsidR="00275605" w:rsidRPr="00AF70AA" w:rsidRDefault="00275605" w:rsidP="003C5893">
      <w:pPr>
        <w:pStyle w:val="A-Text11"/>
      </w:pPr>
      <w:r w:rsidRPr="00AF70AA">
        <w:t>Poslednou veľkou politickou udalosťou v meste za Uhorska bolo zasadnutie uhorského stavovského snemu v rokoch 1847-1848. V marci 1848 snem odhlasoval zrušenie poddanstva. Cisár Ferdinand V. následne navštívil Bratislavu a 11. apríla 1848 tzv. marcové zákony podpísal a vyhlásil v Zrkadlovej sieni Primaciálneho paláca. Po rozpustení posledného uhorského snemu a premiestnení politického sídla Uhorska do Pešti sa stáva Bratislava definitívne politicky menej významnou.</w:t>
      </w:r>
    </w:p>
    <w:p w14:paraId="63D309AA" w14:textId="77777777" w:rsidR="00275605" w:rsidRPr="00AF70AA" w:rsidRDefault="00275605" w:rsidP="003C5893">
      <w:pPr>
        <w:pStyle w:val="A-Text11"/>
      </w:pPr>
      <w:r w:rsidRPr="00AF70AA">
        <w:t xml:space="preserve">Významným medzníkom v histórii mesta bola prvá svetová vojna. Bratislavu nezasiahli boje priamo, ale dôsledky obyvatelia každodenne znášali. Zásobovanie zlyhalo, ceny boli najvyššie v celej monarchii. Koniec prvej svetovej vojny v novembri 1918 priniesol zmeny na mape Európy. Rakúsko-Uhorsko sa rozpadlo a vznikla Československá republika. O osude Bratislavy sa rozhodovalo na parížskych mierových rokovaniach. Keď už bolo koncom roku 1918 zrejmé, že Bratislava bude začlenená do ČSR, rozhodli sa predstavitelia mesta premenovať ho na Wilsonov, resp. mesto Wilsonovo, podľa amerického prezidenta T.W. Wilsona. Predstavitelia mesta žiadali, aby ho dohodové mocnosti uznali za otvorené - slobodné mesto. Tento návrh bol však zamietnutý a mesto, ktoré nazývali Pressburg, Pozsony, Prešpork, bolo pričlenené v januári 1919 k ČSR. Nové pomenovanie mesta bolo schválené 27. marca 1919. Na mape Európy sa objavila Bratislava. </w:t>
      </w:r>
    </w:p>
    <w:p w14:paraId="3226A1F7" w14:textId="77777777" w:rsidR="00275605" w:rsidRPr="00AF70AA" w:rsidRDefault="00275605" w:rsidP="003C5893">
      <w:pPr>
        <w:pStyle w:val="A-Text11"/>
      </w:pPr>
      <w:r w:rsidRPr="00AF70AA">
        <w:t>V medzivojnovom období sa Bratislava vyvíjala pomerne harmonicky. V tomto čase mesto zaznamenáva urbanistický, architektonický, priemyselný a výrobný rozmach. V príkladnej tolerancii až do obdobia druhej svetovej vojny tu žili viaceré národnostné a kultúrne spoločenstvá - slovenské, nemecké, maďarské, židovské, české, chorvátske.</w:t>
      </w:r>
    </w:p>
    <w:p w14:paraId="0F204717" w14:textId="17462FCB" w:rsidR="00275605" w:rsidRPr="00AF70AA" w:rsidRDefault="00275605" w:rsidP="003C5893">
      <w:pPr>
        <w:pStyle w:val="A-Text11"/>
      </w:pPr>
      <w:r w:rsidRPr="00AF70AA">
        <w:t xml:space="preserve">Počas existencie Slovenského štátu sa Bratislava stala po prvýkrát hlavným mestom. Mesto bolo sídlom prezidenta, parlamentu, vlády a všetkých úradov štátnej správy. Stratila však časť svojho územia - Petržalka a Devín boli pripojené k Nemecku. </w:t>
      </w:r>
    </w:p>
    <w:p w14:paraId="64540655" w14:textId="77777777" w:rsidR="00275605" w:rsidRPr="00AF70AA" w:rsidRDefault="00275605" w:rsidP="003C5893">
      <w:pPr>
        <w:pStyle w:val="A-Text11"/>
      </w:pPr>
      <w:r w:rsidRPr="00AF70AA">
        <w:t xml:space="preserve">Po druhej svetovej vojne sa situácia v Bratislave zásadne zmenila. Väčšina jej židovského obyvateľstva sa nevrátila z koncentračných táborov, po oslobodení bola z mesta odsunutá aj väčšina obyvateľstva nemeckej a maďarskej národnosti. Koniec štyridsiatych a začiatok päťdesiatych rokov sa niesol v znamení prestavby a opätovnej výstavby vojnou zničených častí mesta, najmä priemyselných podnikov, ktoré boli po roku 1948 znárodnené. </w:t>
      </w:r>
    </w:p>
    <w:p w14:paraId="0683E7F0" w14:textId="77777777" w:rsidR="00275605" w:rsidRPr="00AF70AA" w:rsidRDefault="00275605" w:rsidP="003C5893">
      <w:pPr>
        <w:pStyle w:val="A-Text11"/>
      </w:pPr>
      <w:r w:rsidRPr="00AF70AA">
        <w:t>Spolu s politickými zmenami v roku 1989 došlo k nastoleniu dlho neriešenej otázky reálnej federalizácie Československa. 31. decembra 1992 prestalo Československo existovať. Bratislava sa opäť stala hlavným mestom samostatného Slovenska.</w:t>
      </w:r>
    </w:p>
    <w:p w14:paraId="0D659BBC" w14:textId="77777777" w:rsidR="00275605" w:rsidRPr="00AF70AA" w:rsidRDefault="00275605" w:rsidP="003C5893">
      <w:pPr>
        <w:pStyle w:val="A-Text11"/>
      </w:pPr>
      <w:r w:rsidRPr="00AF70AA">
        <w:lastRenderedPageBreak/>
        <w:t>Status hlavného mesta znamenal radikálne zmeny v charaktere mesta. V súčasnosti je považovaná za jeden z najdynamickejšie sa rozvíjajúcich a najperspektívnejších regiónov v Európe.</w:t>
      </w:r>
    </w:p>
    <w:p w14:paraId="0E1441F5" w14:textId="5B1D5EB0" w:rsidR="00275605" w:rsidRPr="00AF70AA" w:rsidRDefault="00275605" w:rsidP="003C5893">
      <w:pPr>
        <w:pStyle w:val="A-Text11"/>
      </w:pPr>
      <w:r w:rsidRPr="00AF70AA">
        <w:t xml:space="preserve">Najcennejšie prvky z hľadiska kultúrno-historického sú chránené ako hnuteľné alebo nehnuteľné kultúrne pamiatky, prípadne ich ochranné pásma, alebo ako pamiatkové rezervácie a pamiatkové zóny. Najcennejšia časť mesta, Hrad s podhradím a s časťou Starého mesta, tvorí mestskú pamiatkovú rezerváciu (MPR) s 264 kultúrnymi pamiatkami vyhlásenú </w:t>
      </w:r>
      <w:r w:rsidR="00372EE7" w:rsidRPr="00AF70AA">
        <w:t xml:space="preserve">v </w:t>
      </w:r>
      <w:r w:rsidRPr="00AF70AA">
        <w:t xml:space="preserve">r. 1954. </w:t>
      </w:r>
    </w:p>
    <w:p w14:paraId="3A33127F" w14:textId="77777777" w:rsidR="00275605" w:rsidRPr="00AF70AA" w:rsidRDefault="00275605" w:rsidP="003C5893">
      <w:pPr>
        <w:pStyle w:val="A-Text11"/>
      </w:pPr>
      <w:r w:rsidRPr="00AF70AA">
        <w:t xml:space="preserve">Prvá písomná zmienka o Bratislavskom hrade pochádza z roku 907. V roku 1291 mestu boli priznané mestské práva. V súčasnosti Bratislava patrí k najvýznamnejším kultúrno-historickým mestám v rámci Slovenska. </w:t>
      </w:r>
    </w:p>
    <w:p w14:paraId="54595858" w14:textId="77777777" w:rsidR="00275605" w:rsidRPr="00AF70AA" w:rsidRDefault="00275605" w:rsidP="003C5893">
      <w:pPr>
        <w:pStyle w:val="A-Text11"/>
      </w:pPr>
      <w:r w:rsidRPr="00AF70AA">
        <w:t>K najstarším budovám patria:</w:t>
      </w:r>
    </w:p>
    <w:p w14:paraId="029F0961" w14:textId="77777777" w:rsidR="00275605" w:rsidRPr="00AF70AA" w:rsidRDefault="00275605" w:rsidP="0095439F">
      <w:pPr>
        <w:pStyle w:val="A-Text11"/>
        <w:numPr>
          <w:ilvl w:val="0"/>
          <w:numId w:val="39"/>
        </w:numPr>
        <w:spacing w:before="0" w:line="240" w:lineRule="auto"/>
      </w:pPr>
      <w:r w:rsidRPr="00AF70AA">
        <w:t>Bratislavský hrad (Korunná veža) – r. 1245</w:t>
      </w:r>
    </w:p>
    <w:p w14:paraId="2A3786D0" w14:textId="77777777" w:rsidR="00275605" w:rsidRPr="00AF70AA" w:rsidRDefault="00275605" w:rsidP="0095439F">
      <w:pPr>
        <w:pStyle w:val="A-Text11"/>
        <w:numPr>
          <w:ilvl w:val="0"/>
          <w:numId w:val="39"/>
        </w:numPr>
        <w:spacing w:before="0" w:line="240" w:lineRule="auto"/>
      </w:pPr>
      <w:r w:rsidRPr="00AF70AA">
        <w:t>Kostol sv. Kríža v Devíne – r. 1250</w:t>
      </w:r>
    </w:p>
    <w:p w14:paraId="2F3B925D" w14:textId="77777777" w:rsidR="00275605" w:rsidRPr="00AF70AA" w:rsidRDefault="00275605" w:rsidP="0095439F">
      <w:pPr>
        <w:pStyle w:val="A-Text11"/>
        <w:numPr>
          <w:ilvl w:val="0"/>
          <w:numId w:val="39"/>
        </w:numPr>
        <w:spacing w:before="0" w:line="240" w:lineRule="auto"/>
      </w:pPr>
      <w:r w:rsidRPr="00AF70AA">
        <w:t>Františkánsky kostol – r. 1297</w:t>
      </w:r>
    </w:p>
    <w:p w14:paraId="1B6AB821" w14:textId="77777777" w:rsidR="00275605" w:rsidRPr="00AF70AA" w:rsidRDefault="00275605" w:rsidP="0095439F">
      <w:pPr>
        <w:pStyle w:val="A-Text11"/>
        <w:numPr>
          <w:ilvl w:val="0"/>
          <w:numId w:val="39"/>
        </w:numPr>
        <w:spacing w:before="0" w:line="240" w:lineRule="auto"/>
      </w:pPr>
      <w:r w:rsidRPr="00AF70AA">
        <w:t>Michalská veža – r. 1300</w:t>
      </w:r>
    </w:p>
    <w:p w14:paraId="68268242" w14:textId="77777777" w:rsidR="00AE5C29" w:rsidRPr="00AF70AA" w:rsidRDefault="00275605" w:rsidP="003C5893">
      <w:pPr>
        <w:pStyle w:val="A-Text11"/>
      </w:pPr>
      <w:r w:rsidRPr="00AF70AA">
        <w:t xml:space="preserve">Najcennejšie prvky z hľadiska kultúrno-historického sú chránené ako hnuteľné alebo nehnuteľné kultúrne pamiatky, prípadne ich ochranné pásma, alebo ako pamiatkové rezervácie a pamiatkové zóny. </w:t>
      </w:r>
    </w:p>
    <w:p w14:paraId="286007A1" w14:textId="3BD1E2D6" w:rsidR="00275605" w:rsidRPr="00AF70AA" w:rsidRDefault="00275605" w:rsidP="003C5893">
      <w:pPr>
        <w:pStyle w:val="A-Text11"/>
      </w:pPr>
      <w:r w:rsidRPr="00AF70AA">
        <w:t xml:space="preserve">Najcennejšia časť mesta, Hrad s podhradím a s časťou Starého mesta, tvorí mestskú pamiatkovú rezerváciu (MPR) s 264 kultúrnymi pamiatkami vyhlásenú r. 1954. </w:t>
      </w:r>
    </w:p>
    <w:p w14:paraId="07116350" w14:textId="74DF6117" w:rsidR="00275605" w:rsidRPr="00AF70AA" w:rsidRDefault="00275605" w:rsidP="003C5893">
      <w:pPr>
        <w:pStyle w:val="A-Text11"/>
      </w:pPr>
      <w:r w:rsidRPr="00AF70AA">
        <w:t xml:space="preserve">Na území mesta Bratislava je vyhlásených tiež 8 lokalít v kategórii pamiatková zóna. Posudzované územie nezasahuje ani do jednej z lokalít. </w:t>
      </w:r>
    </w:p>
    <w:p w14:paraId="47FD88CB" w14:textId="7D8FFE76" w:rsidR="003C5893" w:rsidRPr="00AF70AA" w:rsidRDefault="003C5893" w:rsidP="003C5893">
      <w:pPr>
        <w:spacing w:before="120"/>
        <w:jc w:val="both"/>
        <w:rPr>
          <w:rFonts w:ascii="Arial" w:hAnsi="Arial" w:cs="Arial"/>
          <w:i/>
          <w:iCs/>
          <w:sz w:val="22"/>
          <w:szCs w:val="22"/>
          <w:u w:val="single"/>
        </w:rPr>
      </w:pPr>
      <w:r w:rsidRPr="00AF70AA">
        <w:rPr>
          <w:rFonts w:ascii="Arial" w:hAnsi="Arial" w:cs="Arial"/>
          <w:i/>
          <w:iCs/>
          <w:sz w:val="22"/>
          <w:szCs w:val="22"/>
          <w:u w:val="single"/>
        </w:rPr>
        <w:t>Pamätihodnosti</w:t>
      </w:r>
    </w:p>
    <w:p w14:paraId="697DC09A" w14:textId="2DB7FB0B" w:rsidR="00B2142B" w:rsidRPr="00AF70AA" w:rsidRDefault="00B2142B" w:rsidP="00860F1D">
      <w:pPr>
        <w:pStyle w:val="A-Text11"/>
      </w:pPr>
      <w:r w:rsidRPr="00AF70AA">
        <w:t>Podľa</w:t>
      </w:r>
      <w:r w:rsidR="00860F1D" w:rsidRPr="00AF70AA">
        <w:t xml:space="preserve"> §14, ods. 4, </w:t>
      </w:r>
      <w:r w:rsidRPr="00AF70AA">
        <w:t xml:space="preserve">Zákona č. 49/2002 Z. z. o ochrane pamiatkového fondu, </w:t>
      </w:r>
      <w:r w:rsidR="00860F1D" w:rsidRPr="00AF70AA">
        <w:t xml:space="preserve">môže obec </w:t>
      </w:r>
      <w:r w:rsidRPr="00AF70AA">
        <w:t>rozhodnúť o utvorení a odbornom vedení evidencie pamätihodností obce. Do evidencie pamätihodností obce možno zaradiť okrem hnuteľných vecí a nehnuteľných vecí aj kombinované diela prírody a človeka, historické udalosti, názvy ulíc, zemepisné a katastrálne názvy, ktoré sa viažu k histórii a osobnostiam obce. Zoznam evidovaných pamätihodností obce predloží obec na odborné a dokumentačné účely krajskému pamiatkovému úradu</w:t>
      </w:r>
      <w:r w:rsidR="00860F1D" w:rsidRPr="00AF70AA">
        <w:t>,</w:t>
      </w:r>
      <w:r w:rsidRPr="00AF70AA">
        <w:t xml:space="preserve"> ak ide o nehnuteľné veci, </w:t>
      </w:r>
      <w:r w:rsidR="00860F1D" w:rsidRPr="00AF70AA">
        <w:t xml:space="preserve">obec </w:t>
      </w:r>
      <w:r w:rsidRPr="00AF70AA">
        <w:t>predloží zoznam aj stavebnému úradu</w:t>
      </w:r>
      <w:r w:rsidR="00860F1D" w:rsidRPr="00AF70AA">
        <w:t xml:space="preserve">. Pričom podľa </w:t>
      </w:r>
      <w:r w:rsidR="00DA7B92" w:rsidRPr="00AF70AA">
        <w:t>§11</w:t>
      </w:r>
      <w:r w:rsidR="00860F1D" w:rsidRPr="00AF70AA">
        <w:t>,</w:t>
      </w:r>
      <w:r w:rsidR="00DA7B92" w:rsidRPr="00AF70AA">
        <w:t xml:space="preserve"> ods. 2</w:t>
      </w:r>
      <w:r w:rsidR="00860F1D" w:rsidRPr="00AF70AA">
        <w:t>,</w:t>
      </w:r>
      <w:r w:rsidR="00DA7B92" w:rsidRPr="00AF70AA">
        <w:t xml:space="preserve"> písmen</w:t>
      </w:r>
      <w:r w:rsidR="00860F1D" w:rsidRPr="00AF70AA">
        <w:t>a</w:t>
      </w:r>
      <w:r w:rsidR="00DA7B92" w:rsidRPr="00AF70AA">
        <w:t xml:space="preserve"> g</w:t>
      </w:r>
      <w:r w:rsidR="00860F1D" w:rsidRPr="00AF70AA">
        <w:t>,</w:t>
      </w:r>
      <w:r w:rsidR="00DA7B92" w:rsidRPr="00AF70AA">
        <w:t xml:space="preserve"> pri evidovaní miestnych pamätihodností poskytuje obci metodickú a odbornú pomoc Krajský pamiatkový úrad.</w:t>
      </w:r>
    </w:p>
    <w:p w14:paraId="19C804A5" w14:textId="4F196DAB" w:rsidR="003C5893" w:rsidRPr="00AF70AA" w:rsidRDefault="003C5893" w:rsidP="00CD2C57">
      <w:pPr>
        <w:pStyle w:val="A-Text11"/>
      </w:pPr>
      <w:r w:rsidRPr="00AF70AA">
        <w:t>V mestskej časti</w:t>
      </w:r>
      <w:r w:rsidR="00B84458">
        <w:t>,</w:t>
      </w:r>
      <w:r w:rsidRPr="00AF70AA">
        <w:t xml:space="preserve"> v ktorej má byť umiestnená navrhovaná činnosť je prítomných 28 </w:t>
      </w:r>
      <w:r w:rsidR="008B1977" w:rsidRPr="00AF70AA">
        <w:t>pam</w:t>
      </w:r>
      <w:r w:rsidR="0025696A">
        <w:t>ä</w:t>
      </w:r>
      <w:r w:rsidR="008B1977" w:rsidRPr="00AF70AA">
        <w:t>tihodností</w:t>
      </w:r>
      <w:r w:rsidR="00A05B5F" w:rsidRPr="00AF70AA">
        <w:t xml:space="preserve">, ktoré tento štatút nadobudli uzneseniami </w:t>
      </w:r>
      <w:r w:rsidR="00B749FA" w:rsidRPr="00AF70AA">
        <w:t>M</w:t>
      </w:r>
      <w:r w:rsidR="00A05B5F" w:rsidRPr="00AF70AA">
        <w:t xml:space="preserve">estského zastupiteľstva v rozmedzí rokov 2007 – 2012 </w:t>
      </w:r>
      <w:r w:rsidR="008B1977" w:rsidRPr="00AF70AA">
        <w:t>&lt;ruzinov.sk&gt;</w:t>
      </w:r>
      <w:r w:rsidR="0025696A">
        <w:t>.</w:t>
      </w:r>
    </w:p>
    <w:p w14:paraId="5ED17577" w14:textId="77777777" w:rsidR="00275605" w:rsidRPr="00EC5349" w:rsidRDefault="00275605" w:rsidP="00C646D0">
      <w:pPr>
        <w:pStyle w:val="A-Text11"/>
      </w:pPr>
      <w:r w:rsidRPr="00EC5349">
        <w:t xml:space="preserve">Posudzovaná lokalita sa nedotýka pamiatkového územia ani národnej kultúrnej pamiatky. </w:t>
      </w:r>
    </w:p>
    <w:p w14:paraId="24943A30" w14:textId="77777777" w:rsidR="00275605" w:rsidRPr="00EC5349" w:rsidRDefault="00275605" w:rsidP="00C646D0">
      <w:pPr>
        <w:pStyle w:val="A-Text11"/>
      </w:pPr>
      <w:r w:rsidRPr="00EC5349">
        <w:t>Ku každej pripravovanej stavebnej činnosti na riešenom území si je potrebné vyžiadať v zmysle § 30 ods. 4 a § 41 ods.4 pamiatkového zákona vyjadrenie KPÚ Bratislava ako dotknutého orgánu štátnej správy, ktorý určí spôsob ochrany evidovaných a potencionálnych archeologických nálezísk a nálezov.</w:t>
      </w:r>
    </w:p>
    <w:p w14:paraId="64193985" w14:textId="77777777" w:rsidR="00411AEC" w:rsidRDefault="00411AEC" w:rsidP="005B7796">
      <w:pPr>
        <w:spacing w:before="120"/>
        <w:jc w:val="both"/>
        <w:rPr>
          <w:rFonts w:ascii="Arial" w:hAnsi="Arial" w:cs="Arial"/>
          <w:i/>
          <w:sz w:val="22"/>
          <w:szCs w:val="22"/>
          <w:u w:val="single"/>
        </w:rPr>
      </w:pPr>
      <w:bookmarkStart w:id="195" w:name="_Toc191130503"/>
    </w:p>
    <w:p w14:paraId="658902C0" w14:textId="72DB5A04" w:rsidR="00275605" w:rsidRPr="00E97F7A" w:rsidRDefault="00275605" w:rsidP="005B7796">
      <w:pPr>
        <w:spacing w:before="120"/>
        <w:jc w:val="both"/>
        <w:rPr>
          <w:rFonts w:ascii="Arial" w:hAnsi="Arial" w:cs="Arial"/>
          <w:i/>
          <w:sz w:val="22"/>
          <w:szCs w:val="22"/>
          <w:u w:val="single"/>
        </w:rPr>
      </w:pPr>
      <w:r w:rsidRPr="00E97F7A">
        <w:rPr>
          <w:rFonts w:ascii="Arial" w:hAnsi="Arial" w:cs="Arial"/>
          <w:i/>
          <w:sz w:val="22"/>
          <w:szCs w:val="22"/>
          <w:u w:val="single"/>
        </w:rPr>
        <w:lastRenderedPageBreak/>
        <w:t>Paleontologické náleziská</w:t>
      </w:r>
      <w:bookmarkEnd w:id="195"/>
    </w:p>
    <w:p w14:paraId="543B6C3F" w14:textId="6D3C7DEE" w:rsidR="00275605" w:rsidRDefault="00275605" w:rsidP="0025696A">
      <w:pPr>
        <w:pStyle w:val="A-Text11"/>
      </w:pPr>
      <w:r w:rsidRPr="00E97F7A">
        <w:t>V posudzovanom území nie sú známe žiadne paleontologické náleziská. V prípade objavu paleontologického náleziska bude postupované v súlade s ustanoveniami zákona č. 543/2002 o ochrane prírody a krajiny.</w:t>
      </w:r>
    </w:p>
    <w:p w14:paraId="06B48754" w14:textId="77777777" w:rsidR="00E65CA9" w:rsidRPr="004A7717" w:rsidRDefault="00E65CA9" w:rsidP="008C6F96">
      <w:pPr>
        <w:pStyle w:val="Nadpis2"/>
      </w:pPr>
      <w:bookmarkStart w:id="196" w:name="_Toc80536544"/>
      <w:bookmarkStart w:id="197" w:name="_Toc132078691"/>
      <w:bookmarkStart w:id="198" w:name="_Toc488343982"/>
      <w:bookmarkStart w:id="199" w:name="_Toc495992965"/>
      <w:r w:rsidRPr="004A7717">
        <w:t xml:space="preserve">   </w:t>
      </w:r>
      <w:bookmarkStart w:id="200" w:name="_Toc93916830"/>
      <w:r w:rsidRPr="004A7717">
        <w:t>Súčasný stav kvality životného prostredia</w:t>
      </w:r>
      <w:bookmarkEnd w:id="196"/>
      <w:bookmarkEnd w:id="197"/>
      <w:r w:rsidRPr="004A7717">
        <w:t xml:space="preserve"> vrátane zdravia</w:t>
      </w:r>
      <w:bookmarkEnd w:id="198"/>
      <w:bookmarkEnd w:id="199"/>
      <w:bookmarkEnd w:id="200"/>
    </w:p>
    <w:p w14:paraId="1E9887B7" w14:textId="77777777" w:rsidR="00D26017" w:rsidRPr="005A7555" w:rsidRDefault="00D26017" w:rsidP="00B816F2">
      <w:pPr>
        <w:pStyle w:val="A-Text11"/>
      </w:pPr>
      <w:r w:rsidRPr="005A7555">
        <w:t xml:space="preserve">Bratislava sa nachádza v členitom teréne s nadmorskou výškou od 126 m n.m. (v Čunove) po 514 m n.m. (Devínska Kobyla). Od juhozápadu na severovýchod sa tiahne pohorie Malých Karpát. Západná časť Bratislavy leží na Záhorskej nížine a východnú a juhovýchodnú časť zaberá Podunajská nížina. V oblasti Devínskej brány, ktorá oddeľuje Hainburgské vrchy a Devínske Karpaty a v oblasti Lamačskej brány medzi Devínskymi Karpatmi a Pezinskými Karpatmi dochádza k orografickému zvýšeniu rýchlosti vetra, čo priaznivo pôsobí na ventiláciu mesta. </w:t>
      </w:r>
    </w:p>
    <w:p w14:paraId="5C9B4987" w14:textId="75472F62" w:rsidR="00D26017" w:rsidRPr="00B816F2" w:rsidRDefault="00D26017" w:rsidP="004D2F0F">
      <w:pPr>
        <w:pStyle w:val="A-Text11"/>
        <w:ind w:firstLine="0"/>
        <w:rPr>
          <w:b/>
          <w:bCs/>
        </w:rPr>
      </w:pPr>
      <w:r w:rsidRPr="00B816F2">
        <w:rPr>
          <w:b/>
          <w:bCs/>
        </w:rPr>
        <w:t>Znečistenie ovzdušia</w:t>
      </w:r>
    </w:p>
    <w:p w14:paraId="4C6095E9" w14:textId="77777777" w:rsidR="00D26017" w:rsidRPr="005A7555" w:rsidRDefault="00D26017" w:rsidP="00B816F2">
      <w:pPr>
        <w:pStyle w:val="A-Text11"/>
      </w:pPr>
      <w:r w:rsidRPr="005A7555">
        <w:t xml:space="preserve">Dominantným zdrojom znečisťovania ovzdušia v hlavnom meste je cestná doprava. Najviac áut v Bratislave prejde diaľničným obchvatom mesta D1 od prístavného mostu smerom na Žilinu. Na najfrekventovanejšom úseku je to denne v priemere 93 344 vozidiel, z toho 12 762 nákladných a 80 058 osobných áut. Diaľničným obchvatom D2 za mostom Lafranconi smerom do Rakúska a Maďarska  prejde 82 646 vozidiel, 11 913 nákladných a 70 519 osobných áut, cestou č. 2 (59 121 vozidiel, 3 273 nákladných a 55 545 osobných áut) vedúcou súbežne povedľa diaľnice R1 v Petržalke, cestou č. 61 (Trnavská cesta – 48 720 vozidiel, 3 420 nákladných a 45 141 osobných áut) a cestou 2. triedy č. 572 smerom na Most pri Bratislave (35 051 vozidiel, 2 915 nákladných a 31 984 osobných áut). </w:t>
      </w:r>
    </w:p>
    <w:p w14:paraId="04534D1E" w14:textId="51FBC52A" w:rsidR="00D26017" w:rsidRPr="00E97F7A" w:rsidRDefault="00D26017" w:rsidP="00E97F7A">
      <w:pPr>
        <w:pStyle w:val="A-Text11"/>
        <w:spacing w:line="240" w:lineRule="auto"/>
      </w:pPr>
      <w:r w:rsidRPr="005A7555">
        <w:t xml:space="preserve">Pre vykurovanie domácností v Bratislave je podľa údajov zo sčítania obyvateľstva využívaný najmä zemný plyn, podiel tuhých palív je v porovnaní s ostatnými zónami najnižší (pravdepodobne ide najmä o prikurovanie v prechodných ročných obdobiach s využitím krbov). </w:t>
      </w:r>
      <w:r w:rsidRPr="00E97F7A">
        <w:t xml:space="preserve">Priemyselné zdroje znečisťovania ovzdušia sú z hľadiska príspevku k lokálnemu znečisteniu ovzdušia základnými znečisťujúcimi látkami menej významné. </w:t>
      </w:r>
    </w:p>
    <w:p w14:paraId="0629F859" w14:textId="77777777" w:rsidR="00590C44" w:rsidRPr="00E97F7A" w:rsidRDefault="00590C44" w:rsidP="00B84AB0">
      <w:pPr>
        <w:pStyle w:val="A-Text11"/>
      </w:pPr>
      <w:r w:rsidRPr="00E97F7A">
        <w:rPr>
          <w:rStyle w:val="normaltextrun"/>
        </w:rPr>
        <w:t>Z hľadiska hodnotenia kvality ovzdušia v súčasnom stave podľa Zákona č. 137/2010 Z. z. o ovzduší v znení neskorších predpisov (ďalej len zákon o ovzduší) sú rozhodujúce merania koncentrácií znečisťujúcich látok na monitorovacích staniciach v sieti NMSKO a dostupné modelácie rozloženia imisií. Najbližšie k posudzovanej oblasti sa nachádza monitorovacia stanica Bratislava – Trnavské mýto.</w:t>
      </w:r>
    </w:p>
    <w:p w14:paraId="2CBACB99" w14:textId="77777777" w:rsidR="00590C44" w:rsidRPr="00E97F7A" w:rsidRDefault="00590C44" w:rsidP="00B84AB0">
      <w:pPr>
        <w:pStyle w:val="A-Text11"/>
      </w:pPr>
      <w:r w:rsidRPr="00E97F7A">
        <w:rPr>
          <w:rStyle w:val="normaltextrun"/>
        </w:rPr>
        <w:t>Ak namerané koncentrácie niektorej znečisťujúcej látky v ovzduší na danej monitorovacej stanici prekročia v sledovanom roku limitnú alebo cieľovú hodnotu, príslušné územie, ktoré stanica svojim meraním reprezentuje, je podľa Zákona č. 137/2010 </w:t>
      </w:r>
      <w:r w:rsidRPr="00E97F7A">
        <w:rPr>
          <w:rStyle w:val="spellingerror"/>
        </w:rPr>
        <w:t>Z.z</w:t>
      </w:r>
      <w:r w:rsidRPr="00E97F7A">
        <w:rPr>
          <w:rStyle w:val="normaltextrun"/>
        </w:rPr>
        <w:t>. o ovzduší v znení neskorších predpisov vyhlásené za oblasť riadenia kvality ovzdušia (ORKO)</w:t>
      </w:r>
      <w:r w:rsidRPr="00E97F7A">
        <w:rPr>
          <w:rStyle w:val="eop"/>
        </w:rPr>
        <w:t> </w:t>
      </w:r>
    </w:p>
    <w:p w14:paraId="3D15A99F" w14:textId="5D53BC31" w:rsidR="00590C44" w:rsidRPr="00E97F7A" w:rsidRDefault="00590C44" w:rsidP="00B84AB0">
      <w:pPr>
        <w:pStyle w:val="A-Text11"/>
      </w:pPr>
      <w:r w:rsidRPr="00E97F7A">
        <w:rPr>
          <w:rStyle w:val="normaltextrun"/>
        </w:rPr>
        <w:t>Pre rok 2019 bola pre aglomeráciu Bratislava na základe merania v rokoch 2016 – 2018 vymedzená</w:t>
      </w:r>
      <w:r w:rsidR="00B84AB0">
        <w:rPr>
          <w:rStyle w:val="normaltextrun"/>
        </w:rPr>
        <w:t xml:space="preserve"> </w:t>
      </w:r>
      <w:r w:rsidRPr="00E97F7A">
        <w:rPr>
          <w:rStyle w:val="normaltextrun"/>
        </w:rPr>
        <w:t>Oblasť</w:t>
      </w:r>
      <w:r w:rsidR="00B84AB0">
        <w:rPr>
          <w:rStyle w:val="normaltextrun"/>
        </w:rPr>
        <w:t xml:space="preserve"> </w:t>
      </w:r>
      <w:r w:rsidRPr="00E97F7A">
        <w:rPr>
          <w:rStyle w:val="normaltextrun"/>
        </w:rPr>
        <w:t>riadenia</w:t>
      </w:r>
      <w:r w:rsidR="00B84AB0">
        <w:rPr>
          <w:rStyle w:val="normaltextrun"/>
        </w:rPr>
        <w:t xml:space="preserve"> </w:t>
      </w:r>
      <w:r w:rsidRPr="00E97F7A">
        <w:rPr>
          <w:rStyle w:val="normaltextrun"/>
        </w:rPr>
        <w:t>kvality ovzdušia pre znečisťujúce látky</w:t>
      </w:r>
      <w:r w:rsidR="00B84AB0">
        <w:rPr>
          <w:rStyle w:val="normaltextrun"/>
        </w:rPr>
        <w:t xml:space="preserve"> </w:t>
      </w:r>
      <w:r w:rsidRPr="00E97F7A">
        <w:rPr>
          <w:rStyle w:val="normaltextrun"/>
        </w:rPr>
        <w:t>-</w:t>
      </w:r>
      <w:r w:rsidR="00B84AB0">
        <w:rPr>
          <w:rStyle w:val="normaltextrun"/>
        </w:rPr>
        <w:t xml:space="preserve"> </w:t>
      </w:r>
      <w:r w:rsidRPr="00E97F7A">
        <w:rPr>
          <w:rStyle w:val="normaltextrun"/>
        </w:rPr>
        <w:t>NO</w:t>
      </w:r>
      <w:r w:rsidRPr="00677921">
        <w:rPr>
          <w:rStyle w:val="normaltextrun"/>
          <w:vertAlign w:val="subscript"/>
        </w:rPr>
        <w:t>2</w:t>
      </w:r>
      <w:r w:rsidRPr="00E97F7A">
        <w:rPr>
          <w:rStyle w:val="normaltextrun"/>
        </w:rPr>
        <w:t>,</w:t>
      </w:r>
      <w:r w:rsidR="00B84AB0">
        <w:rPr>
          <w:rStyle w:val="normaltextrun"/>
        </w:rPr>
        <w:t xml:space="preserve"> </w:t>
      </w:r>
      <w:r w:rsidRPr="00E97F7A">
        <w:rPr>
          <w:rStyle w:val="spellingerror"/>
        </w:rPr>
        <w:t>BaP</w:t>
      </w:r>
      <w:r w:rsidRPr="00E97F7A">
        <w:rPr>
          <w:rStyle w:val="normaltextrun"/>
        </w:rPr>
        <w:t> (</w:t>
      </w:r>
      <w:r w:rsidRPr="00E97F7A">
        <w:rPr>
          <w:rStyle w:val="spellingerror"/>
        </w:rPr>
        <w:t>benzo</w:t>
      </w:r>
      <w:r w:rsidRPr="00E97F7A">
        <w:rPr>
          <w:rStyle w:val="normaltextrun"/>
        </w:rPr>
        <w:t> (a)</w:t>
      </w:r>
      <w:r w:rsidRPr="00E97F7A">
        <w:rPr>
          <w:rStyle w:val="spellingerror"/>
        </w:rPr>
        <w:t>pyrén</w:t>
      </w:r>
      <w:r w:rsidRPr="00E97F7A">
        <w:rPr>
          <w:rStyle w:val="normaltextrun"/>
        </w:rPr>
        <w:t>). (Správa o kvalite ovzdušia v SR za rok 2019, SHMÚ, 09/2020)</w:t>
      </w:r>
      <w:r w:rsidRPr="00E97F7A">
        <w:rPr>
          <w:rStyle w:val="eop"/>
        </w:rPr>
        <w:t> </w:t>
      </w:r>
    </w:p>
    <w:p w14:paraId="7286FFA7" w14:textId="514C59CE" w:rsidR="00590C44" w:rsidRPr="00E97F7A" w:rsidRDefault="00590C44" w:rsidP="00B84AB0">
      <w:pPr>
        <w:pStyle w:val="A-Text11"/>
        <w:rPr>
          <w:rStyle w:val="eop"/>
        </w:rPr>
      </w:pPr>
      <w:r w:rsidRPr="00E97F7A">
        <w:rPr>
          <w:rStyle w:val="normaltextrun"/>
        </w:rPr>
        <w:t>V roku 2019 však neboli v aglomerácii Bratislava prekročené limitné hodnoty na ochranu zdravia ľudí pre SO</w:t>
      </w:r>
      <w:r w:rsidRPr="00677921">
        <w:rPr>
          <w:rStyle w:val="normaltextrun"/>
          <w:vertAlign w:val="subscript"/>
        </w:rPr>
        <w:t>2</w:t>
      </w:r>
      <w:r w:rsidRPr="00E97F7A">
        <w:rPr>
          <w:rStyle w:val="normaltextrun"/>
        </w:rPr>
        <w:t>, PM</w:t>
      </w:r>
      <w:r w:rsidRPr="00C27CEC">
        <w:rPr>
          <w:rStyle w:val="normaltextrun"/>
          <w:vertAlign w:val="subscript"/>
        </w:rPr>
        <w:t>10</w:t>
      </w:r>
      <w:r w:rsidRPr="00E97F7A">
        <w:rPr>
          <w:rStyle w:val="normaltextrun"/>
        </w:rPr>
        <w:t>, PM</w:t>
      </w:r>
      <w:r w:rsidRPr="00C27CEC">
        <w:rPr>
          <w:rStyle w:val="normaltextrun"/>
          <w:vertAlign w:val="subscript"/>
        </w:rPr>
        <w:t>2,5</w:t>
      </w:r>
      <w:r w:rsidRPr="00E97F7A">
        <w:rPr>
          <w:rStyle w:val="normaltextrun"/>
        </w:rPr>
        <w:t>, benzén ani CO. </w:t>
      </w:r>
    </w:p>
    <w:p w14:paraId="702A2677" w14:textId="77777777" w:rsidR="00590C44" w:rsidRPr="00E97F7A" w:rsidRDefault="00590C44" w:rsidP="00B84AB0">
      <w:pPr>
        <w:pStyle w:val="A-Text11"/>
        <w:rPr>
          <w:rStyle w:val="normaltextrun"/>
        </w:rPr>
      </w:pPr>
      <w:r w:rsidRPr="00E97F7A">
        <w:lastRenderedPageBreak/>
        <w:t xml:space="preserve">Na základe hodnotenia kvality ovzdušia v zónach a aglomeráciách v rokoch 2017 – 2019 pre rok 2020 </w:t>
      </w:r>
      <w:r w:rsidRPr="00E97F7A">
        <w:rPr>
          <w:rStyle w:val="normaltextrun"/>
        </w:rPr>
        <w:t>bola pre aglomeráciu Bratislava vymedzená Oblasť riadenia kvality ovzdušia pre znečisťujúcu látku - NO</w:t>
      </w:r>
      <w:r w:rsidRPr="00E97F7A">
        <w:rPr>
          <w:rStyle w:val="normaltextrun"/>
          <w:vertAlign w:val="subscript"/>
        </w:rPr>
        <w:t>2</w:t>
      </w:r>
      <w:r w:rsidRPr="00E97F7A">
        <w:rPr>
          <w:rStyle w:val="normaltextrun"/>
        </w:rPr>
        <w:t>.</w:t>
      </w:r>
    </w:p>
    <w:p w14:paraId="570F47A6" w14:textId="0304AA2A" w:rsidR="00D26017" w:rsidRPr="00590C44" w:rsidRDefault="00D26017" w:rsidP="00B84AB0">
      <w:pPr>
        <w:pStyle w:val="A-Text11"/>
      </w:pPr>
      <w:r w:rsidRPr="00590C44">
        <w:t>Oxidy dusíka (NOx) - hlavné zdroje sú cestná doprava, spaľovacie procesy v priemysle a energetike.</w:t>
      </w:r>
    </w:p>
    <w:p w14:paraId="003C8932" w14:textId="77777777" w:rsidR="00D26017" w:rsidRPr="00590C44" w:rsidRDefault="00D26017" w:rsidP="00B84AB0">
      <w:pPr>
        <w:pStyle w:val="A-Text11"/>
      </w:pPr>
      <w:r w:rsidRPr="00590C44">
        <w:t>Oxidy dusíka NOx vznikajú pri spaľovacích procesoch, ich najvýznamnejšou zložkou sú oxid dusičitý a oxid dusnatý, ktorý je však nestály a mení sa na oxid dusičitý. Až 50% oxidu dusičitého pochádza z automobilovej dopravy, významných zdrojom je spaľovanie zemného plynu. Oxid dusičitý je dráždivý plyn, ktorý pôsobí na dýchacie cesty a spôsobuje ich zužovanie. Na vyššie koncentrácie oxidu dusičitého v ovzduší reagujú najmä astmatici a osoby s primárnym ochorením dýchacej sústavy. Citlivejší sú aj malé deti a starí ľudia.</w:t>
      </w:r>
    </w:p>
    <w:p w14:paraId="061ABE07" w14:textId="77777777" w:rsidR="00D26017" w:rsidRPr="00590C44" w:rsidRDefault="00D26017" w:rsidP="00B84AB0">
      <w:pPr>
        <w:pStyle w:val="A-Text11"/>
      </w:pPr>
      <w:r w:rsidRPr="00590C44">
        <w:t xml:space="preserve">Benzo(a)pyrén (BaP)  - najvýznamnejším zdrojom emisií BaP je vykurovanie domácností tuhým palivom, ďalej cestná doprava; z veľkých zdrojov znečistenia je významná výroba koksu. </w:t>
      </w:r>
    </w:p>
    <w:p w14:paraId="65B1EC36" w14:textId="77777777" w:rsidR="00D26017" w:rsidRPr="00590C44" w:rsidRDefault="00D26017" w:rsidP="00B84AB0">
      <w:pPr>
        <w:pStyle w:val="A-Text11"/>
      </w:pPr>
      <w:r w:rsidRPr="00590C44">
        <w:t>Oxid siričitý SO</w:t>
      </w:r>
      <w:r w:rsidRPr="00590C44">
        <w:rPr>
          <w:vertAlign w:val="subscript"/>
        </w:rPr>
        <w:t>2</w:t>
      </w:r>
      <w:r w:rsidRPr="00590C44">
        <w:t xml:space="preserve"> je plyn, ktorý reaguje s vodnými parami za vzniku kyseliny. Jeho účinky na ľudský organizmus sa odvíjajú práve z tejto vlastnosti pôsobí dráždivo na dýchacie cesty a očné spojivky. Navyše jeho vdychovanie spôsobuje zužovanie priedušiek. Pri dlhodobom pôsobení vyšších koncentrácií na človeka bol zistený vyšší výskyt a dlhšie trvanie ochorení dýchacích ciest, najmä u detí. Najcitlivejší sú na jeho pôsobenie alergici a osoby s ochoreniami dýchacej sústavy. Na zvýšené koncentrácie tohto plynu v ovzduší tiež reagujú veľmi malé deti, starí ľudia a tehotné ženy. Jeho zvýšené koncentrácie spravidla bývajú sprevádzané výskytom ďalších škodlivín, ako sú prach a oxidy síry.</w:t>
      </w:r>
    </w:p>
    <w:p w14:paraId="75BFC821" w14:textId="6F6FA761" w:rsidR="00D26017" w:rsidRDefault="00D26017" w:rsidP="00B84AB0">
      <w:pPr>
        <w:pStyle w:val="A-Text11"/>
      </w:pPr>
      <w:r w:rsidRPr="00590C44">
        <w:t>Polietavý prach  TSP, PM</w:t>
      </w:r>
      <w:r w:rsidRPr="00590C44">
        <w:rPr>
          <w:vertAlign w:val="subscript"/>
        </w:rPr>
        <w:t>10</w:t>
      </w:r>
      <w:r w:rsidRPr="00590C44">
        <w:t>, PM</w:t>
      </w:r>
      <w:r w:rsidRPr="00590C44">
        <w:rPr>
          <w:vertAlign w:val="subscript"/>
        </w:rPr>
        <w:t xml:space="preserve">2,5  </w:t>
      </w:r>
      <w:r w:rsidRPr="00590C44">
        <w:t>predstavuje sumu častíc rôznej veľkosti, ktoré sú voľne rozptýlené v ovzduší. Ich pôvod je v rôznych technologických procesoch, uvoľňujú sa najmä pri spaľovaní tuhých látok, sú obsiahnuté vo výfukových plynoch motorových vozidiel. Do ovzdušia sa však dostávajú aj vírením častíc usadených na zemskom povrchu (sekundárna prašnosť). Zdravotná významnosť prachu závisí od veľkosti častíc. Zatiaľ čo väčšie častice (nad 10 µm) môžu pôsobiť iba podráždenie horných dýchacích ciest s kašľom a kýchaním a dráždenie očných spojiviek, menšie častice sa dostávajú až do dolných dýchacích ciest a častice s rozmerom pod 2,5 µm môžu prestupovať do pľúcnych skliepkov a buď sa usadzovať v pľúcach alebo aj prenikať do krvného obehu. Z tohto aspektu delíme ukazovateľ prašnosti na celkovú prašnosť (TSP), častice pod 10 µm (PM</w:t>
      </w:r>
      <w:r w:rsidRPr="00590C44">
        <w:rPr>
          <w:bdr w:val="none" w:sz="0" w:space="0" w:color="auto" w:frame="1"/>
          <w:vertAlign w:val="subscript"/>
        </w:rPr>
        <w:t>10</w:t>
      </w:r>
      <w:r w:rsidRPr="00590C44">
        <w:t>) a častice pod 2,5 µm (PM</w:t>
      </w:r>
      <w:r w:rsidRPr="00590C44">
        <w:rPr>
          <w:bdr w:val="none" w:sz="0" w:space="0" w:color="auto" w:frame="1"/>
          <w:vertAlign w:val="subscript"/>
        </w:rPr>
        <w:t>2,5</w:t>
      </w:r>
      <w:r w:rsidRPr="00590C44">
        <w:t>). Zvýšená prašnosť v ovzduší všeobecne pôsobí dráždivo na dýchacie cesty a spravidla sa vyskytuje spolu s ďalšími škodlivinami, ako sú oxid siričitý alebo oxidy dusíka. Z odborných zdravotníckych štúdií vyplynulo, že v lokalitách s vysokým a dlhodobým výskytom zvýšených koncentrácií malých prachových častíc v ovzduší sa zisťuje k zvýšená úmrtnosť obyvateľov na ochorenia dýchacej a srdcovo-cievnej sústavy. Za citlivé skupiny populácie sa považujú astmatici, osoby s ochoreniami dýchacej sústavy a srdcovo-cievnej sústavy, veľmi malé deti a starí ľudia.</w:t>
      </w:r>
    </w:p>
    <w:p w14:paraId="10CE4059" w14:textId="77777777" w:rsidR="00590C44" w:rsidRPr="00590C44" w:rsidRDefault="00590C44" w:rsidP="00B84AB0">
      <w:pPr>
        <w:pStyle w:val="A-Text11"/>
        <w:rPr>
          <w:b/>
          <w:bCs/>
        </w:rPr>
      </w:pPr>
      <w:r w:rsidRPr="00590C44">
        <w:t>V niektorých rokoch sa v závislosti od meteorologických podmienok môže objaviť prekročenie cieľovej hodnoty na monitorovacích staniciach, ktoré odrážajú vplyv cestnej dopravy. Týka sa to staníc Bratislava-Trnavské mýto; Trnava-Kollárova a Nitra-Štúrova, na ktorých priemerná ročná koncentrácia BaP dlhodobo kolíše okolo cieľovej hodnoty.</w:t>
      </w:r>
    </w:p>
    <w:p w14:paraId="1A6B5215" w14:textId="77777777" w:rsidR="00590C44" w:rsidRPr="00590C44" w:rsidRDefault="00590C44" w:rsidP="00B84AB0">
      <w:pPr>
        <w:pStyle w:val="A-Text11"/>
      </w:pPr>
      <w:r w:rsidRPr="00590C44">
        <w:lastRenderedPageBreak/>
        <w:t>Benzén (C</w:t>
      </w:r>
      <w:r w:rsidRPr="00590C44">
        <w:rPr>
          <w:vertAlign w:val="subscript"/>
        </w:rPr>
        <w:t>6</w:t>
      </w:r>
      <w:r w:rsidRPr="00590C44">
        <w:t>H</w:t>
      </w:r>
      <w:r w:rsidRPr="00590C44">
        <w:rPr>
          <w:vertAlign w:val="subscript"/>
        </w:rPr>
        <w:t>6</w:t>
      </w:r>
      <w:r w:rsidRPr="00590C44">
        <w:t>) je cyklický uhľovodík a kvapalina, ktorá sa odparuje do ovzdušia. Ide o toxickú látku, pri vdychovaní sa dobre vstrebáva a dostáva cez pľúca do krvi. Pri dlhodobo pôsobení vyšších koncentrácií benzén poškodzuje tvorbu červených krviniek, pečeň a zhoršuje imunitu (obranyschopnosť organizmu). Navyše ide o dokázaný karcinogén, ktorý môže u exponovaných osôb viesť po dlhšej dobe k vzniku zhubnej leukémie. Podľa výsledkov doterajších výskumov sú najcitlivejšie na benzén deti do 12 rokov života, tehotné ženy a mladé ženy. Vzhľadom na to, že benzén je typickou škodlivinou z automobilovej dopravy (je súčasťou benzínov a je obsiahnutý vo výfukových plynoch motorových vozidiel), je ochranným opatrením minimalizácia pobytu detí a citlivých osôb v miestach jeho zvýšeného výskytu, t.j. na frekventovaných križovatkách, na benzínových čerpacích staniciach, ale aj v motorových vozidlách.</w:t>
      </w:r>
    </w:p>
    <w:p w14:paraId="6C034ECF" w14:textId="7AF14A09" w:rsidR="00D26017" w:rsidRPr="00EC5349" w:rsidRDefault="00590C44" w:rsidP="00B84AB0">
      <w:pPr>
        <w:pStyle w:val="A-Text11"/>
      </w:pPr>
      <w:r w:rsidRPr="00590C44">
        <w:t xml:space="preserve">Oxid uhoľnatý CO je toxický plyn, ktorý vzniká pri nedokonalom spaľovaní a je súčasťou výfukových plynov motorových vozidiel. Jeho najvýznamnejším zdrojom pre človeka je však fajčenie. Je toxický a preniká do krvi dýchacím traktom, viaže sa na červené krvné farbivo za vzniku tzv. karboxylhemoglobínu, ktorý stráca schopnosť prenosu kyslíka. Následkom je znížený prívod kyslíka do tkanív. Organizmus však dokáže tolerovať pomerne vysoké koncentrácie bez príznakov zdravotného poškodenia. Vysoké hodnoty karboxylhemoglobínu boli napr. zistené v krvi fajčiarov. Na oxid uhoľnatý sú najcitlivejšie tehotné ženy a ich plody, ďalej </w:t>
      </w:r>
      <w:r w:rsidRPr="00EC5349">
        <w:t>malé deti, osoby s ochoreniami srdcovo-cievneho aparátu a staré osoby. Tieto osoby by sa mali vyvarovať aktívneho fajčenia, dlhodobého pobytu v zafajčených priestoroch a miestach s vysokou koncentráciou splodín z cestnej dopravy.</w:t>
      </w:r>
    </w:p>
    <w:p w14:paraId="018FEB56" w14:textId="734041AA" w:rsidR="00D26017" w:rsidRPr="008A358C" w:rsidRDefault="00D26017" w:rsidP="00B84AB0">
      <w:pPr>
        <w:pStyle w:val="A-Text11"/>
      </w:pPr>
      <w:r w:rsidRPr="00EC5349">
        <w:t>SHMÚ na základe hodnotenia kvality ovzdušia v zónach a aglomeráciách v rokoch 201</w:t>
      </w:r>
      <w:r w:rsidR="008A358C" w:rsidRPr="00EC5349">
        <w:t>8</w:t>
      </w:r>
      <w:r w:rsidRPr="00EC5349">
        <w:t xml:space="preserve"> – 20</w:t>
      </w:r>
      <w:r w:rsidR="008A358C" w:rsidRPr="00EC5349">
        <w:t>20</w:t>
      </w:r>
      <w:r w:rsidRPr="00EC5349">
        <w:t>, podľa § 8 ods. 3 Zákona č. 137/2010 Z. z. o ovzduší v znení neskorších predpisov navrh</w:t>
      </w:r>
      <w:r w:rsidR="008A358C" w:rsidRPr="00EC5349">
        <w:t>la</w:t>
      </w:r>
      <w:r w:rsidRPr="00EC5349">
        <w:t xml:space="preserve"> aktualizáciu vymedzenia oblastí riadenia kvality ovzdušia SR na rok 202</w:t>
      </w:r>
      <w:r w:rsidR="008A358C" w:rsidRPr="00EC5349">
        <w:t>1</w:t>
      </w:r>
      <w:r w:rsidRPr="00EC5349">
        <w:t xml:space="preserve">. Znečisťujúca </w:t>
      </w:r>
      <w:r w:rsidRPr="008A358C">
        <w:t xml:space="preserve">látka bude vyňatá z oblasti riadenia kvality ovzdušia až potom, keď dosiahne tri po sebe idúce roky úroveň pod limitnou hodnotou. V prípade potreby môžu byť zohľadnené staršie výsledky meraní. </w:t>
      </w:r>
    </w:p>
    <w:p w14:paraId="0EE5E924" w14:textId="31E7C02E" w:rsidR="00D26017" w:rsidRPr="008A358C" w:rsidRDefault="002D6F79" w:rsidP="00B84AB0">
      <w:pPr>
        <w:pStyle w:val="A-Text11"/>
        <w:rPr>
          <w:color w:val="0070C0"/>
        </w:rPr>
      </w:pPr>
      <w:r w:rsidRPr="008A358C">
        <w:t xml:space="preserve">Zdroje znečisťovania sú v krajine rozmiestnené nerovnomerne. Kvôli efektívnemu hodnoteniu kvality ovzdušia je podľa smernice Európskeho parlamentu a Rady 2008/50/ES o kvalite okolitého ovzdušia a čistejšom ovzduší v Európe a právnych predpisov SR (napr. Vyhláška MŽP SR č. 244/2016 Z.z. o kvalite ovzdušia v znení neskorších predpisov) územie Slovenska rozdelené na zóny a aglomerácie. Zoznam aglomerácií a zón je uverejnený v Prílohe č. 11 k Vyhláške Ministerstva životného prostredia SR č. 244/2016 Z.z. o kvalite ovzdušia v znení </w:t>
      </w:r>
      <w:r w:rsidRPr="00E97F7A">
        <w:t>neskorších predpisov a je uverejnený na stránke SHMÚ. Vyhláška Ministerstva životného prostredia Slovenskej republiky č. 32/2020 Z.z., ktorou sa mení a dopĺňa vyhláška Ministerstva životného prostredia Slovenskej republiky č. 244/2016 Z.z. o kvalite ovzdušia v znení vyhlášky č. 296/2017 Z.z. nadobudla účinnosť 1. marca 2020.</w:t>
      </w:r>
      <w:r w:rsidR="00E813B5" w:rsidRPr="00E97F7A">
        <w:t xml:space="preserve"> </w:t>
      </w:r>
      <w:r w:rsidR="00D26017" w:rsidRPr="00E97F7A">
        <w:t>Územie hl. mesta SR Bratislava patrí z hľadiska NO</w:t>
      </w:r>
      <w:r w:rsidR="008A358C" w:rsidRPr="00E97F7A">
        <w:rPr>
          <w:vertAlign w:val="subscript"/>
        </w:rPr>
        <w:t>2</w:t>
      </w:r>
      <w:r w:rsidR="00D26017" w:rsidRPr="00E97F7A">
        <w:rPr>
          <w:vertAlign w:val="subscript"/>
        </w:rPr>
        <w:t xml:space="preserve"> </w:t>
      </w:r>
      <w:r w:rsidR="00D26017" w:rsidRPr="00E97F7A">
        <w:t>medzi oblasti riadenia kvality ovzdušia pre rok 202</w:t>
      </w:r>
      <w:r w:rsidR="008A358C" w:rsidRPr="00E97F7A">
        <w:t>1</w:t>
      </w:r>
      <w:r w:rsidR="00D26017" w:rsidRPr="00E97F7A">
        <w:t>, vymedzené na základe merania v rokoch 201</w:t>
      </w:r>
      <w:r w:rsidR="008A358C" w:rsidRPr="00E97F7A">
        <w:t>8</w:t>
      </w:r>
      <w:r w:rsidR="00D26017" w:rsidRPr="00E97F7A">
        <w:t>–20</w:t>
      </w:r>
      <w:r w:rsidR="008A358C" w:rsidRPr="00E97F7A">
        <w:t>20</w:t>
      </w:r>
      <w:r w:rsidR="00D26017" w:rsidRPr="00E97F7A">
        <w:t xml:space="preserve">.  </w:t>
      </w:r>
    </w:p>
    <w:p w14:paraId="252DC8E8" w14:textId="77777777" w:rsidR="00D26017" w:rsidRPr="008A358C" w:rsidRDefault="00D26017" w:rsidP="00B84AB0">
      <w:pPr>
        <w:pStyle w:val="A-Text11"/>
      </w:pPr>
      <w:r w:rsidRPr="008A358C">
        <w:t>Základné údaje o jednotlivých stacionárnych zdrojoch znečisťovania ovzdušia (ďalej len „zdroje“) v SR sa začali zbierať ešte v 80-tych rokoch 20. stor. a ukladali sa v Registri emisií a zdrojov znečisťovania ovzdušia (REZZO). Zásadné zmeny v 90-tych rokoch si vyžiadali vytvorenie nového informačného systému na evidenciu zdrojov znečisťovania ovzdušia. Od roku 2001 sa pre tento účel používa Národný emisný informačný systém (NEIS),</w:t>
      </w:r>
    </w:p>
    <w:p w14:paraId="1656C21D" w14:textId="77777777" w:rsidR="00411AEC" w:rsidRDefault="00411AEC" w:rsidP="00D26017">
      <w:pPr>
        <w:spacing w:before="120"/>
        <w:jc w:val="both"/>
        <w:rPr>
          <w:rFonts w:ascii="Arial" w:hAnsi="Arial" w:cs="Arial"/>
          <w:i/>
          <w:sz w:val="22"/>
          <w:szCs w:val="22"/>
          <w:u w:val="single"/>
        </w:rPr>
      </w:pPr>
    </w:p>
    <w:p w14:paraId="082060F6" w14:textId="36C09D13" w:rsidR="00D26017" w:rsidRPr="008A358C" w:rsidRDefault="00A12B71" w:rsidP="00D26017">
      <w:pPr>
        <w:spacing w:before="120"/>
        <w:jc w:val="both"/>
        <w:rPr>
          <w:rFonts w:ascii="Arial" w:hAnsi="Arial" w:cs="Arial"/>
          <w:i/>
          <w:sz w:val="22"/>
          <w:szCs w:val="22"/>
          <w:u w:val="single"/>
        </w:rPr>
      </w:pPr>
      <w:r w:rsidRPr="008A358C">
        <w:rPr>
          <w:rFonts w:ascii="Arial" w:hAnsi="Arial" w:cs="Arial"/>
          <w:i/>
          <w:sz w:val="22"/>
          <w:szCs w:val="22"/>
          <w:u w:val="single"/>
        </w:rPr>
        <w:lastRenderedPageBreak/>
        <w:t>Z</w:t>
      </w:r>
      <w:r w:rsidR="00D26017" w:rsidRPr="008A358C">
        <w:rPr>
          <w:rFonts w:ascii="Arial" w:hAnsi="Arial" w:cs="Arial"/>
          <w:i/>
          <w:sz w:val="22"/>
          <w:szCs w:val="22"/>
          <w:u w:val="single"/>
        </w:rPr>
        <w:t xml:space="preserve">droje emisií v Bratislave </w:t>
      </w:r>
    </w:p>
    <w:p w14:paraId="5D346873" w14:textId="77777777" w:rsidR="00D26017" w:rsidRPr="008A358C" w:rsidRDefault="00D26017" w:rsidP="00D26017">
      <w:pPr>
        <w:jc w:val="both"/>
        <w:rPr>
          <w:rFonts w:ascii="Arial" w:hAnsi="Arial" w:cs="Arial"/>
          <w:i/>
          <w:iCs/>
          <w:sz w:val="18"/>
          <w:szCs w:val="18"/>
          <w:shd w:val="clear" w:color="auto" w:fill="FFFFFF"/>
        </w:rPr>
      </w:pPr>
      <w:r w:rsidRPr="008A358C">
        <w:rPr>
          <w:rFonts w:ascii="Arial" w:hAnsi="Arial" w:cs="Arial"/>
          <w:i/>
          <w:iCs/>
          <w:sz w:val="18"/>
          <w:szCs w:val="18"/>
        </w:rPr>
        <w:t>Zdroj</w:t>
      </w:r>
      <w:r w:rsidRPr="008A358C">
        <w:rPr>
          <w:rFonts w:ascii="Arial" w:hAnsi="Arial" w:cs="Arial"/>
          <w:i/>
          <w:iCs/>
          <w:sz w:val="18"/>
          <w:szCs w:val="18"/>
          <w:shd w:val="clear" w:color="auto" w:fill="FFFFFF"/>
        </w:rPr>
        <w:t xml:space="preserve"> Štúdia kvality ovzdušia v aglomerácii Bratislava, SHMU 2020</w:t>
      </w:r>
    </w:p>
    <w:p w14:paraId="3E97EEA0" w14:textId="77777777" w:rsidR="00D26017" w:rsidRPr="008A358C" w:rsidRDefault="00D26017" w:rsidP="00B84AB0">
      <w:pPr>
        <w:pStyle w:val="A-Text11"/>
      </w:pPr>
      <w:r w:rsidRPr="008A358C">
        <w:t xml:space="preserve">Emisie predstavujú množstvo znečisťujúcej látky, ktoré bolo uvoľnené do prostredia (v tomto prípade do ovzdušia) za určitý čas. Pre účely tejto štúdie si rozdelíme zdroje emisií takto: </w:t>
      </w:r>
    </w:p>
    <w:p w14:paraId="65AA4AB6" w14:textId="77777777" w:rsidR="00D26017" w:rsidRPr="008A358C" w:rsidRDefault="00D26017" w:rsidP="0095439F">
      <w:pPr>
        <w:pStyle w:val="Odsekzoznamu"/>
        <w:numPr>
          <w:ilvl w:val="0"/>
          <w:numId w:val="20"/>
        </w:numPr>
        <w:tabs>
          <w:tab w:val="clear" w:pos="1428"/>
          <w:tab w:val="num" w:pos="567"/>
        </w:tabs>
        <w:autoSpaceDE w:val="0"/>
        <w:autoSpaceDN w:val="0"/>
        <w:adjustRightInd w:val="0"/>
        <w:ind w:left="567" w:hanging="283"/>
        <w:rPr>
          <w:rFonts w:ascii="Arial" w:hAnsi="Arial" w:cs="Arial"/>
          <w:i/>
          <w:iCs/>
        </w:rPr>
      </w:pPr>
      <w:r w:rsidRPr="008A358C">
        <w:rPr>
          <w:rFonts w:ascii="Arial" w:hAnsi="Arial" w:cs="Arial"/>
          <w:i/>
          <w:iCs/>
        </w:rPr>
        <w:t xml:space="preserve">Veľké a stredné priemyselné zdroje a zdroje na výrobu tepla a elektrickej energie, evidované v databáze NEIS </w:t>
      </w:r>
    </w:p>
    <w:p w14:paraId="5101191C" w14:textId="77777777" w:rsidR="00D26017" w:rsidRPr="008A358C" w:rsidRDefault="00D26017" w:rsidP="0095439F">
      <w:pPr>
        <w:pStyle w:val="Odsekzoznamu"/>
        <w:numPr>
          <w:ilvl w:val="0"/>
          <w:numId w:val="20"/>
        </w:numPr>
        <w:tabs>
          <w:tab w:val="clear" w:pos="1428"/>
          <w:tab w:val="num" w:pos="567"/>
        </w:tabs>
        <w:autoSpaceDE w:val="0"/>
        <w:autoSpaceDN w:val="0"/>
        <w:adjustRightInd w:val="0"/>
        <w:ind w:left="567" w:hanging="283"/>
        <w:rPr>
          <w:rFonts w:ascii="Arial" w:hAnsi="Arial" w:cs="Arial"/>
          <w:i/>
          <w:iCs/>
        </w:rPr>
      </w:pPr>
      <w:r w:rsidRPr="008A358C">
        <w:rPr>
          <w:rFonts w:ascii="Arial" w:hAnsi="Arial" w:cs="Arial"/>
          <w:i/>
          <w:iCs/>
        </w:rPr>
        <w:t xml:space="preserve">Vykurovanie domácností – lokálne kúreniská </w:t>
      </w:r>
    </w:p>
    <w:p w14:paraId="322D1DB7" w14:textId="77777777" w:rsidR="00D26017" w:rsidRPr="008A358C" w:rsidRDefault="00D26017" w:rsidP="0095439F">
      <w:pPr>
        <w:pStyle w:val="Odsekzoznamu"/>
        <w:numPr>
          <w:ilvl w:val="0"/>
          <w:numId w:val="20"/>
        </w:numPr>
        <w:tabs>
          <w:tab w:val="clear" w:pos="1428"/>
          <w:tab w:val="num" w:pos="567"/>
        </w:tabs>
        <w:autoSpaceDE w:val="0"/>
        <w:autoSpaceDN w:val="0"/>
        <w:adjustRightInd w:val="0"/>
        <w:ind w:left="567" w:hanging="283"/>
        <w:rPr>
          <w:rFonts w:ascii="Arial" w:hAnsi="Arial" w:cs="Arial"/>
          <w:i/>
          <w:iCs/>
        </w:rPr>
      </w:pPr>
      <w:r w:rsidRPr="008A358C">
        <w:rPr>
          <w:rFonts w:ascii="Arial" w:hAnsi="Arial" w:cs="Arial"/>
          <w:i/>
          <w:iCs/>
        </w:rPr>
        <w:t xml:space="preserve">Cestná doprava </w:t>
      </w:r>
    </w:p>
    <w:p w14:paraId="07D9C775" w14:textId="31C2A4D6" w:rsidR="00D26017" w:rsidRPr="008A358C" w:rsidRDefault="00D26017" w:rsidP="00B84AB0">
      <w:pPr>
        <w:pStyle w:val="A-Text11"/>
      </w:pPr>
      <w:r w:rsidRPr="008A358C">
        <w:t xml:space="preserve">Zdroje súvisiace s vykurovaním sú sezónne. Cestná doprava a väčšina veľkých a stredných zdrojov sú celoročnými zdrojmi. </w:t>
      </w:r>
    </w:p>
    <w:p w14:paraId="133A6BCE" w14:textId="77777777" w:rsidR="008D4EE3" w:rsidRPr="00635819" w:rsidRDefault="008D4EE3" w:rsidP="00B84AB0">
      <w:pPr>
        <w:pStyle w:val="A-Text11"/>
      </w:pPr>
      <w:r w:rsidRPr="00635819">
        <w:t>Rôzne stavebné práce sú najťažšie definovanými zdrojmi, pretože sú veľmi premenlivé, trvajú obmedzený čas, sú rôzneho rozsahu a zahŕňajú celú škálu aktivít od ťažkej dopravy, využívania stavebných mechanizmov, búracie a výkopové práce, atď.</w:t>
      </w:r>
    </w:p>
    <w:p w14:paraId="662D8355" w14:textId="736BC1DD" w:rsidR="00D26017" w:rsidRPr="00635819" w:rsidRDefault="00D26017" w:rsidP="00B84AB0">
      <w:pPr>
        <w:pStyle w:val="A-Text11"/>
        <w:rPr>
          <w:b/>
          <w:i/>
        </w:rPr>
      </w:pPr>
      <w:r w:rsidRPr="00635819">
        <w:t>Z hľadiska emisií PM a benzo(a)pyrénu je hlavným zdrojom doprava a v menšej miere vykurovanie domácností nepripojených na centrálne zdroje vykurovania. Cestná doprava má vysoký podiel aj na emisiách NO</w:t>
      </w:r>
      <w:r w:rsidRPr="00635819">
        <w:rPr>
          <w:vertAlign w:val="subscript"/>
        </w:rPr>
        <w:t>2</w:t>
      </w:r>
      <w:r w:rsidRPr="00635819">
        <w:t xml:space="preserve"> a benzénu. Naopak, hlavným zdrojom emisií SO</w:t>
      </w:r>
      <w:r w:rsidRPr="00635819">
        <w:rPr>
          <w:vertAlign w:val="subscript"/>
        </w:rPr>
        <w:t>2</w:t>
      </w:r>
      <w:r w:rsidRPr="00635819">
        <w:t xml:space="preserve"> je priemysel, menovite rafinéria Slovnaft, ktorá má zároveň aj vysoký podiel na emisiách benzénu a NO</w:t>
      </w:r>
      <w:r w:rsidRPr="00635819">
        <w:rPr>
          <w:vertAlign w:val="subscript"/>
        </w:rPr>
        <w:t>2</w:t>
      </w:r>
      <w:r w:rsidRPr="00635819">
        <w:t>. V rozptyle znečisťujúcich látok však hrá dôležitú úlohu aj výška, v ktorej sú emisie.</w:t>
      </w:r>
    </w:p>
    <w:p w14:paraId="7B144CE3" w14:textId="77777777" w:rsidR="00D26017" w:rsidRPr="00635819" w:rsidRDefault="00D26017" w:rsidP="00B84AB0">
      <w:pPr>
        <w:pStyle w:val="A-Text11"/>
        <w:rPr>
          <w:b/>
          <w:i/>
        </w:rPr>
      </w:pPr>
      <w:r w:rsidRPr="00635819">
        <w:t>Spoločným problémom emisií z dopravy a lokálnych kúrenísk je vysoká neistota zahrnutá v odhadovaných emisných tokoch.</w:t>
      </w:r>
    </w:p>
    <w:p w14:paraId="54D687B7" w14:textId="77777777" w:rsidR="00D26017" w:rsidRPr="00635819" w:rsidRDefault="00D26017" w:rsidP="00B84AB0">
      <w:pPr>
        <w:pStyle w:val="A-Text11"/>
      </w:pPr>
      <w:r w:rsidRPr="00635819">
        <w:t>Emisie z cestnej dopravy zahŕňajú emisie z výfukov, oterov bŕzd a pneumatík, abráziu vozovky a resuspenziu prachových častíc z povrchu vozoviek. Na ich výpočet sa používa emisný model, ktorý počíta emisie na základe intenzít dopravy na jednotlivých cestných komunikáciách, zloženia vozového parku, emisných faktorov pre jednotlivé kategórie vozidiel a odhadovaných časových profilov.</w:t>
      </w:r>
    </w:p>
    <w:p w14:paraId="45215D02" w14:textId="77777777" w:rsidR="00D26017" w:rsidRPr="00635819" w:rsidRDefault="00D26017" w:rsidP="00B84AB0">
      <w:pPr>
        <w:pStyle w:val="A-Text11"/>
      </w:pPr>
      <w:r w:rsidRPr="00635819">
        <w:t>Celkové koncentrácie NO</w:t>
      </w:r>
      <w:r w:rsidRPr="00635819">
        <w:rPr>
          <w:vertAlign w:val="subscript"/>
        </w:rPr>
        <w:t>2</w:t>
      </w:r>
      <w:r w:rsidRPr="00635819">
        <w:t xml:space="preserve"> v tesnej blízkosti vyťažených cestných komunikácií na mnohých miestach presahujú limitnú hodnotu priemernej ročnej koncentrácie 40 μg.m</w:t>
      </w:r>
      <w:r w:rsidRPr="00635819">
        <w:rPr>
          <w:vertAlign w:val="superscript"/>
        </w:rPr>
        <w:t>-3</w:t>
      </w:r>
      <w:r w:rsidRPr="00635819">
        <w:t xml:space="preserve">, pričom hlavným prispievateľom k týmto koncentráciám je cestná doprava. </w:t>
      </w:r>
    </w:p>
    <w:p w14:paraId="2BF9F44A" w14:textId="77777777" w:rsidR="00D26017" w:rsidRPr="00635819" w:rsidRDefault="00D26017" w:rsidP="00B84AB0">
      <w:pPr>
        <w:pStyle w:val="A-Text11"/>
      </w:pPr>
      <w:r w:rsidRPr="00635819">
        <w:t>Z hľadiska nameraných koncentrácií je najvýznamnejšou znečisťujúcou látkou oxid dusičitý, ku koncentráciám ktorého je hlavným prispievateľom cestná doprava. Príspevok zdrojov NEIS na koncentráciách je relatívne nízky, napriek tomu, že ich podiel na celkových emisiách NO</w:t>
      </w:r>
      <w:r w:rsidRPr="00635819">
        <w:rPr>
          <w:vertAlign w:val="subscript"/>
        </w:rPr>
        <w:t>2</w:t>
      </w:r>
      <w:r w:rsidRPr="00635819">
        <w:t xml:space="preserve"> je relatívne vysoký. </w:t>
      </w:r>
    </w:p>
    <w:p w14:paraId="2F1D7734" w14:textId="2287B891" w:rsidR="00D26017" w:rsidRPr="00635819" w:rsidRDefault="00D26017" w:rsidP="00B84AB0">
      <w:pPr>
        <w:pStyle w:val="A-Text11"/>
        <w:rPr>
          <w:b/>
          <w:i/>
        </w:rPr>
      </w:pPr>
      <w:r w:rsidRPr="00635819">
        <w:t>V Bratislave sa nachádza dopravná monitorovacia stanica Trnavské Mýto. Namerané priemerné ročné hodnoty NO</w:t>
      </w:r>
      <w:r w:rsidRPr="00635819">
        <w:rPr>
          <w:vertAlign w:val="subscript"/>
        </w:rPr>
        <w:t>2</w:t>
      </w:r>
      <w:r w:rsidRPr="00635819">
        <w:t xml:space="preserve"> na tejto stanici dlhodobo oscilujú okolo limitnej hodnoty. Prekračovanie priemernej ročnej limitnej hodnoty koncentrácií NO</w:t>
      </w:r>
      <w:r w:rsidRPr="00635819">
        <w:rPr>
          <w:vertAlign w:val="subscript"/>
        </w:rPr>
        <w:t>2</w:t>
      </w:r>
      <w:r w:rsidRPr="00635819">
        <w:t xml:space="preserve"> je aj hlavný dôvod, pre ktorý je aglomerácia Bratislava v súčasnosti oblasťou riadenia kvality ovzdušia. </w:t>
      </w:r>
    </w:p>
    <w:p w14:paraId="1872C1D6" w14:textId="75A129F0" w:rsidR="00D26017" w:rsidRPr="00635819" w:rsidRDefault="00D26017" w:rsidP="00B84AB0">
      <w:pPr>
        <w:pStyle w:val="A-Text11"/>
      </w:pPr>
      <w:r w:rsidRPr="00635819">
        <w:t xml:space="preserve">V realite sa v prípade reálnej cestnej komunikácie v mestskej zástavbe, obzvlášť v prípade tzv. mestských kaňonov, najvyššie koncentrácie kumulujú v tesnej blízkosti cesty, zatiaľ čo vo vnútroblokoch zástavby sú obyčajne nižšie. </w:t>
      </w:r>
    </w:p>
    <w:p w14:paraId="0582EE36" w14:textId="15B243A4" w:rsidR="00D26017" w:rsidRPr="00FE2755" w:rsidRDefault="00D26017" w:rsidP="00B84AB0">
      <w:pPr>
        <w:pStyle w:val="A-Text11"/>
      </w:pPr>
      <w:r w:rsidRPr="00635819">
        <w:t xml:space="preserve">V prípade PM príspevky z regionálneho prenosu tvoria viac ako polovicu až dve tretiny celkových priemerných ročných koncentrácií. V priemerných mesačných koncentráciách  a </w:t>
      </w:r>
      <w:r w:rsidRPr="00FE2755">
        <w:t xml:space="preserve">denných koncentráciách tento podiel kolíše, dá sa povedať, že čím kratšie priemerovacie obdobie, tým je variabilita príspevku regionálneho pozadia vyššia. </w:t>
      </w:r>
    </w:p>
    <w:p w14:paraId="24EFA9F6" w14:textId="07C68721" w:rsidR="00590C44" w:rsidRPr="00FE2755" w:rsidRDefault="00590C44" w:rsidP="00B84AB0">
      <w:pPr>
        <w:pStyle w:val="A-Text11"/>
      </w:pPr>
      <w:r w:rsidRPr="00FE2755">
        <w:lastRenderedPageBreak/>
        <w:t>V roku 2020 neboli v aglomerácii Bratislava prekročené limitné hodnoty na ochranu zdravia ľudí pre SO</w:t>
      </w:r>
      <w:r w:rsidRPr="00FE2755">
        <w:rPr>
          <w:vertAlign w:val="subscript"/>
        </w:rPr>
        <w:t>2</w:t>
      </w:r>
      <w:r w:rsidRPr="00FE2755">
        <w:t>, PM</w:t>
      </w:r>
      <w:r w:rsidRPr="00FE2755">
        <w:rPr>
          <w:vertAlign w:val="subscript"/>
        </w:rPr>
        <w:t>10</w:t>
      </w:r>
      <w:r w:rsidRPr="00FE2755">
        <w:t>, PM</w:t>
      </w:r>
      <w:r w:rsidRPr="00FE2755">
        <w:rPr>
          <w:vertAlign w:val="subscript"/>
        </w:rPr>
        <w:t>2,5</w:t>
      </w:r>
      <w:r w:rsidRPr="00FE2755">
        <w:t>, NO</w:t>
      </w:r>
      <w:r w:rsidRPr="00FE2755">
        <w:rPr>
          <w:vertAlign w:val="subscript"/>
        </w:rPr>
        <w:t>2</w:t>
      </w:r>
      <w:r w:rsidRPr="00FE2755">
        <w:t>, benzén ani CO, nebolo tu namerané ani prekročenie cieľovej hodnoty pre benzo(a)pyrén.</w:t>
      </w:r>
    </w:p>
    <w:p w14:paraId="06D3AF5D" w14:textId="77777777" w:rsidR="006D2BCB" w:rsidRDefault="006D2BCB" w:rsidP="00590C44">
      <w:pPr>
        <w:pStyle w:val="paragraph"/>
        <w:spacing w:before="0" w:beforeAutospacing="0" w:after="0" w:afterAutospacing="0"/>
        <w:jc w:val="both"/>
        <w:textAlignment w:val="baseline"/>
        <w:rPr>
          <w:rStyle w:val="normaltextrun"/>
          <w:rFonts w:ascii="Arial" w:hAnsi="Arial" w:cs="Arial"/>
          <w:i/>
          <w:iCs/>
          <w:sz w:val="20"/>
          <w:szCs w:val="20"/>
        </w:rPr>
      </w:pPr>
    </w:p>
    <w:p w14:paraId="62E5FE71" w14:textId="2AD6A063" w:rsidR="00590C44" w:rsidRPr="005145B5" w:rsidRDefault="00590C44" w:rsidP="00590C44">
      <w:pPr>
        <w:pStyle w:val="paragraph"/>
        <w:spacing w:before="0" w:beforeAutospacing="0" w:after="0" w:afterAutospacing="0"/>
        <w:jc w:val="both"/>
        <w:textAlignment w:val="baseline"/>
        <w:rPr>
          <w:rFonts w:ascii="Arial" w:hAnsi="Arial" w:cs="Arial"/>
          <w:i/>
          <w:iCs/>
          <w:sz w:val="20"/>
          <w:szCs w:val="20"/>
          <w:highlight w:val="yellow"/>
        </w:rPr>
      </w:pPr>
      <w:r w:rsidRPr="006D2BCB">
        <w:rPr>
          <w:rStyle w:val="normaltextrun"/>
          <w:rFonts w:ascii="Arial" w:hAnsi="Arial" w:cs="Arial"/>
          <w:i/>
          <w:iCs/>
          <w:sz w:val="20"/>
          <w:szCs w:val="20"/>
        </w:rPr>
        <w:t>Tab.</w:t>
      </w:r>
      <w:r w:rsidR="002A7286" w:rsidRPr="006D2BCB">
        <w:rPr>
          <w:rStyle w:val="normaltextrun"/>
          <w:rFonts w:ascii="Arial" w:hAnsi="Arial" w:cs="Arial"/>
          <w:i/>
          <w:iCs/>
          <w:sz w:val="20"/>
          <w:szCs w:val="20"/>
        </w:rPr>
        <w:t>č.</w:t>
      </w:r>
      <w:r w:rsidR="00D91BD6" w:rsidRPr="006D2BCB">
        <w:rPr>
          <w:rStyle w:val="normaltextrun"/>
          <w:rFonts w:ascii="Arial" w:hAnsi="Arial" w:cs="Arial"/>
          <w:i/>
          <w:iCs/>
          <w:sz w:val="20"/>
          <w:szCs w:val="20"/>
        </w:rPr>
        <w:t>III.</w:t>
      </w:r>
      <w:r w:rsidR="00D91BD6" w:rsidRPr="005145B5">
        <w:rPr>
          <w:rStyle w:val="normaltextrun"/>
          <w:rFonts w:ascii="Arial" w:hAnsi="Arial" w:cs="Arial"/>
          <w:i/>
          <w:iCs/>
          <w:sz w:val="20"/>
          <w:szCs w:val="20"/>
        </w:rPr>
        <w:t>4.1:</w:t>
      </w:r>
      <w:r w:rsidRPr="005145B5">
        <w:rPr>
          <w:rStyle w:val="normaltextrun"/>
          <w:rFonts w:ascii="Arial" w:hAnsi="Arial" w:cs="Arial"/>
          <w:i/>
          <w:iCs/>
          <w:sz w:val="20"/>
          <w:szCs w:val="20"/>
        </w:rPr>
        <w:t> Vyhodnotenie znečistenia ovzdušia podľa limitných hodnôt na ochranu zdravia ľudí a počty prekročení výstražných prahov za rok 2020</w:t>
      </w:r>
      <w:r w:rsidRPr="005145B5">
        <w:rPr>
          <w:rStyle w:val="eop"/>
          <w:rFonts w:ascii="Arial" w:hAnsi="Arial" w:cs="Arial"/>
          <w:i/>
          <w:iCs/>
          <w:sz w:val="20"/>
          <w:szCs w:val="20"/>
        </w:rPr>
        <w:t> </w:t>
      </w:r>
    </w:p>
    <w:p w14:paraId="5AD8984D" w14:textId="54642418" w:rsidR="00590C44" w:rsidRPr="00C10F5F" w:rsidRDefault="00590C44" w:rsidP="008660F4">
      <w:pPr>
        <w:pStyle w:val="paragraph"/>
        <w:spacing w:before="120" w:beforeAutospacing="0" w:after="0" w:afterAutospacing="0"/>
        <w:jc w:val="center"/>
        <w:textAlignment w:val="baseline"/>
        <w:rPr>
          <w:rFonts w:ascii="Arial" w:hAnsi="Arial" w:cs="Arial"/>
          <w:sz w:val="18"/>
          <w:szCs w:val="18"/>
        </w:rPr>
      </w:pPr>
      <w:r w:rsidRPr="00FE2755">
        <w:rPr>
          <w:b/>
          <w:bCs/>
          <w:smallCaps/>
          <w:noProof/>
          <w:sz w:val="28"/>
          <w:szCs w:val="28"/>
        </w:rPr>
        <w:drawing>
          <wp:anchor distT="0" distB="0" distL="114300" distR="114300" simplePos="0" relativeHeight="251659264" behindDoc="0" locked="0" layoutInCell="1" allowOverlap="1" wp14:anchorId="50F08F06" wp14:editId="586A45DB">
            <wp:simplePos x="0" y="0"/>
            <wp:positionH relativeFrom="column">
              <wp:posOffset>956310</wp:posOffset>
            </wp:positionH>
            <wp:positionV relativeFrom="paragraph">
              <wp:posOffset>1696085</wp:posOffset>
            </wp:positionV>
            <wp:extent cx="5038725" cy="266700"/>
            <wp:effectExtent l="0" t="0" r="9525" b="0"/>
            <wp:wrapNone/>
            <wp:docPr id="30" name="Obrázo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38725" cy="266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E2755">
        <w:rPr>
          <w:rStyle w:val="eop"/>
          <w:rFonts w:ascii="Calibri" w:hAnsi="Calibri" w:cs="Calibri"/>
          <w:noProof/>
          <w:sz w:val="22"/>
          <w:szCs w:val="22"/>
        </w:rPr>
        <w:drawing>
          <wp:inline distT="0" distB="0" distL="0" distR="0" wp14:anchorId="5401F5D4" wp14:editId="6A40A77F">
            <wp:extent cx="6119495" cy="2147570"/>
            <wp:effectExtent l="0" t="0" r="0" b="5080"/>
            <wp:docPr id="25" name="Obrázo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19495" cy="2147570"/>
                    </a:xfrm>
                    <a:prstGeom prst="rect">
                      <a:avLst/>
                    </a:prstGeom>
                  </pic:spPr>
                </pic:pic>
              </a:graphicData>
            </a:graphic>
          </wp:inline>
        </w:drawing>
      </w:r>
      <w:r w:rsidRPr="00C10F5F">
        <w:rPr>
          <w:rStyle w:val="normaltextrun"/>
          <w:rFonts w:ascii="Arial" w:hAnsi="Arial" w:cs="Arial"/>
          <w:sz w:val="18"/>
          <w:szCs w:val="18"/>
        </w:rPr>
        <w:t>Zdroj: Správa o kvalite ovzdušia v SR za rok 2020, SHMÚ, 10/2021</w:t>
      </w:r>
    </w:p>
    <w:p w14:paraId="4E8D3991" w14:textId="77777777" w:rsidR="00055558" w:rsidRDefault="00590C44" w:rsidP="00055558">
      <w:pPr>
        <w:pStyle w:val="paragraph"/>
        <w:spacing w:before="0" w:beforeAutospacing="0" w:after="0" w:afterAutospacing="0"/>
        <w:textAlignment w:val="baseline"/>
        <w:rPr>
          <w:rStyle w:val="eop"/>
          <w:rFonts w:ascii="Calibri" w:hAnsi="Calibri" w:cs="Calibri"/>
          <w:sz w:val="22"/>
          <w:szCs w:val="22"/>
        </w:rPr>
      </w:pPr>
      <w:r w:rsidRPr="00FE2755">
        <w:rPr>
          <w:rStyle w:val="eop"/>
          <w:rFonts w:ascii="Calibri" w:hAnsi="Calibri" w:cs="Calibri"/>
          <w:sz w:val="22"/>
          <w:szCs w:val="22"/>
        </w:rPr>
        <w:t> </w:t>
      </w:r>
    </w:p>
    <w:p w14:paraId="6E27C6E2" w14:textId="51DAB637" w:rsidR="00590C44" w:rsidRPr="00FE2755" w:rsidRDefault="009847DD" w:rsidP="00055558">
      <w:pPr>
        <w:pStyle w:val="paragraph"/>
        <w:spacing w:before="0" w:beforeAutospacing="0" w:after="0" w:afterAutospacing="0"/>
        <w:textAlignment w:val="baseline"/>
      </w:pPr>
      <w:r w:rsidRPr="00FE2755">
        <w:t>Ako podklad p</w:t>
      </w:r>
      <w:r w:rsidR="00590C44" w:rsidRPr="00FE2755">
        <w:t>re získanie pozaďových koncentrácií ZL</w:t>
      </w:r>
      <w:r w:rsidR="008A358C" w:rsidRPr="00FE2755">
        <w:t xml:space="preserve"> pre posudzovanú oblasť</w:t>
      </w:r>
      <w:r w:rsidR="00590C44" w:rsidRPr="00FE2755">
        <w:t xml:space="preserve"> </w:t>
      </w:r>
      <w:r w:rsidRPr="00FE2755">
        <w:t>je možné použiť</w:t>
      </w:r>
      <w:r w:rsidR="00590C44" w:rsidRPr="00FE2755">
        <w:t xml:space="preserve"> grafické výstupy z modelácie rozloženia imisného zaťaženia pre jednotlivé znečisťujúce látky na Slovensku a v aglomerácii Bratislava  uverejnené Štúdii kvality ovzdušia v aglomerácii Bratislava, SHMÚ, 2020 a v Správe o kvalite ovzdušia v SR – 2020 (SHMÚ).</w:t>
      </w:r>
    </w:p>
    <w:p w14:paraId="0705C9FC" w14:textId="77777777" w:rsidR="00590C44" w:rsidRPr="00FE2755" w:rsidRDefault="00590C44" w:rsidP="00590C44">
      <w:pPr>
        <w:pStyle w:val="paragraph"/>
        <w:spacing w:before="0" w:beforeAutospacing="0" w:after="0" w:afterAutospacing="0"/>
        <w:textAlignment w:val="baseline"/>
        <w:rPr>
          <w:rStyle w:val="eop"/>
          <w:rFonts w:ascii="Calibri" w:hAnsi="Calibri" w:cs="Calibri"/>
          <w:noProof/>
          <w:sz w:val="22"/>
          <w:szCs w:val="22"/>
        </w:rPr>
      </w:pPr>
      <w:r w:rsidRPr="00FE2755">
        <w:rPr>
          <w:b/>
          <w:bCs/>
          <w:smallCaps/>
          <w:noProof/>
          <w:sz w:val="28"/>
          <w:szCs w:val="28"/>
        </w:rPr>
        <w:drawing>
          <wp:inline distT="0" distB="0" distL="0" distR="0" wp14:anchorId="4D66990A" wp14:editId="76E79277">
            <wp:extent cx="2524539" cy="2717868"/>
            <wp:effectExtent l="0" t="0" r="9525" b="6350"/>
            <wp:docPr id="26" name="Obrázo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44556" cy="2739418"/>
                    </a:xfrm>
                    <a:prstGeom prst="rect">
                      <a:avLst/>
                    </a:prstGeom>
                    <a:noFill/>
                    <a:ln>
                      <a:noFill/>
                    </a:ln>
                  </pic:spPr>
                </pic:pic>
              </a:graphicData>
            </a:graphic>
          </wp:inline>
        </w:drawing>
      </w:r>
      <w:r w:rsidRPr="00FE2755">
        <w:rPr>
          <w:rStyle w:val="eop"/>
          <w:rFonts w:ascii="Calibri" w:hAnsi="Calibri" w:cs="Calibri"/>
          <w:sz w:val="22"/>
          <w:szCs w:val="22"/>
        </w:rPr>
        <w:t> </w:t>
      </w:r>
      <w:r w:rsidRPr="00FE2755">
        <w:rPr>
          <w:rStyle w:val="eop"/>
          <w:rFonts w:ascii="Calibri" w:hAnsi="Calibri" w:cs="Calibri"/>
          <w:noProof/>
          <w:sz w:val="22"/>
          <w:szCs w:val="22"/>
        </w:rPr>
        <w:t xml:space="preserve">                   </w:t>
      </w:r>
      <w:r w:rsidRPr="00FE2755">
        <w:rPr>
          <w:rStyle w:val="eop"/>
          <w:rFonts w:ascii="Calibri" w:hAnsi="Calibri" w:cs="Calibri"/>
          <w:noProof/>
          <w:sz w:val="22"/>
          <w:szCs w:val="22"/>
        </w:rPr>
        <w:drawing>
          <wp:inline distT="0" distB="0" distL="0" distR="0" wp14:anchorId="3C3C678F" wp14:editId="15B27468">
            <wp:extent cx="2413174" cy="2807004"/>
            <wp:effectExtent l="0" t="0" r="6350" b="0"/>
            <wp:docPr id="28" name="Obrázo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29399" cy="2825877"/>
                    </a:xfrm>
                    <a:prstGeom prst="rect">
                      <a:avLst/>
                    </a:prstGeom>
                    <a:noFill/>
                    <a:ln>
                      <a:noFill/>
                    </a:ln>
                  </pic:spPr>
                </pic:pic>
              </a:graphicData>
            </a:graphic>
          </wp:inline>
        </w:drawing>
      </w:r>
    </w:p>
    <w:p w14:paraId="04228205" w14:textId="1E26B0F6" w:rsidR="00590C44" w:rsidRPr="008660F4" w:rsidRDefault="00590C44" w:rsidP="00590C44">
      <w:pPr>
        <w:pStyle w:val="paragraph"/>
        <w:spacing w:before="0" w:beforeAutospacing="0" w:after="0" w:afterAutospacing="0"/>
        <w:jc w:val="center"/>
        <w:textAlignment w:val="baseline"/>
        <w:rPr>
          <w:rStyle w:val="normaltextrun"/>
          <w:sz w:val="18"/>
          <w:szCs w:val="18"/>
        </w:rPr>
      </w:pPr>
      <w:r w:rsidRPr="008660F4">
        <w:rPr>
          <w:rStyle w:val="normaltextrun"/>
          <w:rFonts w:ascii="Arial" w:hAnsi="Arial" w:cs="Arial"/>
          <w:i/>
          <w:iCs/>
          <w:sz w:val="18"/>
          <w:szCs w:val="18"/>
        </w:rPr>
        <w:t>Obr.</w:t>
      </w:r>
      <w:r w:rsidR="000D7513" w:rsidRPr="008660F4">
        <w:rPr>
          <w:rStyle w:val="normaltextrun"/>
          <w:rFonts w:ascii="Arial" w:hAnsi="Arial" w:cs="Arial"/>
          <w:i/>
          <w:iCs/>
          <w:sz w:val="18"/>
          <w:szCs w:val="18"/>
        </w:rPr>
        <w:t>č.III.4.</w:t>
      </w:r>
      <w:r w:rsidR="006D2BCB">
        <w:rPr>
          <w:rStyle w:val="normaltextrun"/>
          <w:rFonts w:ascii="Arial" w:hAnsi="Arial" w:cs="Arial"/>
          <w:i/>
          <w:iCs/>
          <w:sz w:val="18"/>
          <w:szCs w:val="18"/>
        </w:rPr>
        <w:t>2</w:t>
      </w:r>
      <w:r w:rsidRPr="008660F4">
        <w:rPr>
          <w:rStyle w:val="normaltextrun"/>
          <w:rFonts w:ascii="Arial" w:hAnsi="Arial" w:cs="Arial"/>
          <w:i/>
          <w:iCs/>
          <w:sz w:val="18"/>
          <w:szCs w:val="18"/>
        </w:rPr>
        <w:t xml:space="preserve">  Rozloženie celkových priemerných ročných koncentrácií NO2 (µg.m-3 ) a benzénu (µg.m-3 )  – vypočítané kombináciou modelov RIO, CALPUFF </w:t>
      </w:r>
      <w:r w:rsidRPr="003A01F7">
        <w:rPr>
          <w:rStyle w:val="normaltextrun"/>
          <w:rFonts w:ascii="Arial" w:hAnsi="Arial" w:cs="Arial"/>
          <w:i/>
          <w:iCs/>
          <w:sz w:val="18"/>
          <w:szCs w:val="18"/>
        </w:rPr>
        <w:t>a</w:t>
      </w:r>
      <w:r w:rsidR="003A01F7">
        <w:rPr>
          <w:rStyle w:val="normaltextrun"/>
          <w:rFonts w:ascii="Arial" w:hAnsi="Arial" w:cs="Arial"/>
          <w:i/>
          <w:iCs/>
          <w:sz w:val="18"/>
          <w:szCs w:val="18"/>
        </w:rPr>
        <w:t> </w:t>
      </w:r>
      <w:r w:rsidRPr="003A01F7">
        <w:rPr>
          <w:rStyle w:val="normaltextrun"/>
          <w:rFonts w:ascii="Arial" w:hAnsi="Arial" w:cs="Arial"/>
          <w:i/>
          <w:iCs/>
          <w:sz w:val="18"/>
          <w:szCs w:val="18"/>
        </w:rPr>
        <w:t>IFDM</w:t>
      </w:r>
      <w:r w:rsidR="003A01F7">
        <w:rPr>
          <w:rStyle w:val="normaltextrun"/>
          <w:rFonts w:ascii="Arial" w:hAnsi="Arial" w:cs="Arial"/>
          <w:i/>
          <w:iCs/>
          <w:sz w:val="18"/>
          <w:szCs w:val="18"/>
        </w:rPr>
        <w:t xml:space="preserve"> </w:t>
      </w:r>
      <w:r w:rsidRPr="003A01F7">
        <w:rPr>
          <w:rStyle w:val="normaltextrun"/>
          <w:rFonts w:ascii="Arial" w:hAnsi="Arial" w:cs="Arial"/>
          <w:i/>
          <w:iCs/>
          <w:sz w:val="18"/>
          <w:szCs w:val="18"/>
        </w:rPr>
        <w:t>-</w:t>
      </w:r>
      <w:r w:rsidR="003A01F7">
        <w:rPr>
          <w:rStyle w:val="normaltextrun"/>
          <w:rFonts w:ascii="Arial" w:hAnsi="Arial" w:cs="Arial"/>
          <w:i/>
          <w:iCs/>
          <w:sz w:val="18"/>
          <w:szCs w:val="18"/>
        </w:rPr>
        <w:t xml:space="preserve"> </w:t>
      </w:r>
      <w:r w:rsidRPr="003A01F7">
        <w:rPr>
          <w:rStyle w:val="normaltextrun"/>
          <w:rFonts w:ascii="Arial" w:hAnsi="Arial" w:cs="Arial"/>
          <w:i/>
          <w:iCs/>
          <w:sz w:val="18"/>
          <w:szCs w:val="18"/>
        </w:rPr>
        <w:t>traffic pre rok 2018</w:t>
      </w:r>
    </w:p>
    <w:p w14:paraId="3AE2B982" w14:textId="77777777" w:rsidR="00590C44" w:rsidRPr="00A85974" w:rsidRDefault="00590C44" w:rsidP="00590C44">
      <w:pPr>
        <w:pStyle w:val="paragraph"/>
        <w:spacing w:before="0" w:beforeAutospacing="0" w:after="0" w:afterAutospacing="0"/>
        <w:jc w:val="center"/>
        <w:textAlignment w:val="baseline"/>
        <w:rPr>
          <w:rFonts w:ascii="Arial" w:hAnsi="Arial" w:cs="Arial"/>
          <w:i/>
          <w:iCs/>
          <w:sz w:val="18"/>
          <w:szCs w:val="18"/>
        </w:rPr>
      </w:pPr>
      <w:r w:rsidRPr="00A85974">
        <w:rPr>
          <w:rStyle w:val="normaltextrun"/>
          <w:rFonts w:ascii="Arial" w:hAnsi="Arial" w:cs="Arial"/>
          <w:i/>
          <w:iCs/>
          <w:sz w:val="22"/>
          <w:szCs w:val="22"/>
        </w:rPr>
        <w:t> </w:t>
      </w:r>
      <w:r w:rsidRPr="00A85974">
        <w:rPr>
          <w:rStyle w:val="normaltextrun"/>
          <w:rFonts w:ascii="Arial" w:hAnsi="Arial" w:cs="Arial"/>
          <w:i/>
          <w:iCs/>
          <w:sz w:val="18"/>
          <w:szCs w:val="18"/>
        </w:rPr>
        <w:t>(Zdroj: Štúdia kvality ovzdušia v aglomerácii Bratislava, SHMÚ, 2020)</w:t>
      </w:r>
    </w:p>
    <w:p w14:paraId="26F372D7" w14:textId="77777777" w:rsidR="00590C44" w:rsidRPr="00A85974" w:rsidRDefault="00590C44" w:rsidP="00590C44">
      <w:pPr>
        <w:pStyle w:val="paragraph"/>
        <w:spacing w:before="0" w:beforeAutospacing="0" w:after="0" w:afterAutospacing="0"/>
        <w:textAlignment w:val="baseline"/>
        <w:rPr>
          <w:rFonts w:ascii="Arial" w:hAnsi="Arial" w:cs="Arial"/>
          <w:sz w:val="18"/>
          <w:szCs w:val="18"/>
        </w:rPr>
      </w:pPr>
    </w:p>
    <w:p w14:paraId="648967F0" w14:textId="77777777" w:rsidR="00590C44" w:rsidRPr="0020178A" w:rsidRDefault="00590C44" w:rsidP="00590C44">
      <w:pPr>
        <w:pStyle w:val="paragraph"/>
        <w:spacing w:before="0" w:beforeAutospacing="0" w:after="0" w:afterAutospacing="0"/>
        <w:jc w:val="both"/>
        <w:textAlignment w:val="baseline"/>
        <w:rPr>
          <w:rFonts w:ascii="Segoe UI" w:hAnsi="Segoe UI" w:cs="Segoe UI"/>
          <w:sz w:val="18"/>
          <w:szCs w:val="18"/>
        </w:rPr>
      </w:pPr>
      <w:r w:rsidRPr="0020178A">
        <w:rPr>
          <w:b/>
          <w:bCs/>
          <w:smallCaps/>
          <w:noProof/>
          <w:sz w:val="28"/>
          <w:szCs w:val="28"/>
        </w:rPr>
        <w:lastRenderedPageBreak/>
        <w:drawing>
          <wp:anchor distT="0" distB="0" distL="114300" distR="114300" simplePos="0" relativeHeight="251660288" behindDoc="1" locked="0" layoutInCell="1" allowOverlap="1" wp14:anchorId="4B332EF3" wp14:editId="248DA9A0">
            <wp:simplePos x="0" y="0"/>
            <wp:positionH relativeFrom="column">
              <wp:posOffset>3155315</wp:posOffset>
            </wp:positionH>
            <wp:positionV relativeFrom="paragraph">
              <wp:posOffset>70485</wp:posOffset>
            </wp:positionV>
            <wp:extent cx="3051175" cy="3373755"/>
            <wp:effectExtent l="0" t="0" r="0" b="0"/>
            <wp:wrapTight wrapText="bothSides">
              <wp:wrapPolygon edited="0">
                <wp:start x="0" y="0"/>
                <wp:lineTo x="0" y="21466"/>
                <wp:lineTo x="21443" y="21466"/>
                <wp:lineTo x="21443" y="0"/>
                <wp:lineTo x="0" y="0"/>
              </wp:wrapPolygon>
            </wp:wrapTight>
            <wp:docPr id="29"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51175" cy="3373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0178A">
        <w:rPr>
          <w:b/>
          <w:bCs/>
          <w:smallCaps/>
          <w:noProof/>
          <w:sz w:val="28"/>
          <w:szCs w:val="28"/>
        </w:rPr>
        <w:drawing>
          <wp:inline distT="0" distB="0" distL="0" distR="0" wp14:anchorId="71EF25AC" wp14:editId="7E85270D">
            <wp:extent cx="3019425" cy="3335561"/>
            <wp:effectExtent l="0" t="0" r="0" b="0"/>
            <wp:docPr id="33" name="Obrázo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33719" cy="3351352"/>
                    </a:xfrm>
                    <a:prstGeom prst="rect">
                      <a:avLst/>
                    </a:prstGeom>
                    <a:noFill/>
                    <a:ln>
                      <a:noFill/>
                    </a:ln>
                  </pic:spPr>
                </pic:pic>
              </a:graphicData>
            </a:graphic>
          </wp:inline>
        </w:drawing>
      </w:r>
    </w:p>
    <w:p w14:paraId="0665471F" w14:textId="77777777" w:rsidR="00590C44" w:rsidRPr="0020178A" w:rsidRDefault="00590C44" w:rsidP="00590C44">
      <w:pPr>
        <w:pStyle w:val="paragraph"/>
        <w:spacing w:before="0" w:beforeAutospacing="0" w:after="0" w:afterAutospacing="0"/>
        <w:jc w:val="both"/>
        <w:textAlignment w:val="baseline"/>
        <w:rPr>
          <w:rFonts w:ascii="Segoe UI" w:hAnsi="Segoe UI" w:cs="Segoe UI"/>
          <w:sz w:val="18"/>
          <w:szCs w:val="18"/>
        </w:rPr>
      </w:pPr>
    </w:p>
    <w:p w14:paraId="68FA4EF4" w14:textId="0F888EDA" w:rsidR="00A85974" w:rsidRDefault="00A85974">
      <w:pPr>
        <w:widowControl/>
        <w:rPr>
          <w:rStyle w:val="normaltextrun"/>
          <w:i/>
          <w:iCs/>
          <w:sz w:val="22"/>
          <w:szCs w:val="22"/>
          <w:highlight w:val="yellow"/>
        </w:rPr>
      </w:pPr>
    </w:p>
    <w:p w14:paraId="76661712" w14:textId="6690A81A" w:rsidR="00590C44" w:rsidRPr="00A85974" w:rsidRDefault="00590C44" w:rsidP="00590C44">
      <w:pPr>
        <w:pStyle w:val="paragraph"/>
        <w:spacing w:before="0" w:beforeAutospacing="0" w:after="0" w:afterAutospacing="0"/>
        <w:jc w:val="center"/>
        <w:textAlignment w:val="baseline"/>
        <w:rPr>
          <w:rStyle w:val="normaltextrun"/>
          <w:rFonts w:ascii="Arial" w:hAnsi="Arial" w:cs="Arial"/>
          <w:i/>
          <w:iCs/>
          <w:sz w:val="22"/>
          <w:szCs w:val="22"/>
        </w:rPr>
      </w:pPr>
      <w:r w:rsidRPr="006D2BCB">
        <w:rPr>
          <w:rStyle w:val="normaltextrun"/>
          <w:rFonts w:ascii="Arial" w:hAnsi="Arial" w:cs="Arial"/>
          <w:i/>
          <w:iCs/>
          <w:sz w:val="18"/>
          <w:szCs w:val="18"/>
        </w:rPr>
        <w:t>Obr.</w:t>
      </w:r>
      <w:r w:rsidR="00F224C9" w:rsidRPr="006D2BCB">
        <w:rPr>
          <w:rStyle w:val="normaltextrun"/>
          <w:rFonts w:ascii="Arial" w:hAnsi="Arial" w:cs="Arial"/>
          <w:i/>
          <w:iCs/>
          <w:sz w:val="18"/>
          <w:szCs w:val="18"/>
        </w:rPr>
        <w:t>č.</w:t>
      </w:r>
      <w:r w:rsidR="008D60B5" w:rsidRPr="006D2BCB">
        <w:rPr>
          <w:rStyle w:val="normaltextrun"/>
          <w:rFonts w:ascii="Arial" w:hAnsi="Arial" w:cs="Arial"/>
          <w:i/>
          <w:iCs/>
          <w:sz w:val="18"/>
          <w:szCs w:val="18"/>
        </w:rPr>
        <w:t xml:space="preserve"> </w:t>
      </w:r>
      <w:r w:rsidR="00F224C9" w:rsidRPr="006D2BCB">
        <w:rPr>
          <w:rStyle w:val="normaltextrun"/>
          <w:rFonts w:ascii="Arial" w:hAnsi="Arial" w:cs="Arial"/>
          <w:i/>
          <w:iCs/>
          <w:sz w:val="18"/>
          <w:szCs w:val="18"/>
        </w:rPr>
        <w:t>III.4.</w:t>
      </w:r>
      <w:r w:rsidR="006D2BCB">
        <w:rPr>
          <w:rStyle w:val="normaltextrun"/>
          <w:rFonts w:ascii="Arial" w:hAnsi="Arial" w:cs="Arial"/>
          <w:i/>
          <w:iCs/>
          <w:sz w:val="18"/>
          <w:szCs w:val="18"/>
        </w:rPr>
        <w:t>3</w:t>
      </w:r>
      <w:r w:rsidR="00F224C9" w:rsidRPr="006D2BCB">
        <w:rPr>
          <w:rStyle w:val="normaltextrun"/>
          <w:rFonts w:ascii="Arial" w:hAnsi="Arial" w:cs="Arial"/>
          <w:i/>
          <w:iCs/>
          <w:sz w:val="18"/>
          <w:szCs w:val="18"/>
        </w:rPr>
        <w:t xml:space="preserve">  </w:t>
      </w:r>
      <w:r w:rsidRPr="006D2BCB">
        <w:rPr>
          <w:rStyle w:val="normaltextrun"/>
          <w:rFonts w:ascii="Arial" w:hAnsi="Arial" w:cs="Arial"/>
          <w:i/>
          <w:iCs/>
          <w:sz w:val="18"/>
          <w:szCs w:val="18"/>
        </w:rPr>
        <w:t> Rozloženie</w:t>
      </w:r>
      <w:r w:rsidRPr="008D60B5">
        <w:rPr>
          <w:rStyle w:val="normaltextrun"/>
          <w:rFonts w:ascii="Arial" w:hAnsi="Arial" w:cs="Arial"/>
          <w:i/>
          <w:iCs/>
          <w:sz w:val="18"/>
          <w:szCs w:val="18"/>
        </w:rPr>
        <w:t xml:space="preserve"> celkových priemerných ročných koncentrácií PM10 a PM2,5 (µg.m-3 ) – vypočítané kombináciou modelov RIO, CALPUFF a IFDM-</w:t>
      </w:r>
      <w:r w:rsidRPr="008D60B5">
        <w:rPr>
          <w:rStyle w:val="spellingerror"/>
          <w:rFonts w:ascii="Arial" w:hAnsi="Arial" w:cs="Arial"/>
          <w:i/>
          <w:iCs/>
          <w:sz w:val="18"/>
          <w:szCs w:val="18"/>
        </w:rPr>
        <w:t>traffic</w:t>
      </w:r>
      <w:r w:rsidRPr="008D60B5">
        <w:rPr>
          <w:rStyle w:val="normaltextrun"/>
          <w:rFonts w:ascii="Arial" w:hAnsi="Arial" w:cs="Arial"/>
          <w:i/>
          <w:iCs/>
          <w:sz w:val="18"/>
          <w:szCs w:val="18"/>
        </w:rPr>
        <w:t xml:space="preserve"> pre rok </w:t>
      </w:r>
      <w:r w:rsidRPr="00A85974">
        <w:rPr>
          <w:rStyle w:val="normaltextrun"/>
          <w:rFonts w:ascii="Arial" w:hAnsi="Arial" w:cs="Arial"/>
          <w:i/>
          <w:iCs/>
          <w:sz w:val="22"/>
          <w:szCs w:val="22"/>
        </w:rPr>
        <w:t>2018</w:t>
      </w:r>
    </w:p>
    <w:p w14:paraId="45901130" w14:textId="77777777" w:rsidR="00590C44" w:rsidRPr="00A85974" w:rsidRDefault="00590C44" w:rsidP="00590C44">
      <w:pPr>
        <w:pStyle w:val="paragraph"/>
        <w:spacing w:before="0" w:beforeAutospacing="0" w:after="0" w:afterAutospacing="0"/>
        <w:jc w:val="center"/>
        <w:textAlignment w:val="baseline"/>
        <w:rPr>
          <w:rStyle w:val="eop"/>
          <w:rFonts w:ascii="Arial" w:hAnsi="Arial" w:cs="Arial"/>
          <w:i/>
          <w:iCs/>
          <w:sz w:val="18"/>
          <w:szCs w:val="18"/>
        </w:rPr>
      </w:pPr>
      <w:r w:rsidRPr="00A85974">
        <w:rPr>
          <w:rStyle w:val="normaltextrun"/>
          <w:rFonts w:ascii="Arial" w:hAnsi="Arial" w:cs="Arial"/>
          <w:i/>
          <w:iCs/>
          <w:sz w:val="18"/>
          <w:szCs w:val="18"/>
        </w:rPr>
        <w:t xml:space="preserve"> (Zdroj: Štúdia kvality ovzdušia v aglomerácii Bratislava, SHMÚ, 2020)</w:t>
      </w:r>
    </w:p>
    <w:p w14:paraId="42F03DD2" w14:textId="77777777" w:rsidR="00590C44" w:rsidRPr="00A85974" w:rsidRDefault="00590C44" w:rsidP="00590C44">
      <w:pPr>
        <w:pStyle w:val="paragraph"/>
        <w:spacing w:before="0" w:beforeAutospacing="0" w:after="0" w:afterAutospacing="0"/>
        <w:textAlignment w:val="baseline"/>
        <w:rPr>
          <w:rFonts w:ascii="Arial" w:hAnsi="Arial" w:cs="Arial"/>
          <w:sz w:val="18"/>
          <w:szCs w:val="18"/>
        </w:rPr>
      </w:pPr>
      <w:r w:rsidRPr="00A85974">
        <w:rPr>
          <w:rStyle w:val="eop"/>
          <w:rFonts w:ascii="Arial" w:hAnsi="Arial" w:cs="Arial"/>
          <w:sz w:val="18"/>
          <w:szCs w:val="18"/>
        </w:rPr>
        <w:t> </w:t>
      </w:r>
    </w:p>
    <w:p w14:paraId="57D20E4B" w14:textId="390C3B29" w:rsidR="009847DD" w:rsidRDefault="009847DD" w:rsidP="009847DD">
      <w:pPr>
        <w:autoSpaceDE w:val="0"/>
        <w:autoSpaceDN w:val="0"/>
        <w:adjustRightInd w:val="0"/>
        <w:spacing w:before="120"/>
        <w:jc w:val="center"/>
        <w:rPr>
          <w:rFonts w:ascii="Arial" w:hAnsi="Arial" w:cs="Arial"/>
          <w:color w:val="0070C0"/>
          <w:sz w:val="22"/>
          <w:szCs w:val="22"/>
        </w:rPr>
      </w:pPr>
      <w:r>
        <w:rPr>
          <w:noProof/>
        </w:rPr>
        <w:drawing>
          <wp:inline distT="0" distB="0" distL="0" distR="0" wp14:anchorId="2236A10B" wp14:editId="7C7BBC79">
            <wp:extent cx="4552122" cy="2767374"/>
            <wp:effectExtent l="0" t="0" r="1270" b="0"/>
            <wp:docPr id="36" name="Obrázo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r="44091" b="21918"/>
                    <a:stretch/>
                  </pic:blipFill>
                  <pic:spPr bwMode="auto">
                    <a:xfrm>
                      <a:off x="0" y="0"/>
                      <a:ext cx="4568552" cy="2777362"/>
                    </a:xfrm>
                    <a:prstGeom prst="rect">
                      <a:avLst/>
                    </a:prstGeom>
                    <a:ln>
                      <a:noFill/>
                    </a:ln>
                    <a:extLst>
                      <a:ext uri="{53640926-AAD7-44D8-BBD7-CCE9431645EC}">
                        <a14:shadowObscured xmlns:a14="http://schemas.microsoft.com/office/drawing/2010/main"/>
                      </a:ext>
                    </a:extLst>
                  </pic:spPr>
                </pic:pic>
              </a:graphicData>
            </a:graphic>
          </wp:inline>
        </w:drawing>
      </w:r>
    </w:p>
    <w:p w14:paraId="25466D36" w14:textId="1DB7ACEB" w:rsidR="008D60B5" w:rsidRDefault="008D60B5" w:rsidP="009847DD">
      <w:pPr>
        <w:autoSpaceDE w:val="0"/>
        <w:autoSpaceDN w:val="0"/>
        <w:adjustRightInd w:val="0"/>
        <w:spacing w:before="120"/>
        <w:jc w:val="center"/>
        <w:rPr>
          <w:rFonts w:ascii="Arial" w:hAnsi="Arial" w:cs="Arial"/>
          <w:color w:val="0070C0"/>
          <w:sz w:val="22"/>
          <w:szCs w:val="22"/>
        </w:rPr>
      </w:pPr>
      <w:r w:rsidRPr="006D2BCB">
        <w:rPr>
          <w:rStyle w:val="normaltextrun"/>
          <w:rFonts w:ascii="Arial" w:hAnsi="Arial" w:cs="Arial"/>
          <w:i/>
          <w:iCs/>
          <w:sz w:val="18"/>
          <w:szCs w:val="18"/>
        </w:rPr>
        <w:t>Obr.č. III.4.</w:t>
      </w:r>
      <w:r w:rsidR="006D2BCB">
        <w:rPr>
          <w:rStyle w:val="normaltextrun"/>
          <w:rFonts w:ascii="Arial" w:hAnsi="Arial" w:cs="Arial"/>
          <w:i/>
          <w:iCs/>
          <w:sz w:val="18"/>
          <w:szCs w:val="18"/>
        </w:rPr>
        <w:t>4</w:t>
      </w:r>
      <w:r w:rsidRPr="006D2BCB">
        <w:rPr>
          <w:rStyle w:val="normaltextrun"/>
          <w:rFonts w:ascii="Arial" w:hAnsi="Arial" w:cs="Arial"/>
          <w:i/>
          <w:iCs/>
          <w:sz w:val="18"/>
          <w:szCs w:val="18"/>
        </w:rPr>
        <w:t xml:space="preserve"> Ročné</w:t>
      </w:r>
      <w:r>
        <w:rPr>
          <w:rStyle w:val="normaltextrun"/>
          <w:rFonts w:ascii="Arial" w:hAnsi="Arial" w:cs="Arial"/>
          <w:i/>
          <w:iCs/>
          <w:sz w:val="18"/>
          <w:szCs w:val="18"/>
        </w:rPr>
        <w:t xml:space="preserve"> rozdelenie zdrojov - Bratislava</w:t>
      </w:r>
    </w:p>
    <w:p w14:paraId="6AC98322" w14:textId="05369374" w:rsidR="00635819" w:rsidRPr="0020178A" w:rsidRDefault="008A358C" w:rsidP="008660F4">
      <w:pPr>
        <w:pStyle w:val="A-Text11"/>
      </w:pPr>
      <w:r w:rsidRPr="0020178A">
        <w:t>Priemerné ročné koncentrácie prízemného ozónu vo všeobecnosti narastajú s nadmorskou výškou, čo je spôsobené prenikaním stratosférického ozónu do vrchných vrstiev troposféry. V roku 2020, podobne ako v predchádzajúcich rokoch, boli maximálne hodnoty namerané na najvyššie položených miestach a minimálne hodnoty na staniciach v centrách miest, kde je ozón odbúravaný vysokými koncentráciami NO. Zvýšené hodnoty ozónu sú aj v okrajových oblastiach väčších mestských aglomerácií, resp. v priemyselných zónach, kde ozón vzniká najmä fotochemickými reakciami oxidov dusíka s VOC a CO.</w:t>
      </w:r>
    </w:p>
    <w:p w14:paraId="5072C582" w14:textId="22CCDDD9" w:rsidR="00635819" w:rsidRPr="0020178A" w:rsidRDefault="008A358C" w:rsidP="00635819">
      <w:pPr>
        <w:autoSpaceDE w:val="0"/>
        <w:autoSpaceDN w:val="0"/>
        <w:adjustRightInd w:val="0"/>
        <w:spacing w:before="120"/>
        <w:rPr>
          <w:rFonts w:ascii="Arial" w:hAnsi="Arial" w:cs="Arial"/>
          <w:sz w:val="22"/>
          <w:szCs w:val="22"/>
        </w:rPr>
      </w:pPr>
      <w:r w:rsidRPr="0020178A">
        <w:rPr>
          <w:rFonts w:ascii="Arial" w:hAnsi="Arial" w:cs="Arial"/>
          <w:sz w:val="22"/>
          <w:szCs w:val="22"/>
        </w:rPr>
        <w:lastRenderedPageBreak/>
        <w:t>Ťažké kovy</w:t>
      </w:r>
    </w:p>
    <w:p w14:paraId="708BDF30" w14:textId="0350DE74" w:rsidR="009847DD" w:rsidRDefault="00635819" w:rsidP="00635819">
      <w:pPr>
        <w:autoSpaceDE w:val="0"/>
        <w:autoSpaceDN w:val="0"/>
        <w:adjustRightInd w:val="0"/>
        <w:spacing w:before="120"/>
      </w:pPr>
      <w:r w:rsidRPr="0020178A">
        <w:rPr>
          <w:rFonts w:ascii="Arial" w:hAnsi="Arial" w:cs="Arial"/>
          <w:sz w:val="22"/>
          <w:szCs w:val="22"/>
        </w:rPr>
        <w:t>Pb, As, Ni, Cd - Limitná (Pb) ani cieľová hodnota týchto ťažkých kovov (As, Cd, Ni) neboli v roku 2020 prekročené. Ich priemerné ročné koncentrácie namerané na staniciach NMSKO sú väčšinou len zlomkom cieľovej, resp. limitnej hodnoty</w:t>
      </w:r>
      <w:r w:rsidRPr="0020178A">
        <w:t>.</w:t>
      </w:r>
    </w:p>
    <w:p w14:paraId="518B60A9" w14:textId="77777777" w:rsidR="00504211" w:rsidRPr="0020178A" w:rsidRDefault="00504211" w:rsidP="00504211">
      <w:pPr>
        <w:spacing w:before="120"/>
        <w:rPr>
          <w:rFonts w:ascii="Arial" w:hAnsi="Arial" w:cs="Arial"/>
          <w:b/>
          <w:sz w:val="22"/>
          <w:szCs w:val="24"/>
          <w:lang w:eastAsia="ar-SA"/>
        </w:rPr>
      </w:pPr>
      <w:r w:rsidRPr="0020178A">
        <w:rPr>
          <w:rFonts w:ascii="Arial" w:hAnsi="Arial" w:cs="Arial"/>
          <w:b/>
          <w:sz w:val="22"/>
          <w:lang w:eastAsia="ar-SA"/>
        </w:rPr>
        <w:t>Znečistenie vôd</w:t>
      </w:r>
    </w:p>
    <w:p w14:paraId="6B0822F6" w14:textId="77777777" w:rsidR="00504211" w:rsidRPr="0020178A" w:rsidRDefault="00504211" w:rsidP="00504211">
      <w:pPr>
        <w:pStyle w:val="A-Text11"/>
        <w:rPr>
          <w:i/>
          <w:iCs/>
          <w:u w:val="single"/>
        </w:rPr>
      </w:pPr>
      <w:r w:rsidRPr="0020178A">
        <w:rPr>
          <w:i/>
          <w:iCs/>
          <w:u w:val="single"/>
        </w:rPr>
        <w:t>Povrchové vody</w:t>
      </w:r>
    </w:p>
    <w:p w14:paraId="323222F7" w14:textId="77777777" w:rsidR="00504211" w:rsidRPr="0020178A" w:rsidRDefault="00504211" w:rsidP="00504211">
      <w:pPr>
        <w:pStyle w:val="A-Text11"/>
      </w:pPr>
      <w:r w:rsidRPr="0020178A">
        <w:t>Záujmová oblasť spadá do povodia toku Malý Dunaj (4-21-15), ktorý preteká cca 4,5 km južne od predmetnej lokality v smere Z – V.</w:t>
      </w:r>
    </w:p>
    <w:p w14:paraId="48743146" w14:textId="77777777" w:rsidR="00504211" w:rsidRPr="0020178A" w:rsidRDefault="00504211" w:rsidP="00504211">
      <w:pPr>
        <w:pStyle w:val="A-Text11"/>
      </w:pPr>
      <w:r w:rsidRPr="0020178A">
        <w:t>Hlavné využitie vôd z tohto povrchového toku je na zavlažovanie poľnohospodársky využívanej pôdy na Hornom Žitnom ostrove, čo je dôvodom veľkého hospodárskeho významu Malého Dunaja. Voda z Malého Dunaja sa čerpá cez kanále Malinovo-Blahová a Tomášov-Lehnice.</w:t>
      </w:r>
    </w:p>
    <w:p w14:paraId="2C933893" w14:textId="77777777" w:rsidR="00504211" w:rsidRPr="0020178A" w:rsidRDefault="00504211" w:rsidP="00504211">
      <w:pPr>
        <w:pStyle w:val="A-Text11"/>
      </w:pPr>
      <w:r w:rsidRPr="0020178A">
        <w:t>Vplyv na kvalitu vody v Malom Dunaji má najmä rafinéria Slovnaft, ktorej chladiace vody ústia do Malého Dunaja a môžu spôsobiť znečistenie ropnými látkami, fenolmi a inými látkami organického pôvodu. Potenciálny zdroj znečistenia Malého Dunaja organickými látkami a nutrientmi predstavuje aj ÚČOV Vrakuňa. Ďalším zdrojom znečistenia Malého Dunaja sú jeho prítoky. Šúrsky kanál, ktorý ústi do Malého Dunaja pod Bratislavou, odvádza odpadové vody z podkarpatskej oblasti. Čierna voda, ktorá patrí medzi najznečistenejšie toky v povodí, má taktiež nepriaznivý vplyv na kvalitu vody v Malom Dunaji.</w:t>
      </w:r>
    </w:p>
    <w:p w14:paraId="26EE39B1" w14:textId="77777777" w:rsidR="00504211" w:rsidRPr="0020178A" w:rsidRDefault="00504211" w:rsidP="00504211">
      <w:pPr>
        <w:pStyle w:val="A-Text11"/>
        <w:rPr>
          <w:lang w:eastAsia="sk-SK"/>
        </w:rPr>
      </w:pPr>
      <w:r w:rsidRPr="0020178A">
        <w:rPr>
          <w:lang w:eastAsia="sk-SK"/>
        </w:rPr>
        <w:t>Kvalita povrchových vôd sa hodnotí v zmysle Prílohy č.1 k Nariadeniu vlády č. 269/2010 Z.z. v znení Nariadenia vlády 398/2012 Z.z., ktorým sa ustanovujú požiadavky na dosiahnutie dobrého stavu vôd.</w:t>
      </w:r>
    </w:p>
    <w:p w14:paraId="1C28106C" w14:textId="10E207DB" w:rsidR="00504211" w:rsidRDefault="00504211" w:rsidP="00504211">
      <w:pPr>
        <w:pStyle w:val="A-Text11"/>
      </w:pPr>
      <w:r w:rsidRPr="0020178A">
        <w:t>Najbližšie k záujmovému územiu sa kvalita povrchových vôd sleduje na Malom Dunaji v odberovom mieste Podunajské Biskupice (rkm 123,4). Toto odberové miesto sa nachádza cca 4,4 km južne od predmetnej lokality. Podľa výsledkov monitorovania kvality povrchovej vody Slovenským hydrometeorologickým ústavom v roku 2020 v tomto odberovom mieste nedošlo k prekročeniu limitu v žiadnom zo všeobecných ukazovateľov (časť A). Nesyntetické látky časti B tu neboli sledované. V časti C syntetické látky bol v tomto odberovom mieste vyhodnotený ako potenciálne nevyhovujúci ukazovateľ benzo(a)pyrén. Potenciálne nesplnenie požiadaviek sa uvádza z dôvodu, že jeho medza stanovenia je vyššia ako environmentálna norma kvality. Hydrobiologické a mikrobiologické ukazovatele (časť E) tu taktiež neboli sledované. Prehľad nesplnenia požiadaviek na kvalitu povrchovej vody j uvedený v nasledujúcej tabuľke:</w:t>
      </w:r>
    </w:p>
    <w:p w14:paraId="4A541069" w14:textId="77777777" w:rsidR="008660F4" w:rsidRPr="0020178A" w:rsidRDefault="008660F4" w:rsidP="00504211">
      <w:pPr>
        <w:pStyle w:val="A-Text11"/>
      </w:pPr>
    </w:p>
    <w:p w14:paraId="5F70AB07" w14:textId="5FBB34D0" w:rsidR="00504211" w:rsidRPr="005145B5" w:rsidRDefault="00504211" w:rsidP="00504211">
      <w:pPr>
        <w:pStyle w:val="poznmka"/>
        <w:rPr>
          <w:rFonts w:cs="Arial"/>
          <w:bCs/>
          <w:i/>
          <w:szCs w:val="18"/>
          <w:lang w:val="sk-SK"/>
        </w:rPr>
      </w:pPr>
      <w:r w:rsidRPr="005145B5">
        <w:rPr>
          <w:rFonts w:cs="Arial"/>
          <w:bCs/>
          <w:i/>
          <w:szCs w:val="18"/>
          <w:lang w:val="sk-SK"/>
        </w:rPr>
        <w:t>Tab. č. III.</w:t>
      </w:r>
      <w:r w:rsidR="005611AF" w:rsidRPr="005145B5">
        <w:rPr>
          <w:rFonts w:cs="Arial"/>
          <w:bCs/>
          <w:i/>
          <w:szCs w:val="18"/>
          <w:lang w:val="sk-SK"/>
        </w:rPr>
        <w:t>4</w:t>
      </w:r>
      <w:r w:rsidRPr="005145B5">
        <w:rPr>
          <w:rFonts w:cs="Arial"/>
          <w:bCs/>
          <w:i/>
          <w:szCs w:val="18"/>
          <w:lang w:val="sk-SK"/>
        </w:rPr>
        <w:t>.</w:t>
      </w:r>
      <w:r w:rsidR="00BD1735" w:rsidRPr="005145B5">
        <w:rPr>
          <w:rFonts w:cs="Arial"/>
          <w:bCs/>
          <w:i/>
          <w:szCs w:val="18"/>
          <w:lang w:val="sk-SK"/>
        </w:rPr>
        <w:t>2</w:t>
      </w:r>
      <w:r w:rsidRPr="005145B5">
        <w:rPr>
          <w:rFonts w:cs="Arial"/>
          <w:bCs/>
          <w:i/>
          <w:szCs w:val="18"/>
          <w:lang w:val="sk-SK"/>
        </w:rPr>
        <w:t>: Prehľad nesplnenia požiadaviek na kvalitu povrchovej vody v roku 2020</w:t>
      </w:r>
    </w:p>
    <w:tbl>
      <w:tblPr>
        <w:tblW w:w="5000" w:type="pct"/>
        <w:tblCellMar>
          <w:left w:w="70" w:type="dxa"/>
          <w:right w:w="70" w:type="dxa"/>
        </w:tblCellMar>
        <w:tblLook w:val="04A0" w:firstRow="1" w:lastRow="0" w:firstColumn="1" w:lastColumn="0" w:noHBand="0" w:noVBand="1"/>
      </w:tblPr>
      <w:tblGrid>
        <w:gridCol w:w="1258"/>
        <w:gridCol w:w="1197"/>
        <w:gridCol w:w="1862"/>
        <w:gridCol w:w="1074"/>
        <w:gridCol w:w="1059"/>
        <w:gridCol w:w="887"/>
        <w:gridCol w:w="854"/>
        <w:gridCol w:w="871"/>
      </w:tblGrid>
      <w:tr w:rsidR="0020178A" w:rsidRPr="0020178A" w14:paraId="608D4DCF" w14:textId="77777777" w:rsidTr="00EF1210">
        <w:trPr>
          <w:trHeight w:val="474"/>
        </w:trPr>
        <w:tc>
          <w:tcPr>
            <w:tcW w:w="697" w:type="pct"/>
            <w:vMerge w:val="restart"/>
            <w:tcBorders>
              <w:top w:val="single" w:sz="4" w:space="0" w:color="auto"/>
              <w:left w:val="single" w:sz="4" w:space="0" w:color="auto"/>
              <w:bottom w:val="single" w:sz="4" w:space="0" w:color="auto"/>
              <w:right w:val="single" w:sz="4" w:space="0" w:color="auto"/>
            </w:tcBorders>
            <w:noWrap/>
            <w:vAlign w:val="center"/>
            <w:hideMark/>
          </w:tcPr>
          <w:p w14:paraId="005E0888" w14:textId="77777777" w:rsidR="00504211" w:rsidRPr="0020178A" w:rsidRDefault="00504211" w:rsidP="00EF1210">
            <w:pPr>
              <w:jc w:val="center"/>
              <w:rPr>
                <w:rFonts w:ascii="Arial" w:hAnsi="Arial" w:cs="Arial"/>
                <w:bCs/>
                <w:szCs w:val="24"/>
              </w:rPr>
            </w:pPr>
            <w:r w:rsidRPr="0020178A">
              <w:rPr>
                <w:rFonts w:ascii="Arial" w:hAnsi="Arial" w:cs="Arial"/>
                <w:bCs/>
              </w:rPr>
              <w:t>NEC</w:t>
            </w:r>
          </w:p>
        </w:tc>
        <w:tc>
          <w:tcPr>
            <w:tcW w:w="663" w:type="pct"/>
            <w:vMerge w:val="restart"/>
            <w:tcBorders>
              <w:top w:val="single" w:sz="4" w:space="0" w:color="auto"/>
              <w:left w:val="single" w:sz="4" w:space="0" w:color="auto"/>
              <w:bottom w:val="single" w:sz="4" w:space="0" w:color="auto"/>
              <w:right w:val="single" w:sz="4" w:space="0" w:color="auto"/>
            </w:tcBorders>
            <w:noWrap/>
            <w:vAlign w:val="center"/>
            <w:hideMark/>
          </w:tcPr>
          <w:p w14:paraId="327A0CD8" w14:textId="77777777" w:rsidR="00504211" w:rsidRPr="0020178A" w:rsidRDefault="00504211" w:rsidP="00EF1210">
            <w:pPr>
              <w:jc w:val="center"/>
              <w:rPr>
                <w:rFonts w:ascii="Arial" w:hAnsi="Arial" w:cs="Arial"/>
                <w:bCs/>
              </w:rPr>
            </w:pPr>
            <w:r w:rsidRPr="0020178A">
              <w:rPr>
                <w:rFonts w:ascii="Arial" w:hAnsi="Arial" w:cs="Arial"/>
                <w:bCs/>
              </w:rPr>
              <w:t>TOK</w:t>
            </w:r>
          </w:p>
        </w:tc>
        <w:tc>
          <w:tcPr>
            <w:tcW w:w="1030" w:type="pct"/>
            <w:vMerge w:val="restart"/>
            <w:tcBorders>
              <w:top w:val="single" w:sz="4" w:space="0" w:color="auto"/>
              <w:left w:val="single" w:sz="4" w:space="0" w:color="auto"/>
              <w:bottom w:val="single" w:sz="4" w:space="0" w:color="auto"/>
              <w:right w:val="single" w:sz="4" w:space="0" w:color="auto"/>
            </w:tcBorders>
            <w:vAlign w:val="center"/>
            <w:hideMark/>
          </w:tcPr>
          <w:p w14:paraId="0F4B803B" w14:textId="77777777" w:rsidR="00504211" w:rsidRPr="0020178A" w:rsidRDefault="00504211" w:rsidP="00EF1210">
            <w:pPr>
              <w:jc w:val="center"/>
              <w:rPr>
                <w:rFonts w:ascii="Arial" w:hAnsi="Arial" w:cs="Arial"/>
                <w:bCs/>
              </w:rPr>
            </w:pPr>
            <w:r w:rsidRPr="0020178A">
              <w:rPr>
                <w:rFonts w:ascii="Arial" w:hAnsi="Arial" w:cs="Arial"/>
                <w:bCs/>
              </w:rPr>
              <w:t>MONITOROVANÉ MIESTO</w:t>
            </w:r>
          </w:p>
        </w:tc>
        <w:tc>
          <w:tcPr>
            <w:tcW w:w="574" w:type="pct"/>
            <w:vMerge w:val="restart"/>
            <w:tcBorders>
              <w:top w:val="single" w:sz="4" w:space="0" w:color="auto"/>
              <w:left w:val="single" w:sz="4" w:space="0" w:color="auto"/>
              <w:bottom w:val="single" w:sz="4" w:space="0" w:color="auto"/>
              <w:right w:val="single" w:sz="4" w:space="0" w:color="auto"/>
            </w:tcBorders>
            <w:noWrap/>
            <w:vAlign w:val="center"/>
            <w:hideMark/>
          </w:tcPr>
          <w:p w14:paraId="5E831D6A" w14:textId="77777777" w:rsidR="00504211" w:rsidRPr="0020178A" w:rsidRDefault="00504211" w:rsidP="00EF1210">
            <w:pPr>
              <w:jc w:val="center"/>
              <w:rPr>
                <w:rFonts w:ascii="Arial" w:hAnsi="Arial" w:cs="Arial"/>
                <w:bCs/>
              </w:rPr>
            </w:pPr>
            <w:r w:rsidRPr="0020178A">
              <w:rPr>
                <w:rFonts w:ascii="Arial" w:hAnsi="Arial" w:cs="Arial"/>
                <w:bCs/>
              </w:rPr>
              <w:t>Riečny km</w:t>
            </w:r>
          </w:p>
        </w:tc>
        <w:tc>
          <w:tcPr>
            <w:tcW w:w="2036" w:type="pct"/>
            <w:gridSpan w:val="4"/>
            <w:tcBorders>
              <w:top w:val="single" w:sz="4" w:space="0" w:color="auto"/>
              <w:left w:val="nil"/>
              <w:bottom w:val="single" w:sz="4" w:space="0" w:color="auto"/>
              <w:right w:val="single" w:sz="4" w:space="0" w:color="auto"/>
            </w:tcBorders>
            <w:vAlign w:val="bottom"/>
            <w:hideMark/>
          </w:tcPr>
          <w:p w14:paraId="670C5E5F" w14:textId="77777777" w:rsidR="00504211" w:rsidRPr="0020178A" w:rsidRDefault="00504211" w:rsidP="00EF1210">
            <w:pPr>
              <w:jc w:val="center"/>
              <w:rPr>
                <w:rFonts w:ascii="Arial" w:hAnsi="Arial" w:cs="Arial"/>
                <w:bCs/>
              </w:rPr>
            </w:pPr>
            <w:r w:rsidRPr="0020178A">
              <w:rPr>
                <w:rFonts w:ascii="Arial" w:hAnsi="Arial" w:cs="Arial"/>
                <w:bCs/>
              </w:rPr>
              <w:t>Ukazovatele nevyhovujúce požiadavkám na kvalitu povrchovej vody podľa Prílohy č. 1:</w:t>
            </w:r>
          </w:p>
        </w:tc>
      </w:tr>
      <w:tr w:rsidR="0020178A" w:rsidRPr="0020178A" w14:paraId="3AA76756" w14:textId="77777777" w:rsidTr="00EF121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EDC3C" w14:textId="77777777" w:rsidR="00504211" w:rsidRPr="0020178A" w:rsidRDefault="00504211" w:rsidP="00EF1210">
            <w:pPr>
              <w:rPr>
                <w:rFonts w:ascii="Arial" w:hAnsi="Arial" w:cs="Arial"/>
                <w:bCs/>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83C211" w14:textId="77777777" w:rsidR="00504211" w:rsidRPr="0020178A" w:rsidRDefault="00504211" w:rsidP="00EF1210">
            <w:pPr>
              <w:rPr>
                <w:rFonts w:ascii="Arial" w:hAnsi="Arial" w:cs="Arial"/>
                <w:bCs/>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B8B89B" w14:textId="77777777" w:rsidR="00504211" w:rsidRPr="0020178A" w:rsidRDefault="00504211" w:rsidP="00EF1210">
            <w:pPr>
              <w:rPr>
                <w:rFonts w:ascii="Arial" w:hAnsi="Arial" w:cs="Arial"/>
                <w:bCs/>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8ECF26" w14:textId="77777777" w:rsidR="00504211" w:rsidRPr="0020178A" w:rsidRDefault="00504211" w:rsidP="00EF1210">
            <w:pPr>
              <w:rPr>
                <w:rFonts w:ascii="Arial" w:hAnsi="Arial" w:cs="Arial"/>
                <w:bCs/>
                <w:szCs w:val="24"/>
                <w:lang w:eastAsia="en-US"/>
              </w:rPr>
            </w:pPr>
          </w:p>
        </w:tc>
        <w:tc>
          <w:tcPr>
            <w:tcW w:w="587" w:type="pct"/>
            <w:tcBorders>
              <w:top w:val="nil"/>
              <w:left w:val="nil"/>
              <w:bottom w:val="single" w:sz="4" w:space="0" w:color="auto"/>
              <w:right w:val="single" w:sz="4" w:space="0" w:color="auto"/>
            </w:tcBorders>
            <w:noWrap/>
            <w:vAlign w:val="bottom"/>
            <w:hideMark/>
          </w:tcPr>
          <w:p w14:paraId="3CADD187" w14:textId="77777777" w:rsidR="00504211" w:rsidRPr="0020178A" w:rsidRDefault="00504211" w:rsidP="00EF1210">
            <w:pPr>
              <w:jc w:val="center"/>
              <w:rPr>
                <w:rFonts w:ascii="Arial" w:hAnsi="Arial" w:cs="Arial"/>
                <w:bCs/>
              </w:rPr>
            </w:pPr>
            <w:r w:rsidRPr="0020178A">
              <w:rPr>
                <w:rFonts w:ascii="Arial" w:hAnsi="Arial" w:cs="Arial"/>
                <w:bCs/>
              </w:rPr>
              <w:t>Časť A</w:t>
            </w:r>
          </w:p>
        </w:tc>
        <w:tc>
          <w:tcPr>
            <w:tcW w:w="492" w:type="pct"/>
            <w:tcBorders>
              <w:top w:val="nil"/>
              <w:left w:val="nil"/>
              <w:bottom w:val="single" w:sz="4" w:space="0" w:color="auto"/>
              <w:right w:val="single" w:sz="4" w:space="0" w:color="auto"/>
            </w:tcBorders>
            <w:noWrap/>
            <w:vAlign w:val="bottom"/>
            <w:hideMark/>
          </w:tcPr>
          <w:p w14:paraId="734BF118" w14:textId="77777777" w:rsidR="00504211" w:rsidRPr="0020178A" w:rsidRDefault="00504211" w:rsidP="00EF1210">
            <w:pPr>
              <w:jc w:val="center"/>
              <w:rPr>
                <w:rFonts w:ascii="Arial" w:hAnsi="Arial" w:cs="Arial"/>
                <w:bCs/>
              </w:rPr>
            </w:pPr>
            <w:r w:rsidRPr="0020178A">
              <w:rPr>
                <w:rFonts w:ascii="Arial" w:hAnsi="Arial" w:cs="Arial"/>
                <w:bCs/>
              </w:rPr>
              <w:t>Časť B</w:t>
            </w:r>
          </w:p>
        </w:tc>
        <w:tc>
          <w:tcPr>
            <w:tcW w:w="474" w:type="pct"/>
            <w:tcBorders>
              <w:top w:val="nil"/>
              <w:left w:val="nil"/>
              <w:bottom w:val="single" w:sz="4" w:space="0" w:color="auto"/>
              <w:right w:val="single" w:sz="4" w:space="0" w:color="auto"/>
            </w:tcBorders>
            <w:noWrap/>
            <w:vAlign w:val="bottom"/>
            <w:hideMark/>
          </w:tcPr>
          <w:p w14:paraId="436D29BE" w14:textId="77777777" w:rsidR="00504211" w:rsidRPr="0020178A" w:rsidRDefault="00504211" w:rsidP="00EF1210">
            <w:pPr>
              <w:jc w:val="center"/>
              <w:rPr>
                <w:rFonts w:ascii="Arial" w:hAnsi="Arial" w:cs="Arial"/>
                <w:bCs/>
              </w:rPr>
            </w:pPr>
            <w:r w:rsidRPr="0020178A">
              <w:rPr>
                <w:rFonts w:ascii="Arial" w:hAnsi="Arial" w:cs="Arial"/>
                <w:bCs/>
              </w:rPr>
              <w:t>Časť C</w:t>
            </w:r>
          </w:p>
        </w:tc>
        <w:tc>
          <w:tcPr>
            <w:tcW w:w="483" w:type="pct"/>
            <w:tcBorders>
              <w:top w:val="nil"/>
              <w:left w:val="nil"/>
              <w:bottom w:val="single" w:sz="4" w:space="0" w:color="auto"/>
              <w:right w:val="single" w:sz="4" w:space="0" w:color="auto"/>
            </w:tcBorders>
            <w:noWrap/>
            <w:vAlign w:val="bottom"/>
            <w:hideMark/>
          </w:tcPr>
          <w:p w14:paraId="4DE739F6" w14:textId="77777777" w:rsidR="00504211" w:rsidRPr="0020178A" w:rsidRDefault="00504211" w:rsidP="00EF1210">
            <w:pPr>
              <w:jc w:val="center"/>
              <w:rPr>
                <w:rFonts w:ascii="Arial" w:hAnsi="Arial" w:cs="Arial"/>
                <w:bCs/>
              </w:rPr>
            </w:pPr>
            <w:r w:rsidRPr="0020178A">
              <w:rPr>
                <w:rFonts w:ascii="Arial" w:hAnsi="Arial" w:cs="Arial"/>
                <w:bCs/>
              </w:rPr>
              <w:t>Časť E</w:t>
            </w:r>
          </w:p>
        </w:tc>
      </w:tr>
      <w:tr w:rsidR="0020178A" w:rsidRPr="0020178A" w14:paraId="3A55B7A7" w14:textId="77777777" w:rsidTr="00EF1210">
        <w:trPr>
          <w:trHeight w:hRule="exact" w:val="591"/>
        </w:trPr>
        <w:tc>
          <w:tcPr>
            <w:tcW w:w="697" w:type="pct"/>
            <w:tcBorders>
              <w:top w:val="single" w:sz="4" w:space="0" w:color="auto"/>
              <w:left w:val="single" w:sz="4" w:space="0" w:color="auto"/>
              <w:bottom w:val="single" w:sz="4" w:space="0" w:color="auto"/>
              <w:right w:val="single" w:sz="4" w:space="0" w:color="auto"/>
            </w:tcBorders>
            <w:vAlign w:val="center"/>
            <w:hideMark/>
          </w:tcPr>
          <w:p w14:paraId="43342755" w14:textId="77777777" w:rsidR="00504211" w:rsidRPr="0020178A" w:rsidRDefault="00504211" w:rsidP="00EF1210">
            <w:pPr>
              <w:autoSpaceDE w:val="0"/>
              <w:autoSpaceDN w:val="0"/>
              <w:adjustRightInd w:val="0"/>
              <w:jc w:val="center"/>
              <w:rPr>
                <w:rFonts w:ascii="Arial" w:hAnsi="Arial" w:cs="Arial"/>
              </w:rPr>
            </w:pPr>
            <w:r w:rsidRPr="0020178A">
              <w:rPr>
                <w:rFonts w:ascii="Arial" w:hAnsi="Arial" w:cs="Arial"/>
                <w:bCs/>
                <w:iCs/>
              </w:rPr>
              <w:t>W604000D</w:t>
            </w:r>
          </w:p>
        </w:tc>
        <w:tc>
          <w:tcPr>
            <w:tcW w:w="663" w:type="pct"/>
            <w:tcBorders>
              <w:top w:val="single" w:sz="4" w:space="0" w:color="auto"/>
              <w:left w:val="single" w:sz="4" w:space="0" w:color="auto"/>
              <w:bottom w:val="single" w:sz="4" w:space="0" w:color="auto"/>
              <w:right w:val="single" w:sz="4" w:space="0" w:color="auto"/>
            </w:tcBorders>
            <w:vAlign w:val="center"/>
            <w:hideMark/>
          </w:tcPr>
          <w:p w14:paraId="42D5C098" w14:textId="77777777" w:rsidR="00504211" w:rsidRPr="0020178A" w:rsidRDefault="00504211" w:rsidP="00EF1210">
            <w:pPr>
              <w:autoSpaceDE w:val="0"/>
              <w:autoSpaceDN w:val="0"/>
              <w:adjustRightInd w:val="0"/>
              <w:jc w:val="center"/>
              <w:rPr>
                <w:rFonts w:ascii="Arial" w:hAnsi="Arial" w:cs="Arial"/>
              </w:rPr>
            </w:pPr>
            <w:r w:rsidRPr="0020178A">
              <w:rPr>
                <w:rFonts w:ascii="Arial" w:hAnsi="Arial" w:cs="Arial"/>
                <w:bCs/>
                <w:iCs/>
              </w:rPr>
              <w:t>Malý Dunaj</w:t>
            </w:r>
          </w:p>
        </w:tc>
        <w:tc>
          <w:tcPr>
            <w:tcW w:w="1030" w:type="pct"/>
            <w:tcBorders>
              <w:top w:val="single" w:sz="4" w:space="0" w:color="auto"/>
              <w:left w:val="single" w:sz="4" w:space="0" w:color="auto"/>
              <w:bottom w:val="single" w:sz="4" w:space="0" w:color="auto"/>
              <w:right w:val="single" w:sz="4" w:space="0" w:color="auto"/>
            </w:tcBorders>
            <w:vAlign w:val="center"/>
            <w:hideMark/>
          </w:tcPr>
          <w:p w14:paraId="1D4A6375" w14:textId="77777777" w:rsidR="00504211" w:rsidRPr="0020178A" w:rsidRDefault="00504211" w:rsidP="00EF1210">
            <w:pPr>
              <w:autoSpaceDE w:val="0"/>
              <w:autoSpaceDN w:val="0"/>
              <w:adjustRightInd w:val="0"/>
              <w:jc w:val="center"/>
              <w:rPr>
                <w:rFonts w:ascii="Arial" w:hAnsi="Arial" w:cs="Arial"/>
              </w:rPr>
            </w:pPr>
            <w:r w:rsidRPr="0020178A">
              <w:rPr>
                <w:rFonts w:ascii="Arial" w:hAnsi="Arial" w:cs="Arial"/>
                <w:bCs/>
                <w:iCs/>
              </w:rPr>
              <w:t>Podunajské Biskupice</w:t>
            </w:r>
          </w:p>
        </w:tc>
        <w:tc>
          <w:tcPr>
            <w:tcW w:w="574" w:type="pct"/>
            <w:tcBorders>
              <w:top w:val="single" w:sz="4" w:space="0" w:color="auto"/>
              <w:left w:val="single" w:sz="4" w:space="0" w:color="auto"/>
              <w:bottom w:val="single" w:sz="4" w:space="0" w:color="auto"/>
              <w:right w:val="single" w:sz="4" w:space="0" w:color="auto"/>
            </w:tcBorders>
            <w:vAlign w:val="center"/>
            <w:hideMark/>
          </w:tcPr>
          <w:p w14:paraId="49D649FB" w14:textId="77777777" w:rsidR="00504211" w:rsidRPr="0020178A" w:rsidRDefault="00504211" w:rsidP="00EF1210">
            <w:pPr>
              <w:autoSpaceDE w:val="0"/>
              <w:autoSpaceDN w:val="0"/>
              <w:adjustRightInd w:val="0"/>
              <w:jc w:val="center"/>
              <w:rPr>
                <w:rFonts w:ascii="Arial" w:hAnsi="Arial" w:cs="Arial"/>
              </w:rPr>
            </w:pPr>
            <w:r w:rsidRPr="0020178A">
              <w:rPr>
                <w:rFonts w:ascii="Arial" w:hAnsi="Arial" w:cs="Arial"/>
              </w:rPr>
              <w:t>123,4</w:t>
            </w:r>
          </w:p>
        </w:tc>
        <w:tc>
          <w:tcPr>
            <w:tcW w:w="587" w:type="pct"/>
            <w:tcBorders>
              <w:top w:val="nil"/>
              <w:left w:val="nil"/>
              <w:bottom w:val="single" w:sz="4" w:space="0" w:color="auto"/>
              <w:right w:val="single" w:sz="4" w:space="0" w:color="auto"/>
            </w:tcBorders>
            <w:noWrap/>
            <w:vAlign w:val="center"/>
          </w:tcPr>
          <w:p w14:paraId="3CE11127" w14:textId="77777777" w:rsidR="00504211" w:rsidRPr="0020178A" w:rsidRDefault="00504211" w:rsidP="00EF1210">
            <w:pPr>
              <w:autoSpaceDE w:val="0"/>
              <w:autoSpaceDN w:val="0"/>
              <w:adjustRightInd w:val="0"/>
              <w:jc w:val="center"/>
              <w:rPr>
                <w:rFonts w:ascii="Arial" w:hAnsi="Arial" w:cs="Arial"/>
              </w:rPr>
            </w:pPr>
          </w:p>
        </w:tc>
        <w:tc>
          <w:tcPr>
            <w:tcW w:w="492" w:type="pct"/>
            <w:tcBorders>
              <w:top w:val="nil"/>
              <w:left w:val="nil"/>
              <w:bottom w:val="single" w:sz="4" w:space="0" w:color="auto"/>
              <w:right w:val="single" w:sz="4" w:space="0" w:color="auto"/>
            </w:tcBorders>
            <w:noWrap/>
            <w:vAlign w:val="center"/>
            <w:hideMark/>
          </w:tcPr>
          <w:p w14:paraId="215BDF62" w14:textId="77777777" w:rsidR="00504211" w:rsidRPr="0020178A" w:rsidRDefault="00504211" w:rsidP="00EF1210">
            <w:pPr>
              <w:autoSpaceDE w:val="0"/>
              <w:autoSpaceDN w:val="0"/>
              <w:adjustRightInd w:val="0"/>
              <w:jc w:val="center"/>
              <w:rPr>
                <w:rFonts w:ascii="Arial" w:hAnsi="Arial" w:cs="Arial"/>
              </w:rPr>
            </w:pPr>
            <w:r w:rsidRPr="0020178A">
              <w:rPr>
                <w:rFonts w:ascii="Arial" w:hAnsi="Arial" w:cs="Arial"/>
              </w:rPr>
              <w:t>-</w:t>
            </w:r>
          </w:p>
        </w:tc>
        <w:tc>
          <w:tcPr>
            <w:tcW w:w="474" w:type="pct"/>
            <w:tcBorders>
              <w:top w:val="nil"/>
              <w:left w:val="nil"/>
              <w:bottom w:val="single" w:sz="4" w:space="0" w:color="auto"/>
              <w:right w:val="single" w:sz="4" w:space="0" w:color="auto"/>
            </w:tcBorders>
            <w:noWrap/>
            <w:vAlign w:val="center"/>
            <w:hideMark/>
          </w:tcPr>
          <w:p w14:paraId="5C9580C0" w14:textId="77777777" w:rsidR="00504211" w:rsidRPr="0020178A" w:rsidRDefault="00504211" w:rsidP="00EF1210">
            <w:pPr>
              <w:autoSpaceDE w:val="0"/>
              <w:autoSpaceDN w:val="0"/>
              <w:adjustRightInd w:val="0"/>
              <w:jc w:val="center"/>
              <w:rPr>
                <w:rFonts w:ascii="Arial" w:hAnsi="Arial" w:cs="Arial"/>
              </w:rPr>
            </w:pPr>
            <w:r w:rsidRPr="0020178A">
              <w:rPr>
                <w:rFonts w:ascii="Arial" w:hAnsi="Arial" w:cs="Arial"/>
              </w:rPr>
              <w:t>B(a)P,</w:t>
            </w:r>
          </w:p>
        </w:tc>
        <w:tc>
          <w:tcPr>
            <w:tcW w:w="483" w:type="pct"/>
            <w:tcBorders>
              <w:top w:val="nil"/>
              <w:left w:val="nil"/>
              <w:bottom w:val="single" w:sz="4" w:space="0" w:color="auto"/>
              <w:right w:val="single" w:sz="4" w:space="0" w:color="auto"/>
            </w:tcBorders>
            <w:noWrap/>
            <w:vAlign w:val="center"/>
            <w:hideMark/>
          </w:tcPr>
          <w:p w14:paraId="6E7930E5" w14:textId="77777777" w:rsidR="00504211" w:rsidRPr="0020178A" w:rsidRDefault="00504211" w:rsidP="00EF1210">
            <w:pPr>
              <w:autoSpaceDE w:val="0"/>
              <w:autoSpaceDN w:val="0"/>
              <w:adjustRightInd w:val="0"/>
              <w:jc w:val="center"/>
              <w:rPr>
                <w:rFonts w:ascii="Arial" w:hAnsi="Arial" w:cs="Arial"/>
              </w:rPr>
            </w:pPr>
            <w:r w:rsidRPr="0020178A">
              <w:rPr>
                <w:rFonts w:ascii="Arial" w:hAnsi="Arial" w:cs="Arial"/>
              </w:rPr>
              <w:t>-</w:t>
            </w:r>
          </w:p>
        </w:tc>
      </w:tr>
    </w:tbl>
    <w:p w14:paraId="05736241" w14:textId="600DEA4A" w:rsidR="00504211" w:rsidRPr="008660F4" w:rsidRDefault="00504211" w:rsidP="00504211">
      <w:pPr>
        <w:pStyle w:val="tabu"/>
        <w:tabs>
          <w:tab w:val="num" w:pos="0"/>
        </w:tabs>
        <w:spacing w:after="0"/>
        <w:jc w:val="center"/>
        <w:rPr>
          <w:rFonts w:cs="Arial"/>
          <w:iCs/>
          <w:sz w:val="18"/>
          <w:szCs w:val="18"/>
          <w:lang w:eastAsia="en-US"/>
        </w:rPr>
      </w:pPr>
      <w:r w:rsidRPr="008660F4">
        <w:rPr>
          <w:rFonts w:cs="Arial"/>
          <w:iCs/>
          <w:sz w:val="18"/>
          <w:szCs w:val="18"/>
          <w:lang w:eastAsia="en-US"/>
        </w:rPr>
        <w:t>Zdroj: Hodnotenie Kvality povrchových vôd Slovenska za rok 2020, SHMÚ, Bratislava, 2021</w:t>
      </w:r>
    </w:p>
    <w:p w14:paraId="368D1043" w14:textId="77777777" w:rsidR="00504211" w:rsidRPr="0020178A" w:rsidRDefault="00504211" w:rsidP="00504211">
      <w:pPr>
        <w:rPr>
          <w:lang w:eastAsia="en-US"/>
        </w:rPr>
      </w:pPr>
    </w:p>
    <w:p w14:paraId="3DE5C763" w14:textId="77777777" w:rsidR="00504211" w:rsidRPr="0020178A" w:rsidRDefault="00504211" w:rsidP="00504211">
      <w:pPr>
        <w:jc w:val="center"/>
        <w:rPr>
          <w:rFonts w:ascii="Arial" w:hAnsi="Arial"/>
          <w:spacing w:val="2"/>
          <w:sz w:val="22"/>
          <w:szCs w:val="24"/>
        </w:rPr>
      </w:pPr>
      <w:r w:rsidRPr="0020178A">
        <w:rPr>
          <w:rFonts w:ascii="Arial" w:hAnsi="Arial"/>
          <w:noProof/>
          <w:spacing w:val="2"/>
          <w:sz w:val="22"/>
        </w:rPr>
        <w:lastRenderedPageBreak/>
        <w:drawing>
          <wp:inline distT="0" distB="0" distL="0" distR="0" wp14:anchorId="4EF53CD8" wp14:editId="1594E64E">
            <wp:extent cx="5760720" cy="3595166"/>
            <wp:effectExtent l="19050" t="19050" r="11430" b="24765"/>
            <wp:docPr id="22" name="Obrázok 22" descr="Obrázok, na ktorom je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ázok 22" descr="Obrázok, na ktorom je mapa&#10;&#10;Automaticky generovaný popis"/>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5499" cy="3598148"/>
                    </a:xfrm>
                    <a:prstGeom prst="rect">
                      <a:avLst/>
                    </a:prstGeom>
                    <a:noFill/>
                    <a:ln w="12700">
                      <a:solidFill>
                        <a:schemeClr val="tx1"/>
                      </a:solidFill>
                    </a:ln>
                  </pic:spPr>
                </pic:pic>
              </a:graphicData>
            </a:graphic>
          </wp:inline>
        </w:drawing>
      </w:r>
    </w:p>
    <w:p w14:paraId="331F090B" w14:textId="5EF5DCCD" w:rsidR="00504211" w:rsidRPr="008660F4" w:rsidRDefault="00504211" w:rsidP="00504211">
      <w:pPr>
        <w:pStyle w:val="tabu"/>
        <w:tabs>
          <w:tab w:val="num" w:pos="0"/>
        </w:tabs>
        <w:spacing w:after="0"/>
        <w:jc w:val="center"/>
        <w:rPr>
          <w:rFonts w:cs="Arial"/>
          <w:iCs/>
          <w:sz w:val="18"/>
          <w:szCs w:val="18"/>
          <w:lang w:eastAsia="en-US"/>
        </w:rPr>
      </w:pPr>
      <w:r w:rsidRPr="008660F4">
        <w:rPr>
          <w:rFonts w:cs="Arial"/>
          <w:iCs/>
          <w:sz w:val="18"/>
          <w:szCs w:val="18"/>
          <w:lang w:eastAsia="en-US"/>
        </w:rPr>
        <w:t>Obr. III.4</w:t>
      </w:r>
      <w:r w:rsidR="00CB54C2" w:rsidRPr="008660F4">
        <w:rPr>
          <w:rFonts w:cs="Arial"/>
          <w:iCs/>
          <w:sz w:val="18"/>
          <w:szCs w:val="18"/>
          <w:lang w:eastAsia="en-US"/>
        </w:rPr>
        <w:t>.</w:t>
      </w:r>
      <w:r w:rsidR="006D2BCB">
        <w:rPr>
          <w:rFonts w:cs="Arial"/>
          <w:iCs/>
          <w:sz w:val="18"/>
          <w:szCs w:val="18"/>
          <w:lang w:eastAsia="en-US"/>
        </w:rPr>
        <w:t>5</w:t>
      </w:r>
      <w:r w:rsidRPr="008660F4">
        <w:rPr>
          <w:rFonts w:cs="Arial"/>
          <w:iCs/>
          <w:sz w:val="18"/>
          <w:szCs w:val="18"/>
          <w:lang w:eastAsia="en-US"/>
        </w:rPr>
        <w:t>: Mapa monitorovacích staníc kvality povrchových vôd v záujmovom území Bratislava - Vrakuňa v roku 2019</w:t>
      </w:r>
    </w:p>
    <w:p w14:paraId="48AAA9F0" w14:textId="77777777" w:rsidR="00504211" w:rsidRPr="00C80B98" w:rsidRDefault="00504211" w:rsidP="008660F4">
      <w:pPr>
        <w:pStyle w:val="tabu"/>
        <w:tabs>
          <w:tab w:val="num" w:pos="0"/>
        </w:tabs>
        <w:spacing w:after="0"/>
        <w:jc w:val="center"/>
        <w:rPr>
          <w:rFonts w:cs="Arial"/>
          <w:iCs/>
          <w:sz w:val="18"/>
          <w:szCs w:val="18"/>
          <w:lang w:eastAsia="en-US"/>
        </w:rPr>
      </w:pPr>
      <w:r w:rsidRPr="00C80B98">
        <w:rPr>
          <w:rFonts w:cs="Arial"/>
          <w:iCs/>
          <w:sz w:val="18"/>
          <w:szCs w:val="18"/>
          <w:lang w:eastAsia="en-US"/>
        </w:rPr>
        <w:t>Zdroj:  Hodnotenie Kvality povrchových vôd Slovenska za rok 2020, SHMÚ, Bratislava, 2021</w:t>
      </w:r>
    </w:p>
    <w:p w14:paraId="564625D7" w14:textId="77777777" w:rsidR="00504211" w:rsidRPr="0020178A" w:rsidRDefault="00504211" w:rsidP="00504211">
      <w:pPr>
        <w:spacing w:before="120"/>
        <w:rPr>
          <w:rFonts w:ascii="Arial" w:hAnsi="Arial" w:cs="Arial"/>
          <w:bCs/>
          <w:i/>
          <w:iCs/>
          <w:sz w:val="22"/>
          <w:szCs w:val="22"/>
          <w:u w:val="single"/>
        </w:rPr>
      </w:pPr>
    </w:p>
    <w:p w14:paraId="5C269826" w14:textId="77777777" w:rsidR="00504211" w:rsidRPr="00C80B98" w:rsidRDefault="00504211" w:rsidP="00504211">
      <w:pPr>
        <w:pStyle w:val="A-Text11"/>
        <w:rPr>
          <w:i/>
          <w:iCs/>
          <w:u w:val="single"/>
        </w:rPr>
      </w:pPr>
      <w:r w:rsidRPr="00C80B98">
        <w:rPr>
          <w:i/>
          <w:iCs/>
          <w:u w:val="single"/>
        </w:rPr>
        <w:t>Podzemné vody</w:t>
      </w:r>
    </w:p>
    <w:p w14:paraId="4FA7CAFC" w14:textId="77777777" w:rsidR="00504211" w:rsidRPr="0020178A" w:rsidRDefault="00504211" w:rsidP="00504211">
      <w:pPr>
        <w:pStyle w:val="A-Text11"/>
        <w:rPr>
          <w:spacing w:val="2"/>
          <w:szCs w:val="24"/>
        </w:rPr>
      </w:pPr>
      <w:r w:rsidRPr="0020178A">
        <w:rPr>
          <w:spacing w:val="2"/>
        </w:rPr>
        <w:t>Kvalita podzemných vôd sa hodnotí podľa Vyhlášky MZ SR 247/2017 Z.z., ktorou sa ustanovujú požiadavky na vodu určenú na ľudskú spotrebu a kontrolu kvality vody určenej na ľudskú spotrebu.</w:t>
      </w:r>
    </w:p>
    <w:p w14:paraId="732315F0" w14:textId="77777777" w:rsidR="00504211" w:rsidRPr="0020178A" w:rsidRDefault="00504211" w:rsidP="00504211">
      <w:pPr>
        <w:pStyle w:val="A-Text11"/>
        <w:rPr>
          <w:spacing w:val="2"/>
        </w:rPr>
      </w:pPr>
      <w:r w:rsidRPr="0020178A">
        <w:rPr>
          <w:spacing w:val="2"/>
        </w:rPr>
        <w:t>Záujmové územie sa podľa útvarov podzemných vôd nachádza v kvartérnom útvare SK1000300P Medzizrnové podzemné vody kvartérnych náplavov centrálnej časti Podunajskej panvy.</w:t>
      </w:r>
    </w:p>
    <w:p w14:paraId="240D83B6" w14:textId="77777777" w:rsidR="00504211" w:rsidRPr="0020178A" w:rsidRDefault="00504211" w:rsidP="00504211">
      <w:pPr>
        <w:pStyle w:val="A-Text11"/>
        <w:rPr>
          <w:rFonts w:cs="Times New Roman"/>
          <w:spacing w:val="2"/>
        </w:rPr>
      </w:pPr>
      <w:r w:rsidRPr="0020178A">
        <w:rPr>
          <w:spacing w:val="2"/>
        </w:rPr>
        <w:t>V tomto útvare sú ako kolektorské horniny zastúpené najmä fluviálne štrky, piesčité štrky, piesky stratigrafického zaradenia holocén. V hydrogeologických kolektoroch prevažuje medzizrnová priepustnosť a priemerný rozsah hrúbky zvodnencov je &gt;100 m. Generálny smer prúdenia podzemných vôd v aluviálnej nive útvaru je viac-menej paralelný s priebehom hlavného toku. Chemické zloženie podzemných vôd je značne variabilné so známkami antropogénneho ovplyvnenia. Z katiónov a aniónov sú najviac zastúpené Ca</w:t>
      </w:r>
      <w:r w:rsidRPr="0020178A">
        <w:rPr>
          <w:spacing w:val="2"/>
          <w:vertAlign w:val="superscript"/>
        </w:rPr>
        <w:t>2+</w:t>
      </w:r>
      <w:r w:rsidRPr="0020178A">
        <w:rPr>
          <w:spacing w:val="2"/>
        </w:rPr>
        <w:t xml:space="preserve"> a HCO</w:t>
      </w:r>
      <w:r w:rsidRPr="0020178A">
        <w:rPr>
          <w:spacing w:val="2"/>
          <w:vertAlign w:val="subscript"/>
        </w:rPr>
        <w:t>3</w:t>
      </w:r>
      <w:r w:rsidRPr="0020178A">
        <w:rPr>
          <w:spacing w:val="2"/>
          <w:vertAlign w:val="superscript"/>
        </w:rPr>
        <w:t>-</w:t>
      </w:r>
      <w:r w:rsidRPr="0020178A">
        <w:rPr>
          <w:spacing w:val="2"/>
        </w:rPr>
        <w:t>. Vyššie obsahy SO</w:t>
      </w:r>
      <w:r w:rsidRPr="0020178A">
        <w:rPr>
          <w:spacing w:val="2"/>
          <w:vertAlign w:val="subscript"/>
        </w:rPr>
        <w:t>4</w:t>
      </w:r>
      <w:r w:rsidRPr="0020178A">
        <w:rPr>
          <w:spacing w:val="2"/>
          <w:vertAlign w:val="superscript"/>
        </w:rPr>
        <w:t>2-</w:t>
      </w:r>
      <w:r w:rsidRPr="0020178A">
        <w:rPr>
          <w:spacing w:val="2"/>
        </w:rPr>
        <w:t>, Cl</w:t>
      </w:r>
      <w:r w:rsidRPr="0020178A">
        <w:rPr>
          <w:spacing w:val="2"/>
          <w:vertAlign w:val="superscript"/>
        </w:rPr>
        <w:t>-</w:t>
      </w:r>
      <w:r w:rsidRPr="0020178A">
        <w:rPr>
          <w:spacing w:val="2"/>
        </w:rPr>
        <w:t xml:space="preserve"> a Na</w:t>
      </w:r>
      <w:r w:rsidRPr="0020178A">
        <w:rPr>
          <w:spacing w:val="2"/>
          <w:vertAlign w:val="superscript"/>
        </w:rPr>
        <w:t>+</w:t>
      </w:r>
      <w:r w:rsidRPr="0020178A">
        <w:rPr>
          <w:spacing w:val="2"/>
        </w:rPr>
        <w:t xml:space="preserve"> sa vyskytujú najmä v husto osídlených častiach útvaru v Bratislave a jej okolí. Podľa Palmer – Gazdovej klasifikácie sú podzemné vody v útvare SK1000300P najčastejšie základného výrazného až nevýrazného Ca-Mg-HCO</w:t>
      </w:r>
      <w:r w:rsidRPr="0020178A">
        <w:rPr>
          <w:spacing w:val="2"/>
          <w:vertAlign w:val="subscript"/>
        </w:rPr>
        <w:t>3</w:t>
      </w:r>
      <w:r w:rsidRPr="0020178A">
        <w:rPr>
          <w:spacing w:val="2"/>
        </w:rPr>
        <w:t xml:space="preserve"> typu. Radíme ich medzi stredne až vysoko mineralizované. V roku 2019 bola mineralizácia nameraná v rozsahu od 308,47 mg.l</w:t>
      </w:r>
      <w:r w:rsidRPr="0020178A">
        <w:rPr>
          <w:spacing w:val="2"/>
          <w:vertAlign w:val="superscript"/>
        </w:rPr>
        <w:t>-1</w:t>
      </w:r>
      <w:r w:rsidRPr="0020178A">
        <w:rPr>
          <w:spacing w:val="2"/>
        </w:rPr>
        <w:t xml:space="preserve"> (Vrakúň) do 1582,18 mg.l</w:t>
      </w:r>
      <w:r w:rsidRPr="0020178A">
        <w:rPr>
          <w:spacing w:val="2"/>
          <w:vertAlign w:val="superscript"/>
        </w:rPr>
        <w:t>-1</w:t>
      </w:r>
      <w:r w:rsidRPr="0020178A">
        <w:rPr>
          <w:spacing w:val="2"/>
        </w:rPr>
        <w:t xml:space="preserve"> (BA - Za Dynamitkou). </w:t>
      </w:r>
    </w:p>
    <w:p w14:paraId="3582A9C5" w14:textId="77777777" w:rsidR="00504211" w:rsidRPr="0020178A" w:rsidRDefault="00504211" w:rsidP="00504211">
      <w:pPr>
        <w:pStyle w:val="A-Text11"/>
        <w:rPr>
          <w:spacing w:val="2"/>
        </w:rPr>
      </w:pPr>
      <w:r w:rsidRPr="0020178A">
        <w:rPr>
          <w:spacing w:val="2"/>
        </w:rPr>
        <w:t xml:space="preserve">Na kvalitu medzizrnových podzemných vôd kvartérnych náplavov centrálnej časti Podunajskej panvy má najväčší vplyv antropogénna činnosť a to najmä v sídelných aglomeráciách. V záujmovom území je to Bratislava. Zvýšené koncentrácie celkového Fe </w:t>
      </w:r>
      <w:r w:rsidRPr="0020178A">
        <w:rPr>
          <w:spacing w:val="2"/>
        </w:rPr>
        <w:lastRenderedPageBreak/>
        <w:t>a Mn sú dôsledkom redukčného prostredia. V oblasti Bratislavy, v ktorej je veľká koncentrácia chemického a petrochemického priemyslu, hustého osídlenia a s tým spojenými aktivitami, dochádza k znečisteniu podzemných vôd ťažkými kovmi a špecifickými organickými látkami. Skládka CHZJD vo Vrakuni, ktorá je významným zdrojom znečistenia v širšom záujmovom území, zapríčiňuje znečistenie podzemných vôd širšou škálou organických látok, najmä pesticídmi, ako aj kovmi.</w:t>
      </w:r>
    </w:p>
    <w:p w14:paraId="70B7BD6F" w14:textId="77777777" w:rsidR="00504211" w:rsidRPr="0020178A" w:rsidRDefault="00504211" w:rsidP="00504211">
      <w:pPr>
        <w:pStyle w:val="A-Text11"/>
        <w:rPr>
          <w:rFonts w:cs="Times New Roman"/>
          <w:spacing w:val="2"/>
        </w:rPr>
      </w:pPr>
      <w:r w:rsidRPr="0020178A">
        <w:rPr>
          <w:spacing w:val="2"/>
        </w:rPr>
        <w:t>Kvalita podzemných vôd sa hodnotí podľa Vyhlášky MZ SR 247/2017 Z.z., ktorou sa ustanovujú požiadavky na vodu určenú na ľudskú spotrebu a kontrolu kvality vody určenej na ľudskú spotrebu.</w:t>
      </w:r>
    </w:p>
    <w:p w14:paraId="53EB477B" w14:textId="77777777" w:rsidR="00504211" w:rsidRPr="0020178A" w:rsidRDefault="00504211" w:rsidP="00504211">
      <w:pPr>
        <w:pStyle w:val="A-Text11"/>
      </w:pPr>
      <w:r w:rsidRPr="0020178A">
        <w:rPr>
          <w:spacing w:val="2"/>
        </w:rPr>
        <w:t>Najbližšie k záujmovému územiu sa kvalita podzemných vôd sleduje v objekte BA – Za Dynamitkou, ktorý sa nachádza cca 1,7 km severne od predmetnej lokality a v objekte BA – Ružinovská ulica nachádzajúcom sa cca 2,3 km juhozápadne od predmetnej lokality</w:t>
      </w:r>
      <w:r w:rsidRPr="0020178A">
        <w:t xml:space="preserve"> </w:t>
      </w:r>
    </w:p>
    <w:p w14:paraId="042212C7" w14:textId="77777777" w:rsidR="00504211" w:rsidRPr="0020178A" w:rsidRDefault="00504211" w:rsidP="00504211">
      <w:pPr>
        <w:pStyle w:val="A-Text11"/>
      </w:pPr>
      <w:r w:rsidRPr="0020178A">
        <w:t>Podľa výsledkov monitorovania kvality podzemnej vody Slovenským hydrometeorologickým ústavom v roku 2019 bolo v objekte BA - Za Dynamitkou zistené prekročenie limitných hodnôt v ukazovateľoch skupín základného fyzikálno-chemického rozboru (Fe celk., Fe</w:t>
      </w:r>
      <w:r w:rsidRPr="0020178A">
        <w:rPr>
          <w:vertAlign w:val="superscript"/>
        </w:rPr>
        <w:t>2+</w:t>
      </w:r>
      <w:r w:rsidRPr="0020178A">
        <w:t>, Mn, RL105, SO</w:t>
      </w:r>
      <w:r w:rsidRPr="0020178A">
        <w:rPr>
          <w:vertAlign w:val="subscript"/>
        </w:rPr>
        <w:t>4</w:t>
      </w:r>
      <w:r w:rsidRPr="0020178A">
        <w:rPr>
          <w:vertAlign w:val="superscript"/>
        </w:rPr>
        <w:t>(2-)</w:t>
      </w:r>
      <w:r w:rsidRPr="0020178A">
        <w:t>, vodivosť, CHSK-Mn), všeobecných organických látok (TOC) a špecifických organických látok, konkrétne prchavých aromatických uhľovodíkov (1,2-dichlórbenzén, 1,3-dichlórbenzén, 1,4-dichlórbenzén). V objekte BA Ružinovská ulica bolo zaznamenané prekročenie limitnej hodnoty len v ukazovateli vodivosť.</w:t>
      </w:r>
    </w:p>
    <w:p w14:paraId="2A370EA5" w14:textId="5096A5C3" w:rsidR="00504211" w:rsidRDefault="00504211" w:rsidP="00504211">
      <w:pPr>
        <w:pStyle w:val="A-Text11"/>
        <w:rPr>
          <w:spacing w:val="2"/>
        </w:rPr>
      </w:pPr>
      <w:r w:rsidRPr="0020178A">
        <w:rPr>
          <w:spacing w:val="2"/>
        </w:rPr>
        <w:t>Okrem uvedených prekročení limitných hodnôt sledovaných ukazovateľov došlo aj k zaznamenaniu výskytu širšej škály špecifických organických látok síce v hodnotách, ktoré sú hlboko pod limit daný vyhláškou, no ich výskyt nie je prírodného pôvodu, ale je spojený výlučne s antropogénnou činnosťou, preto sa v hodnotení uvádza. Zaznamenané ukazovatele a ich hodnoty sú uvedené v nasledujúcej tabuľke.</w:t>
      </w:r>
    </w:p>
    <w:p w14:paraId="1D39AC2E" w14:textId="64F4951E" w:rsidR="00504211" w:rsidRPr="005145B5" w:rsidRDefault="00504211" w:rsidP="00504211">
      <w:pPr>
        <w:spacing w:after="120"/>
        <w:rPr>
          <w:rFonts w:ascii="Arial" w:hAnsi="Arial" w:cs="Arial"/>
          <w:bCs/>
          <w:i/>
          <w:sz w:val="18"/>
          <w:szCs w:val="18"/>
        </w:rPr>
      </w:pPr>
      <w:r w:rsidRPr="005145B5">
        <w:rPr>
          <w:rFonts w:ascii="Arial" w:hAnsi="Arial" w:cs="Arial"/>
          <w:bCs/>
          <w:i/>
          <w:sz w:val="18"/>
          <w:szCs w:val="18"/>
        </w:rPr>
        <w:t>Tab. č. III.</w:t>
      </w:r>
      <w:r w:rsidR="00196245" w:rsidRPr="005145B5">
        <w:rPr>
          <w:rFonts w:ascii="Arial" w:hAnsi="Arial" w:cs="Arial"/>
          <w:bCs/>
          <w:i/>
          <w:sz w:val="18"/>
          <w:szCs w:val="18"/>
        </w:rPr>
        <w:t>4</w:t>
      </w:r>
      <w:r w:rsidRPr="005145B5">
        <w:rPr>
          <w:rFonts w:ascii="Arial" w:hAnsi="Arial" w:cs="Arial"/>
          <w:bCs/>
          <w:i/>
          <w:sz w:val="18"/>
          <w:szCs w:val="18"/>
        </w:rPr>
        <w:t>.</w:t>
      </w:r>
      <w:r w:rsidR="00196245" w:rsidRPr="005145B5">
        <w:rPr>
          <w:rFonts w:ascii="Arial" w:hAnsi="Arial" w:cs="Arial"/>
          <w:bCs/>
          <w:i/>
          <w:sz w:val="18"/>
          <w:szCs w:val="18"/>
        </w:rPr>
        <w:t>3</w:t>
      </w:r>
      <w:r w:rsidRPr="005145B5">
        <w:rPr>
          <w:rFonts w:ascii="Arial" w:hAnsi="Arial" w:cs="Arial"/>
          <w:bCs/>
          <w:i/>
          <w:sz w:val="18"/>
          <w:szCs w:val="18"/>
        </w:rPr>
        <w:t>: Prehľad prítomných špecifických organických látok v podzemnej vode v roku 2019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14"/>
        <w:gridCol w:w="2458"/>
        <w:gridCol w:w="1783"/>
        <w:gridCol w:w="1377"/>
        <w:gridCol w:w="1265"/>
        <w:gridCol w:w="1265"/>
      </w:tblGrid>
      <w:tr w:rsidR="0020178A" w:rsidRPr="0020178A" w14:paraId="5905706D" w14:textId="77777777" w:rsidTr="00EF1210">
        <w:trPr>
          <w:trHeight w:val="404"/>
          <w:jc w:val="center"/>
        </w:trPr>
        <w:tc>
          <w:tcPr>
            <w:tcW w:w="5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8F2B31" w14:textId="77777777" w:rsidR="00504211" w:rsidRPr="0020178A" w:rsidRDefault="00504211" w:rsidP="00EF1210">
            <w:pPr>
              <w:spacing w:line="276" w:lineRule="auto"/>
              <w:jc w:val="center"/>
              <w:rPr>
                <w:rFonts w:ascii="Arial" w:hAnsi="Arial" w:cs="Arial"/>
                <w:b/>
              </w:rPr>
            </w:pPr>
            <w:r w:rsidRPr="0020178A">
              <w:rPr>
                <w:rFonts w:ascii="Arial" w:hAnsi="Arial" w:cs="Arial"/>
                <w:b/>
              </w:rPr>
              <w:t>Číslo</w:t>
            </w:r>
            <w:r w:rsidRPr="0020178A">
              <w:rPr>
                <w:rFonts w:ascii="Arial" w:hAnsi="Arial" w:cs="Arial"/>
                <w:b/>
              </w:rPr>
              <w:br/>
              <w:t>objektu</w:t>
            </w:r>
          </w:p>
        </w:tc>
        <w:tc>
          <w:tcPr>
            <w:tcW w:w="13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78BF68" w14:textId="77777777" w:rsidR="00504211" w:rsidRPr="0020178A" w:rsidRDefault="00504211" w:rsidP="00EF1210">
            <w:pPr>
              <w:spacing w:line="276" w:lineRule="auto"/>
              <w:jc w:val="center"/>
              <w:rPr>
                <w:rFonts w:ascii="Arial" w:hAnsi="Arial" w:cs="Arial"/>
                <w:b/>
              </w:rPr>
            </w:pPr>
            <w:r w:rsidRPr="0020178A">
              <w:rPr>
                <w:rFonts w:ascii="Arial" w:hAnsi="Arial" w:cs="Arial"/>
                <w:b/>
              </w:rPr>
              <w:t>Názov objektu</w:t>
            </w:r>
          </w:p>
        </w:tc>
        <w:tc>
          <w:tcPr>
            <w:tcW w:w="9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53D2FF" w14:textId="77777777" w:rsidR="00504211" w:rsidRPr="0020178A" w:rsidRDefault="00504211" w:rsidP="00EF1210">
            <w:pPr>
              <w:spacing w:line="276" w:lineRule="auto"/>
              <w:jc w:val="center"/>
              <w:rPr>
                <w:rFonts w:ascii="Arial" w:hAnsi="Arial" w:cs="Arial"/>
                <w:b/>
              </w:rPr>
            </w:pPr>
            <w:r w:rsidRPr="0020178A">
              <w:rPr>
                <w:rFonts w:ascii="Arial" w:hAnsi="Arial" w:cs="Arial"/>
                <w:b/>
              </w:rPr>
              <w:t>Ukazovateľ</w:t>
            </w:r>
          </w:p>
        </w:tc>
        <w:tc>
          <w:tcPr>
            <w:tcW w:w="76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D24EC9" w14:textId="77777777" w:rsidR="00504211" w:rsidRPr="0020178A" w:rsidRDefault="00504211" w:rsidP="00EF1210">
            <w:pPr>
              <w:spacing w:line="276" w:lineRule="auto"/>
              <w:jc w:val="center"/>
              <w:rPr>
                <w:rFonts w:ascii="Arial" w:hAnsi="Arial" w:cs="Arial"/>
                <w:b/>
              </w:rPr>
            </w:pPr>
            <w:r w:rsidRPr="0020178A">
              <w:rPr>
                <w:rFonts w:ascii="Arial" w:hAnsi="Arial" w:cs="Arial"/>
                <w:b/>
              </w:rPr>
              <w:t>Dátum odberu</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25602A" w14:textId="77777777" w:rsidR="00504211" w:rsidRPr="0020178A" w:rsidRDefault="00504211" w:rsidP="00EF1210">
            <w:pPr>
              <w:spacing w:line="276" w:lineRule="auto"/>
              <w:jc w:val="center"/>
              <w:rPr>
                <w:rFonts w:ascii="Arial" w:hAnsi="Arial" w:cs="Arial"/>
                <w:b/>
              </w:rPr>
            </w:pPr>
            <w:r w:rsidRPr="0020178A">
              <w:rPr>
                <w:rFonts w:ascii="Arial" w:hAnsi="Arial" w:cs="Arial"/>
                <w:b/>
              </w:rPr>
              <w:t>Nameraná</w:t>
            </w:r>
            <w:r w:rsidRPr="0020178A">
              <w:rPr>
                <w:rFonts w:ascii="Arial" w:hAnsi="Arial" w:cs="Arial"/>
                <w:b/>
              </w:rPr>
              <w:br/>
              <w:t>hodnota</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E721B8" w14:textId="77777777" w:rsidR="00504211" w:rsidRPr="0020178A" w:rsidRDefault="00504211" w:rsidP="00EF1210">
            <w:pPr>
              <w:spacing w:line="276" w:lineRule="auto"/>
              <w:jc w:val="center"/>
              <w:rPr>
                <w:rFonts w:ascii="Arial" w:hAnsi="Arial" w:cs="Arial"/>
                <w:b/>
              </w:rPr>
            </w:pPr>
            <w:r w:rsidRPr="0020178A">
              <w:rPr>
                <w:rFonts w:ascii="Arial" w:hAnsi="Arial" w:cs="Arial"/>
                <w:b/>
              </w:rPr>
              <w:t>Jednotka</w:t>
            </w:r>
          </w:p>
        </w:tc>
      </w:tr>
      <w:tr w:rsidR="0020178A" w:rsidRPr="0020178A" w14:paraId="1501A4EB" w14:textId="77777777" w:rsidTr="00EF1210">
        <w:trPr>
          <w:trHeight w:val="199"/>
          <w:jc w:val="center"/>
        </w:trPr>
        <w:tc>
          <w:tcPr>
            <w:tcW w:w="5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0B6E49B" w14:textId="77777777" w:rsidR="00504211" w:rsidRPr="0020178A" w:rsidRDefault="00504211" w:rsidP="00EF1210">
            <w:pPr>
              <w:spacing w:line="276" w:lineRule="auto"/>
              <w:rPr>
                <w:rFonts w:ascii="Arial" w:hAnsi="Arial" w:cs="Arial"/>
              </w:rPr>
            </w:pPr>
            <w:r w:rsidRPr="0020178A">
              <w:rPr>
                <w:rFonts w:ascii="Arial" w:hAnsi="Arial" w:cs="Arial"/>
              </w:rPr>
              <w:t>270790</w:t>
            </w:r>
          </w:p>
        </w:tc>
        <w:tc>
          <w:tcPr>
            <w:tcW w:w="135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36CF470" w14:textId="77777777" w:rsidR="00504211" w:rsidRPr="0020178A" w:rsidRDefault="00504211" w:rsidP="00EF1210">
            <w:pPr>
              <w:spacing w:line="276" w:lineRule="auto"/>
              <w:rPr>
                <w:rFonts w:ascii="Arial" w:hAnsi="Arial" w:cs="Arial"/>
              </w:rPr>
            </w:pPr>
            <w:r w:rsidRPr="0020178A">
              <w:rPr>
                <w:rFonts w:ascii="Arial" w:hAnsi="Arial" w:cs="Arial"/>
              </w:rPr>
              <w:t>BA-ZA DYNAMITKOU</w:t>
            </w:r>
          </w:p>
        </w:tc>
        <w:tc>
          <w:tcPr>
            <w:tcW w:w="9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EA3644" w14:textId="77777777" w:rsidR="00504211" w:rsidRPr="0020178A" w:rsidRDefault="00504211" w:rsidP="00EF1210">
            <w:pPr>
              <w:spacing w:line="276" w:lineRule="auto"/>
              <w:rPr>
                <w:rFonts w:ascii="Arial" w:hAnsi="Arial" w:cs="Arial"/>
              </w:rPr>
            </w:pPr>
            <w:r w:rsidRPr="0020178A">
              <w:rPr>
                <w:rFonts w:ascii="Arial" w:hAnsi="Arial" w:cs="Arial"/>
              </w:rPr>
              <w:t xml:space="preserve">1,2 cis dichlóretén </w:t>
            </w:r>
          </w:p>
        </w:tc>
        <w:tc>
          <w:tcPr>
            <w:tcW w:w="76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30B6C7" w14:textId="77777777" w:rsidR="00504211" w:rsidRPr="0020178A" w:rsidRDefault="00504211" w:rsidP="00EF1210">
            <w:pPr>
              <w:spacing w:line="276" w:lineRule="auto"/>
              <w:jc w:val="center"/>
              <w:rPr>
                <w:rFonts w:ascii="Arial" w:hAnsi="Arial" w:cs="Arial"/>
              </w:rPr>
            </w:pPr>
            <w:r w:rsidRPr="0020178A">
              <w:rPr>
                <w:rFonts w:ascii="Arial" w:hAnsi="Arial" w:cs="Arial"/>
              </w:rPr>
              <w:t>10.10.2019</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E0D598" w14:textId="77777777" w:rsidR="00504211" w:rsidRPr="0020178A" w:rsidRDefault="00504211" w:rsidP="00EF1210">
            <w:pPr>
              <w:spacing w:line="276" w:lineRule="auto"/>
              <w:jc w:val="center"/>
              <w:rPr>
                <w:rFonts w:ascii="Arial" w:hAnsi="Arial" w:cs="Arial"/>
              </w:rPr>
            </w:pPr>
            <w:r w:rsidRPr="0020178A">
              <w:rPr>
                <w:rFonts w:ascii="Arial" w:hAnsi="Arial" w:cs="Arial"/>
              </w:rPr>
              <w:t>0,500</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6F183C" w14:textId="77777777" w:rsidR="00504211" w:rsidRPr="0020178A" w:rsidRDefault="00504211" w:rsidP="00EF1210">
            <w:pPr>
              <w:spacing w:line="276" w:lineRule="auto"/>
              <w:jc w:val="center"/>
              <w:rPr>
                <w:rFonts w:ascii="Arial" w:hAnsi="Arial" w:cs="Arial"/>
              </w:rPr>
            </w:pPr>
            <w:r w:rsidRPr="0020178A">
              <w:rPr>
                <w:rFonts w:ascii="Arial" w:hAnsi="Arial" w:cs="Arial"/>
              </w:rPr>
              <w:t>µg/l</w:t>
            </w:r>
          </w:p>
        </w:tc>
      </w:tr>
      <w:tr w:rsidR="0020178A" w:rsidRPr="0020178A" w14:paraId="46E8F04F" w14:textId="77777777" w:rsidTr="00EF1210">
        <w:trPr>
          <w:trHeight w:val="19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08D28" w14:textId="77777777" w:rsidR="00504211" w:rsidRPr="0020178A" w:rsidRDefault="00504211" w:rsidP="00EF1210">
            <w:pPr>
              <w:spacing w:line="276" w:lineRule="auto"/>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423CE" w14:textId="77777777" w:rsidR="00504211" w:rsidRPr="0020178A" w:rsidRDefault="00504211" w:rsidP="00EF1210">
            <w:pPr>
              <w:spacing w:line="276" w:lineRule="auto"/>
              <w:rPr>
                <w:rFonts w:ascii="Arial" w:hAnsi="Arial" w:cs="Arial"/>
                <w:lang w:eastAsia="en-US"/>
              </w:rPr>
            </w:pPr>
          </w:p>
        </w:tc>
        <w:tc>
          <w:tcPr>
            <w:tcW w:w="9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6E5B72" w14:textId="77777777" w:rsidR="00504211" w:rsidRPr="0020178A" w:rsidRDefault="00504211" w:rsidP="00EF1210">
            <w:pPr>
              <w:spacing w:line="276" w:lineRule="auto"/>
              <w:rPr>
                <w:rFonts w:ascii="Arial" w:hAnsi="Arial" w:cs="Arial"/>
              </w:rPr>
            </w:pPr>
            <w:r w:rsidRPr="0020178A">
              <w:rPr>
                <w:rFonts w:ascii="Arial" w:hAnsi="Arial" w:cs="Arial"/>
              </w:rPr>
              <w:t>1,2 dichlórbenzén</w:t>
            </w:r>
          </w:p>
        </w:tc>
        <w:tc>
          <w:tcPr>
            <w:tcW w:w="76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B6F470" w14:textId="77777777" w:rsidR="00504211" w:rsidRPr="0020178A" w:rsidRDefault="00504211" w:rsidP="00EF1210">
            <w:pPr>
              <w:spacing w:line="276" w:lineRule="auto"/>
              <w:jc w:val="center"/>
              <w:rPr>
                <w:rFonts w:ascii="Arial" w:hAnsi="Arial" w:cs="Arial"/>
              </w:rPr>
            </w:pPr>
            <w:r w:rsidRPr="0020178A">
              <w:rPr>
                <w:rFonts w:ascii="Arial" w:hAnsi="Arial" w:cs="Arial"/>
              </w:rPr>
              <w:t>10.10.2019</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CC463A" w14:textId="77777777" w:rsidR="00504211" w:rsidRPr="0020178A" w:rsidRDefault="00504211" w:rsidP="00EF1210">
            <w:pPr>
              <w:spacing w:line="276" w:lineRule="auto"/>
              <w:jc w:val="center"/>
              <w:rPr>
                <w:rFonts w:ascii="Arial" w:hAnsi="Arial" w:cs="Arial"/>
              </w:rPr>
            </w:pPr>
            <w:r w:rsidRPr="0020178A">
              <w:rPr>
                <w:rFonts w:ascii="Arial" w:hAnsi="Arial" w:cs="Arial"/>
              </w:rPr>
              <w:t>0,500</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AEFB3C" w14:textId="77777777" w:rsidR="00504211" w:rsidRPr="0020178A" w:rsidRDefault="00504211" w:rsidP="00EF1210">
            <w:pPr>
              <w:spacing w:line="276" w:lineRule="auto"/>
              <w:jc w:val="center"/>
              <w:rPr>
                <w:rFonts w:ascii="Arial" w:hAnsi="Arial" w:cs="Arial"/>
              </w:rPr>
            </w:pPr>
            <w:r w:rsidRPr="0020178A">
              <w:rPr>
                <w:rFonts w:ascii="Arial" w:hAnsi="Arial" w:cs="Arial"/>
              </w:rPr>
              <w:t>µg/l</w:t>
            </w:r>
          </w:p>
        </w:tc>
      </w:tr>
      <w:tr w:rsidR="0020178A" w:rsidRPr="0020178A" w14:paraId="26FE71EF" w14:textId="77777777" w:rsidTr="00EF1210">
        <w:trPr>
          <w:trHeight w:val="19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57D36C" w14:textId="77777777" w:rsidR="00504211" w:rsidRPr="0020178A" w:rsidRDefault="00504211" w:rsidP="00EF1210">
            <w:pPr>
              <w:spacing w:line="276" w:lineRule="auto"/>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56D670" w14:textId="77777777" w:rsidR="00504211" w:rsidRPr="0020178A" w:rsidRDefault="00504211" w:rsidP="00EF1210">
            <w:pPr>
              <w:spacing w:line="276" w:lineRule="auto"/>
              <w:rPr>
                <w:rFonts w:ascii="Arial" w:hAnsi="Arial" w:cs="Arial"/>
                <w:lang w:eastAsia="en-US"/>
              </w:rPr>
            </w:pPr>
          </w:p>
        </w:tc>
        <w:tc>
          <w:tcPr>
            <w:tcW w:w="9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6D5870" w14:textId="77777777" w:rsidR="00504211" w:rsidRPr="0020178A" w:rsidRDefault="00504211" w:rsidP="00EF1210">
            <w:pPr>
              <w:spacing w:line="276" w:lineRule="auto"/>
              <w:rPr>
                <w:rFonts w:ascii="Arial" w:hAnsi="Arial" w:cs="Arial"/>
              </w:rPr>
            </w:pPr>
            <w:r w:rsidRPr="0020178A">
              <w:rPr>
                <w:rFonts w:ascii="Arial" w:hAnsi="Arial" w:cs="Arial"/>
              </w:rPr>
              <w:t>1,3 dichlórbenzén</w:t>
            </w:r>
          </w:p>
        </w:tc>
        <w:tc>
          <w:tcPr>
            <w:tcW w:w="76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E67AAE" w14:textId="77777777" w:rsidR="00504211" w:rsidRPr="0020178A" w:rsidRDefault="00504211" w:rsidP="00EF1210">
            <w:pPr>
              <w:spacing w:line="276" w:lineRule="auto"/>
              <w:jc w:val="center"/>
              <w:rPr>
                <w:rFonts w:ascii="Arial" w:hAnsi="Arial" w:cs="Arial"/>
              </w:rPr>
            </w:pPr>
            <w:r w:rsidRPr="0020178A">
              <w:rPr>
                <w:rFonts w:ascii="Arial" w:hAnsi="Arial" w:cs="Arial"/>
              </w:rPr>
              <w:t>10.10.2019</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D55AE" w14:textId="77777777" w:rsidR="00504211" w:rsidRPr="0020178A" w:rsidRDefault="00504211" w:rsidP="00EF1210">
            <w:pPr>
              <w:spacing w:line="276" w:lineRule="auto"/>
              <w:jc w:val="center"/>
              <w:rPr>
                <w:rFonts w:ascii="Arial" w:hAnsi="Arial" w:cs="Arial"/>
              </w:rPr>
            </w:pPr>
            <w:r w:rsidRPr="0020178A">
              <w:rPr>
                <w:rFonts w:ascii="Arial" w:hAnsi="Arial" w:cs="Arial"/>
              </w:rPr>
              <w:t>0,400</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CCC06B" w14:textId="77777777" w:rsidR="00504211" w:rsidRPr="0020178A" w:rsidRDefault="00504211" w:rsidP="00EF1210">
            <w:pPr>
              <w:spacing w:line="276" w:lineRule="auto"/>
              <w:jc w:val="center"/>
              <w:rPr>
                <w:rFonts w:ascii="Arial" w:hAnsi="Arial" w:cs="Arial"/>
              </w:rPr>
            </w:pPr>
            <w:r w:rsidRPr="0020178A">
              <w:rPr>
                <w:rFonts w:ascii="Arial" w:hAnsi="Arial" w:cs="Arial"/>
              </w:rPr>
              <w:t>µg/l</w:t>
            </w:r>
          </w:p>
        </w:tc>
      </w:tr>
      <w:tr w:rsidR="0020178A" w:rsidRPr="0020178A" w14:paraId="13CF2FAD" w14:textId="77777777" w:rsidTr="00EF1210">
        <w:trPr>
          <w:trHeight w:val="2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65A5FC" w14:textId="77777777" w:rsidR="00504211" w:rsidRPr="0020178A" w:rsidRDefault="00504211" w:rsidP="00EF1210">
            <w:pPr>
              <w:spacing w:line="276" w:lineRule="auto"/>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9D7BF3" w14:textId="77777777" w:rsidR="00504211" w:rsidRPr="0020178A" w:rsidRDefault="00504211" w:rsidP="00EF1210">
            <w:pPr>
              <w:spacing w:line="276" w:lineRule="auto"/>
              <w:rPr>
                <w:rFonts w:ascii="Arial" w:hAnsi="Arial" w:cs="Arial"/>
                <w:lang w:eastAsia="en-US"/>
              </w:rPr>
            </w:pPr>
          </w:p>
        </w:tc>
        <w:tc>
          <w:tcPr>
            <w:tcW w:w="9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A91D73" w14:textId="77777777" w:rsidR="00504211" w:rsidRPr="0020178A" w:rsidRDefault="00504211" w:rsidP="00EF1210">
            <w:pPr>
              <w:spacing w:line="276" w:lineRule="auto"/>
              <w:rPr>
                <w:rFonts w:ascii="Arial" w:hAnsi="Arial" w:cs="Arial"/>
              </w:rPr>
            </w:pPr>
            <w:r w:rsidRPr="0020178A">
              <w:rPr>
                <w:rFonts w:ascii="Arial" w:hAnsi="Arial" w:cs="Arial"/>
              </w:rPr>
              <w:t>1,4 dichlórbenzén</w:t>
            </w:r>
          </w:p>
        </w:tc>
        <w:tc>
          <w:tcPr>
            <w:tcW w:w="760" w:type="pct"/>
            <w:tcBorders>
              <w:top w:val="single" w:sz="4" w:space="0" w:color="auto"/>
              <w:left w:val="single" w:sz="4" w:space="0" w:color="auto"/>
              <w:bottom w:val="single" w:sz="4" w:space="0" w:color="auto"/>
              <w:right w:val="single" w:sz="4" w:space="0" w:color="auto"/>
            </w:tcBorders>
            <w:shd w:val="clear" w:color="auto" w:fill="FFFFFF"/>
            <w:hideMark/>
          </w:tcPr>
          <w:p w14:paraId="0EDBAE81" w14:textId="77777777" w:rsidR="00504211" w:rsidRPr="0020178A" w:rsidRDefault="00504211" w:rsidP="00EF1210">
            <w:pPr>
              <w:spacing w:line="276" w:lineRule="auto"/>
              <w:jc w:val="center"/>
              <w:rPr>
                <w:rFonts w:ascii="Arial" w:hAnsi="Arial" w:cs="Arial"/>
              </w:rPr>
            </w:pPr>
            <w:r w:rsidRPr="0020178A">
              <w:rPr>
                <w:rFonts w:ascii="Arial" w:hAnsi="Arial" w:cs="Arial"/>
              </w:rPr>
              <w:t>10.10.2019</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C249A8" w14:textId="77777777" w:rsidR="00504211" w:rsidRPr="0020178A" w:rsidRDefault="00504211" w:rsidP="00EF1210">
            <w:pPr>
              <w:spacing w:line="276" w:lineRule="auto"/>
              <w:jc w:val="center"/>
              <w:rPr>
                <w:rFonts w:ascii="Arial" w:hAnsi="Arial" w:cs="Arial"/>
              </w:rPr>
            </w:pPr>
            <w:r w:rsidRPr="0020178A">
              <w:rPr>
                <w:rFonts w:ascii="Arial" w:hAnsi="Arial" w:cs="Arial"/>
              </w:rPr>
              <w:t>1,900</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906DBF" w14:textId="77777777" w:rsidR="00504211" w:rsidRPr="0020178A" w:rsidRDefault="00504211" w:rsidP="00EF1210">
            <w:pPr>
              <w:spacing w:line="276" w:lineRule="auto"/>
              <w:jc w:val="center"/>
              <w:rPr>
                <w:rFonts w:ascii="Arial" w:hAnsi="Arial" w:cs="Arial"/>
              </w:rPr>
            </w:pPr>
            <w:r w:rsidRPr="0020178A">
              <w:rPr>
                <w:rFonts w:ascii="Arial" w:hAnsi="Arial" w:cs="Arial"/>
              </w:rPr>
              <w:t>µg/l</w:t>
            </w:r>
          </w:p>
        </w:tc>
      </w:tr>
      <w:tr w:rsidR="0020178A" w:rsidRPr="0020178A" w14:paraId="029D08F3" w14:textId="77777777" w:rsidTr="00EF1210">
        <w:trPr>
          <w:trHeight w:val="19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4B9EC" w14:textId="77777777" w:rsidR="00504211" w:rsidRPr="0020178A" w:rsidRDefault="00504211" w:rsidP="00EF1210">
            <w:pPr>
              <w:spacing w:line="276" w:lineRule="auto"/>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3D3D71" w14:textId="77777777" w:rsidR="00504211" w:rsidRPr="0020178A" w:rsidRDefault="00504211" w:rsidP="00EF1210">
            <w:pPr>
              <w:spacing w:line="276" w:lineRule="auto"/>
              <w:rPr>
                <w:rFonts w:ascii="Arial" w:hAnsi="Arial" w:cs="Arial"/>
                <w:lang w:eastAsia="en-US"/>
              </w:rPr>
            </w:pPr>
          </w:p>
        </w:tc>
        <w:tc>
          <w:tcPr>
            <w:tcW w:w="9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6B066B" w14:textId="77777777" w:rsidR="00504211" w:rsidRPr="0020178A" w:rsidRDefault="00504211" w:rsidP="00EF1210">
            <w:pPr>
              <w:spacing w:line="276" w:lineRule="auto"/>
              <w:rPr>
                <w:rFonts w:ascii="Arial" w:hAnsi="Arial" w:cs="Arial"/>
              </w:rPr>
            </w:pPr>
            <w:r w:rsidRPr="0020178A">
              <w:rPr>
                <w:rFonts w:ascii="Arial" w:hAnsi="Arial" w:cs="Arial"/>
              </w:rPr>
              <w:t>Chlórbenzén</w:t>
            </w:r>
          </w:p>
        </w:tc>
        <w:tc>
          <w:tcPr>
            <w:tcW w:w="760" w:type="pct"/>
            <w:tcBorders>
              <w:top w:val="single" w:sz="4" w:space="0" w:color="auto"/>
              <w:left w:val="single" w:sz="4" w:space="0" w:color="auto"/>
              <w:bottom w:val="single" w:sz="4" w:space="0" w:color="auto"/>
              <w:right w:val="single" w:sz="4" w:space="0" w:color="auto"/>
            </w:tcBorders>
            <w:shd w:val="clear" w:color="auto" w:fill="FFFFFF"/>
            <w:hideMark/>
          </w:tcPr>
          <w:p w14:paraId="1DE22611" w14:textId="77777777" w:rsidR="00504211" w:rsidRPr="0020178A" w:rsidRDefault="00504211" w:rsidP="00EF1210">
            <w:pPr>
              <w:spacing w:line="276" w:lineRule="auto"/>
              <w:jc w:val="center"/>
              <w:rPr>
                <w:rFonts w:ascii="Arial" w:hAnsi="Arial" w:cs="Arial"/>
              </w:rPr>
            </w:pPr>
            <w:r w:rsidRPr="0020178A">
              <w:rPr>
                <w:rFonts w:ascii="Arial" w:hAnsi="Arial" w:cs="Arial"/>
              </w:rPr>
              <w:t>10.10.2019</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DB22EF" w14:textId="77777777" w:rsidR="00504211" w:rsidRPr="0020178A" w:rsidRDefault="00504211" w:rsidP="00EF1210">
            <w:pPr>
              <w:spacing w:line="276" w:lineRule="auto"/>
              <w:jc w:val="center"/>
              <w:rPr>
                <w:rFonts w:ascii="Arial" w:hAnsi="Arial" w:cs="Arial"/>
              </w:rPr>
            </w:pPr>
            <w:r w:rsidRPr="0020178A">
              <w:rPr>
                <w:rFonts w:ascii="Arial" w:hAnsi="Arial" w:cs="Arial"/>
              </w:rPr>
              <w:t>6,800</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D7EC9C" w14:textId="77777777" w:rsidR="00504211" w:rsidRPr="0020178A" w:rsidRDefault="00504211" w:rsidP="00EF1210">
            <w:pPr>
              <w:spacing w:line="276" w:lineRule="auto"/>
              <w:jc w:val="center"/>
              <w:rPr>
                <w:rFonts w:ascii="Arial" w:hAnsi="Arial" w:cs="Arial"/>
              </w:rPr>
            </w:pPr>
            <w:r w:rsidRPr="0020178A">
              <w:rPr>
                <w:rFonts w:ascii="Arial" w:hAnsi="Arial" w:cs="Arial"/>
              </w:rPr>
              <w:t>µg/l</w:t>
            </w:r>
          </w:p>
        </w:tc>
      </w:tr>
      <w:tr w:rsidR="0020178A" w:rsidRPr="0020178A" w14:paraId="3AB06E90" w14:textId="77777777" w:rsidTr="00EF1210">
        <w:trPr>
          <w:trHeight w:val="19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6CF185" w14:textId="77777777" w:rsidR="00504211" w:rsidRPr="0020178A" w:rsidRDefault="00504211" w:rsidP="00EF1210">
            <w:pPr>
              <w:spacing w:line="276" w:lineRule="auto"/>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7A71B5" w14:textId="77777777" w:rsidR="00504211" w:rsidRPr="0020178A" w:rsidRDefault="00504211" w:rsidP="00EF1210">
            <w:pPr>
              <w:spacing w:line="276" w:lineRule="auto"/>
              <w:rPr>
                <w:rFonts w:ascii="Arial" w:hAnsi="Arial" w:cs="Arial"/>
                <w:lang w:eastAsia="en-US"/>
              </w:rPr>
            </w:pPr>
          </w:p>
        </w:tc>
        <w:tc>
          <w:tcPr>
            <w:tcW w:w="9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68F6EE" w14:textId="77777777" w:rsidR="00504211" w:rsidRPr="0020178A" w:rsidRDefault="00504211" w:rsidP="00EF1210">
            <w:pPr>
              <w:spacing w:line="276" w:lineRule="auto"/>
              <w:rPr>
                <w:rFonts w:ascii="Arial" w:hAnsi="Arial" w:cs="Arial"/>
              </w:rPr>
            </w:pPr>
            <w:r w:rsidRPr="0020178A">
              <w:rPr>
                <w:rFonts w:ascii="Arial" w:hAnsi="Arial" w:cs="Arial"/>
              </w:rPr>
              <w:t>Fenantrén</w:t>
            </w:r>
          </w:p>
        </w:tc>
        <w:tc>
          <w:tcPr>
            <w:tcW w:w="760" w:type="pct"/>
            <w:tcBorders>
              <w:top w:val="single" w:sz="4" w:space="0" w:color="auto"/>
              <w:left w:val="single" w:sz="4" w:space="0" w:color="auto"/>
              <w:bottom w:val="single" w:sz="4" w:space="0" w:color="auto"/>
              <w:right w:val="single" w:sz="4" w:space="0" w:color="auto"/>
            </w:tcBorders>
            <w:shd w:val="clear" w:color="auto" w:fill="FFFFFF"/>
            <w:hideMark/>
          </w:tcPr>
          <w:p w14:paraId="28D601EC" w14:textId="77777777" w:rsidR="00504211" w:rsidRPr="0020178A" w:rsidRDefault="00504211" w:rsidP="00EF1210">
            <w:pPr>
              <w:spacing w:line="276" w:lineRule="auto"/>
              <w:jc w:val="center"/>
              <w:rPr>
                <w:rFonts w:ascii="Arial" w:hAnsi="Arial" w:cs="Arial"/>
              </w:rPr>
            </w:pPr>
            <w:r w:rsidRPr="0020178A">
              <w:rPr>
                <w:rFonts w:ascii="Arial" w:hAnsi="Arial" w:cs="Arial"/>
              </w:rPr>
              <w:t>10.10.2019</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147F25" w14:textId="77777777" w:rsidR="00504211" w:rsidRPr="0020178A" w:rsidRDefault="00504211" w:rsidP="00EF1210">
            <w:pPr>
              <w:spacing w:line="276" w:lineRule="auto"/>
              <w:jc w:val="center"/>
              <w:rPr>
                <w:rFonts w:ascii="Arial" w:hAnsi="Arial" w:cs="Arial"/>
              </w:rPr>
            </w:pPr>
            <w:r w:rsidRPr="0020178A">
              <w:rPr>
                <w:rFonts w:ascii="Arial" w:hAnsi="Arial" w:cs="Arial"/>
              </w:rPr>
              <w:t>0,049</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5E820F" w14:textId="77777777" w:rsidR="00504211" w:rsidRPr="0020178A" w:rsidRDefault="00504211" w:rsidP="00EF1210">
            <w:pPr>
              <w:spacing w:line="276" w:lineRule="auto"/>
              <w:jc w:val="center"/>
              <w:rPr>
                <w:rFonts w:ascii="Arial" w:hAnsi="Arial" w:cs="Arial"/>
              </w:rPr>
            </w:pPr>
            <w:r w:rsidRPr="0020178A">
              <w:rPr>
                <w:rFonts w:ascii="Arial" w:hAnsi="Arial" w:cs="Arial"/>
              </w:rPr>
              <w:t>µg/l</w:t>
            </w:r>
          </w:p>
        </w:tc>
      </w:tr>
      <w:tr w:rsidR="0020178A" w:rsidRPr="0020178A" w14:paraId="3A0C32BC" w14:textId="77777777" w:rsidTr="00EF1210">
        <w:trPr>
          <w:trHeight w:val="19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E608F" w14:textId="77777777" w:rsidR="00504211" w:rsidRPr="0020178A" w:rsidRDefault="00504211" w:rsidP="00EF1210">
            <w:pPr>
              <w:spacing w:line="276" w:lineRule="auto"/>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1B040B" w14:textId="77777777" w:rsidR="00504211" w:rsidRPr="0020178A" w:rsidRDefault="00504211" w:rsidP="00EF1210">
            <w:pPr>
              <w:spacing w:line="276" w:lineRule="auto"/>
              <w:rPr>
                <w:rFonts w:ascii="Arial" w:hAnsi="Arial" w:cs="Arial"/>
                <w:lang w:eastAsia="en-US"/>
              </w:rPr>
            </w:pPr>
          </w:p>
        </w:tc>
        <w:tc>
          <w:tcPr>
            <w:tcW w:w="9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771FBD" w14:textId="77777777" w:rsidR="00504211" w:rsidRPr="0020178A" w:rsidRDefault="00504211" w:rsidP="00EF1210">
            <w:pPr>
              <w:spacing w:line="276" w:lineRule="auto"/>
              <w:rPr>
                <w:rFonts w:ascii="Arial" w:hAnsi="Arial" w:cs="Arial"/>
              </w:rPr>
            </w:pPr>
            <w:r w:rsidRPr="0020178A">
              <w:rPr>
                <w:rFonts w:ascii="Arial" w:hAnsi="Arial" w:cs="Arial"/>
              </w:rPr>
              <w:t>Pyrén</w:t>
            </w:r>
          </w:p>
        </w:tc>
        <w:tc>
          <w:tcPr>
            <w:tcW w:w="760" w:type="pct"/>
            <w:tcBorders>
              <w:top w:val="single" w:sz="4" w:space="0" w:color="auto"/>
              <w:left w:val="single" w:sz="4" w:space="0" w:color="auto"/>
              <w:bottom w:val="single" w:sz="4" w:space="0" w:color="auto"/>
              <w:right w:val="single" w:sz="4" w:space="0" w:color="auto"/>
            </w:tcBorders>
            <w:shd w:val="clear" w:color="auto" w:fill="FFFFFF"/>
            <w:hideMark/>
          </w:tcPr>
          <w:p w14:paraId="6A099EB4" w14:textId="77777777" w:rsidR="00504211" w:rsidRPr="0020178A" w:rsidRDefault="00504211" w:rsidP="00EF1210">
            <w:pPr>
              <w:spacing w:line="276" w:lineRule="auto"/>
              <w:jc w:val="center"/>
              <w:rPr>
                <w:rFonts w:ascii="Arial" w:hAnsi="Arial" w:cs="Arial"/>
              </w:rPr>
            </w:pPr>
            <w:r w:rsidRPr="0020178A">
              <w:rPr>
                <w:rFonts w:ascii="Arial" w:hAnsi="Arial" w:cs="Arial"/>
              </w:rPr>
              <w:t>10.10.2019</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1A41C6" w14:textId="77777777" w:rsidR="00504211" w:rsidRPr="0020178A" w:rsidRDefault="00504211" w:rsidP="00EF1210">
            <w:pPr>
              <w:spacing w:line="276" w:lineRule="auto"/>
              <w:jc w:val="center"/>
              <w:rPr>
                <w:rFonts w:ascii="Arial" w:hAnsi="Arial" w:cs="Arial"/>
              </w:rPr>
            </w:pPr>
            <w:r w:rsidRPr="0020178A">
              <w:rPr>
                <w:rFonts w:ascii="Arial" w:hAnsi="Arial" w:cs="Arial"/>
              </w:rPr>
              <w:t>0,006</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5A0F5D" w14:textId="77777777" w:rsidR="00504211" w:rsidRPr="0020178A" w:rsidRDefault="00504211" w:rsidP="00EF1210">
            <w:pPr>
              <w:spacing w:line="276" w:lineRule="auto"/>
              <w:jc w:val="center"/>
              <w:rPr>
                <w:rFonts w:ascii="Arial" w:hAnsi="Arial" w:cs="Arial"/>
              </w:rPr>
            </w:pPr>
            <w:r w:rsidRPr="0020178A">
              <w:rPr>
                <w:rFonts w:ascii="Arial" w:hAnsi="Arial" w:cs="Arial"/>
              </w:rPr>
              <w:t>µg/l</w:t>
            </w:r>
          </w:p>
        </w:tc>
      </w:tr>
      <w:tr w:rsidR="0020178A" w:rsidRPr="0020178A" w14:paraId="1B799BE9" w14:textId="77777777" w:rsidTr="00EF1210">
        <w:trPr>
          <w:trHeight w:val="88"/>
          <w:jc w:val="center"/>
        </w:trPr>
        <w:tc>
          <w:tcPr>
            <w:tcW w:w="5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10328DF" w14:textId="77777777" w:rsidR="00504211" w:rsidRPr="0020178A" w:rsidRDefault="00504211" w:rsidP="00EF1210">
            <w:pPr>
              <w:spacing w:line="276" w:lineRule="auto"/>
              <w:rPr>
                <w:rFonts w:ascii="Arial" w:hAnsi="Arial" w:cs="Arial"/>
              </w:rPr>
            </w:pPr>
            <w:r w:rsidRPr="0020178A">
              <w:rPr>
                <w:rFonts w:ascii="Arial" w:hAnsi="Arial" w:cs="Arial"/>
              </w:rPr>
              <w:t>71690</w:t>
            </w:r>
          </w:p>
        </w:tc>
        <w:tc>
          <w:tcPr>
            <w:tcW w:w="135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143ACEE" w14:textId="77777777" w:rsidR="00504211" w:rsidRPr="0020178A" w:rsidRDefault="00504211" w:rsidP="00EF1210">
            <w:pPr>
              <w:spacing w:line="276" w:lineRule="auto"/>
              <w:rPr>
                <w:rFonts w:ascii="Arial" w:hAnsi="Arial" w:cs="Arial"/>
              </w:rPr>
            </w:pPr>
            <w:r w:rsidRPr="0020178A">
              <w:rPr>
                <w:rFonts w:ascii="Arial" w:hAnsi="Arial" w:cs="Arial"/>
              </w:rPr>
              <w:t>BA RUŽINOVSKÁ ULICA</w:t>
            </w:r>
          </w:p>
        </w:tc>
        <w:tc>
          <w:tcPr>
            <w:tcW w:w="9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4E0FF6" w14:textId="77777777" w:rsidR="00504211" w:rsidRPr="0020178A" w:rsidRDefault="00504211" w:rsidP="00EF1210">
            <w:pPr>
              <w:spacing w:line="276" w:lineRule="auto"/>
              <w:rPr>
                <w:rFonts w:ascii="Arial" w:hAnsi="Arial" w:cs="Arial"/>
              </w:rPr>
            </w:pPr>
            <w:r w:rsidRPr="0020178A">
              <w:rPr>
                <w:rFonts w:ascii="Arial" w:hAnsi="Arial" w:cs="Arial"/>
              </w:rPr>
              <w:t>Acenaftén</w:t>
            </w:r>
          </w:p>
        </w:tc>
        <w:tc>
          <w:tcPr>
            <w:tcW w:w="76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C72C27" w14:textId="77777777" w:rsidR="00504211" w:rsidRPr="0020178A" w:rsidRDefault="00504211" w:rsidP="00EF1210">
            <w:pPr>
              <w:spacing w:line="276" w:lineRule="auto"/>
              <w:jc w:val="center"/>
              <w:rPr>
                <w:rFonts w:ascii="Arial" w:hAnsi="Arial" w:cs="Arial"/>
              </w:rPr>
            </w:pPr>
            <w:r w:rsidRPr="0020178A">
              <w:rPr>
                <w:rFonts w:ascii="Arial" w:hAnsi="Arial" w:cs="Arial"/>
              </w:rPr>
              <w:t>9.10.2019</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F5C191" w14:textId="77777777" w:rsidR="00504211" w:rsidRPr="0020178A" w:rsidRDefault="00504211" w:rsidP="00EF1210">
            <w:pPr>
              <w:spacing w:line="276" w:lineRule="auto"/>
              <w:jc w:val="center"/>
              <w:rPr>
                <w:rFonts w:ascii="Arial" w:hAnsi="Arial" w:cs="Arial"/>
              </w:rPr>
            </w:pPr>
            <w:r w:rsidRPr="0020178A">
              <w:rPr>
                <w:rFonts w:ascii="Arial" w:hAnsi="Arial" w:cs="Arial"/>
              </w:rPr>
              <w:t>0,030</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0F92A5" w14:textId="77777777" w:rsidR="00504211" w:rsidRPr="0020178A" w:rsidRDefault="00504211" w:rsidP="00EF1210">
            <w:pPr>
              <w:spacing w:line="276" w:lineRule="auto"/>
              <w:jc w:val="center"/>
              <w:rPr>
                <w:rFonts w:ascii="Arial" w:hAnsi="Arial" w:cs="Arial"/>
              </w:rPr>
            </w:pPr>
            <w:r w:rsidRPr="0020178A">
              <w:rPr>
                <w:rFonts w:ascii="Arial" w:hAnsi="Arial" w:cs="Arial"/>
              </w:rPr>
              <w:t>µg/l</w:t>
            </w:r>
          </w:p>
        </w:tc>
      </w:tr>
      <w:tr w:rsidR="0020178A" w:rsidRPr="0020178A" w14:paraId="169FC785" w14:textId="77777777" w:rsidTr="00EF1210">
        <w:trPr>
          <w:trHeight w:val="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5EF690" w14:textId="77777777" w:rsidR="00504211" w:rsidRPr="0020178A" w:rsidRDefault="00504211" w:rsidP="00EF1210">
            <w:pPr>
              <w:spacing w:line="276" w:lineRule="auto"/>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5BFA4" w14:textId="77777777" w:rsidR="00504211" w:rsidRPr="0020178A" w:rsidRDefault="00504211" w:rsidP="00EF1210">
            <w:pPr>
              <w:spacing w:line="276" w:lineRule="auto"/>
              <w:rPr>
                <w:rFonts w:ascii="Arial" w:hAnsi="Arial" w:cs="Arial"/>
                <w:lang w:eastAsia="en-US"/>
              </w:rPr>
            </w:pPr>
          </w:p>
        </w:tc>
        <w:tc>
          <w:tcPr>
            <w:tcW w:w="9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35BB6F" w14:textId="77777777" w:rsidR="00504211" w:rsidRPr="0020178A" w:rsidRDefault="00504211" w:rsidP="00EF1210">
            <w:pPr>
              <w:spacing w:line="276" w:lineRule="auto"/>
              <w:rPr>
                <w:rFonts w:ascii="Arial" w:hAnsi="Arial" w:cs="Arial"/>
              </w:rPr>
            </w:pPr>
            <w:r w:rsidRPr="0020178A">
              <w:rPr>
                <w:rFonts w:ascii="Arial" w:hAnsi="Arial" w:cs="Arial"/>
              </w:rPr>
              <w:t>Fluórantén</w:t>
            </w:r>
          </w:p>
        </w:tc>
        <w:tc>
          <w:tcPr>
            <w:tcW w:w="76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648EC1" w14:textId="77777777" w:rsidR="00504211" w:rsidRPr="0020178A" w:rsidRDefault="00504211" w:rsidP="00EF1210">
            <w:pPr>
              <w:spacing w:line="276" w:lineRule="auto"/>
              <w:jc w:val="center"/>
              <w:rPr>
                <w:rFonts w:ascii="Arial" w:hAnsi="Arial" w:cs="Arial"/>
              </w:rPr>
            </w:pPr>
            <w:r w:rsidRPr="0020178A">
              <w:rPr>
                <w:rFonts w:ascii="Arial" w:hAnsi="Arial" w:cs="Arial"/>
              </w:rPr>
              <w:t>9.10.2019</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C55EA7" w14:textId="77777777" w:rsidR="00504211" w:rsidRPr="0020178A" w:rsidRDefault="00504211" w:rsidP="00EF1210">
            <w:pPr>
              <w:spacing w:line="276" w:lineRule="auto"/>
              <w:jc w:val="center"/>
              <w:rPr>
                <w:rFonts w:ascii="Arial" w:hAnsi="Arial" w:cs="Arial"/>
              </w:rPr>
            </w:pPr>
            <w:r w:rsidRPr="0020178A">
              <w:rPr>
                <w:rFonts w:ascii="Arial" w:hAnsi="Arial" w:cs="Arial"/>
              </w:rPr>
              <w:t>0,005</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CCECA7" w14:textId="77777777" w:rsidR="00504211" w:rsidRPr="0020178A" w:rsidRDefault="00504211" w:rsidP="00EF1210">
            <w:pPr>
              <w:spacing w:line="276" w:lineRule="auto"/>
              <w:jc w:val="center"/>
              <w:rPr>
                <w:rFonts w:ascii="Arial" w:hAnsi="Arial" w:cs="Arial"/>
              </w:rPr>
            </w:pPr>
            <w:r w:rsidRPr="0020178A">
              <w:rPr>
                <w:rFonts w:ascii="Arial" w:hAnsi="Arial" w:cs="Arial"/>
              </w:rPr>
              <w:t>µg/l</w:t>
            </w:r>
          </w:p>
        </w:tc>
      </w:tr>
      <w:tr w:rsidR="0020178A" w:rsidRPr="0020178A" w14:paraId="39A3E55C" w14:textId="77777777" w:rsidTr="00EF1210">
        <w:trPr>
          <w:trHeight w:val="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B5EEBE" w14:textId="77777777" w:rsidR="00504211" w:rsidRPr="0020178A" w:rsidRDefault="00504211" w:rsidP="00EF1210">
            <w:pPr>
              <w:spacing w:line="276" w:lineRule="auto"/>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4B60F" w14:textId="77777777" w:rsidR="00504211" w:rsidRPr="0020178A" w:rsidRDefault="00504211" w:rsidP="00EF1210">
            <w:pPr>
              <w:spacing w:line="276" w:lineRule="auto"/>
              <w:rPr>
                <w:rFonts w:ascii="Arial" w:hAnsi="Arial" w:cs="Arial"/>
                <w:lang w:eastAsia="en-US"/>
              </w:rPr>
            </w:pPr>
          </w:p>
        </w:tc>
        <w:tc>
          <w:tcPr>
            <w:tcW w:w="9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19186A" w14:textId="77777777" w:rsidR="00504211" w:rsidRPr="0020178A" w:rsidRDefault="00504211" w:rsidP="00EF1210">
            <w:pPr>
              <w:spacing w:line="276" w:lineRule="auto"/>
              <w:rPr>
                <w:rFonts w:ascii="Arial" w:hAnsi="Arial" w:cs="Arial"/>
              </w:rPr>
            </w:pPr>
            <w:r w:rsidRPr="0020178A">
              <w:rPr>
                <w:rFonts w:ascii="Arial" w:hAnsi="Arial" w:cs="Arial"/>
              </w:rPr>
              <w:t>Fenantrén</w:t>
            </w:r>
          </w:p>
        </w:tc>
        <w:tc>
          <w:tcPr>
            <w:tcW w:w="76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CA98D7" w14:textId="77777777" w:rsidR="00504211" w:rsidRPr="0020178A" w:rsidRDefault="00504211" w:rsidP="00EF1210">
            <w:pPr>
              <w:spacing w:line="276" w:lineRule="auto"/>
              <w:jc w:val="center"/>
              <w:rPr>
                <w:rFonts w:ascii="Arial" w:hAnsi="Arial" w:cs="Arial"/>
              </w:rPr>
            </w:pPr>
            <w:r w:rsidRPr="0020178A">
              <w:rPr>
                <w:rFonts w:ascii="Arial" w:hAnsi="Arial" w:cs="Arial"/>
              </w:rPr>
              <w:t>9.10.2019</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56387C" w14:textId="77777777" w:rsidR="00504211" w:rsidRPr="0020178A" w:rsidRDefault="00504211" w:rsidP="00EF1210">
            <w:pPr>
              <w:spacing w:line="276" w:lineRule="auto"/>
              <w:jc w:val="center"/>
              <w:rPr>
                <w:rFonts w:ascii="Arial" w:hAnsi="Arial" w:cs="Arial"/>
              </w:rPr>
            </w:pPr>
            <w:r w:rsidRPr="0020178A">
              <w:rPr>
                <w:rFonts w:ascii="Arial" w:hAnsi="Arial" w:cs="Arial"/>
              </w:rPr>
              <w:t>0,053</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C1D8B8" w14:textId="77777777" w:rsidR="00504211" w:rsidRPr="0020178A" w:rsidRDefault="00504211" w:rsidP="00EF1210">
            <w:pPr>
              <w:spacing w:line="276" w:lineRule="auto"/>
              <w:jc w:val="center"/>
              <w:rPr>
                <w:rFonts w:ascii="Arial" w:hAnsi="Arial" w:cs="Arial"/>
              </w:rPr>
            </w:pPr>
            <w:r w:rsidRPr="0020178A">
              <w:rPr>
                <w:rFonts w:ascii="Arial" w:hAnsi="Arial" w:cs="Arial"/>
              </w:rPr>
              <w:t>µg/l</w:t>
            </w:r>
          </w:p>
        </w:tc>
      </w:tr>
    </w:tbl>
    <w:p w14:paraId="5FA2BE15" w14:textId="77777777" w:rsidR="00504211" w:rsidRPr="008660F4" w:rsidRDefault="00504211" w:rsidP="00504211">
      <w:pPr>
        <w:pStyle w:val="tabu"/>
        <w:tabs>
          <w:tab w:val="num" w:pos="0"/>
        </w:tabs>
        <w:spacing w:after="0"/>
        <w:jc w:val="center"/>
        <w:rPr>
          <w:rFonts w:cs="Arial"/>
          <w:iCs/>
          <w:sz w:val="18"/>
          <w:szCs w:val="18"/>
          <w:lang w:eastAsia="en-US"/>
        </w:rPr>
      </w:pPr>
      <w:r w:rsidRPr="008660F4">
        <w:rPr>
          <w:rFonts w:cs="Arial"/>
          <w:iCs/>
          <w:sz w:val="18"/>
          <w:szCs w:val="18"/>
          <w:lang w:eastAsia="en-US"/>
        </w:rPr>
        <w:t>Zdroj:  Kvalita podzemných vôd na Slovensku 2019, SHMÚ Bratislava, 2020</w:t>
      </w:r>
    </w:p>
    <w:p w14:paraId="513B6CC7" w14:textId="1002F9D6" w:rsidR="001E2193" w:rsidRPr="0085466C" w:rsidRDefault="001E2193" w:rsidP="001E2193">
      <w:pPr>
        <w:pStyle w:val="A-Text11"/>
        <w:ind w:firstLine="0"/>
        <w:rPr>
          <w:b/>
          <w:bCs/>
          <w:lang w:eastAsia="sk-SK"/>
        </w:rPr>
      </w:pPr>
      <w:r w:rsidRPr="0085466C">
        <w:rPr>
          <w:b/>
          <w:bCs/>
          <w:lang w:eastAsia="sk-SK"/>
        </w:rPr>
        <w:t>Vyhodnotenie prieskumu vodných pomerov</w:t>
      </w:r>
      <w:r w:rsidR="0061576C" w:rsidRPr="0085466C">
        <w:rPr>
          <w:b/>
          <w:bCs/>
          <w:lang w:eastAsia="sk-SK"/>
        </w:rPr>
        <w:t xml:space="preserve"> záujmového územia</w:t>
      </w:r>
    </w:p>
    <w:p w14:paraId="6FC8FE3C" w14:textId="77777777" w:rsidR="001E2193" w:rsidRPr="0085466C" w:rsidRDefault="001E2193" w:rsidP="001E2193">
      <w:pPr>
        <w:pStyle w:val="A-Text11"/>
        <w:rPr>
          <w:lang w:eastAsia="sk-SK"/>
        </w:rPr>
      </w:pPr>
      <w:r w:rsidRPr="0085466C">
        <w:rPr>
          <w:lang w:eastAsia="sk-SK"/>
        </w:rPr>
        <w:t>Prieskumný vrt ukázal bohatý zdroj podzemnej vody s výdatnosťou 0,5 l/s. Voda nie je vhodná na pitie, ale je použiteľná na zavlažovanie a úžitkové účely. Celkový ročný odber nepresiahne 15 000 m3.</w:t>
      </w:r>
    </w:p>
    <w:p w14:paraId="4EAC63C2" w14:textId="77777777" w:rsidR="00411AEC" w:rsidRDefault="00411AEC" w:rsidP="000C7418">
      <w:pPr>
        <w:pStyle w:val="A-Text11"/>
        <w:ind w:firstLine="0"/>
        <w:rPr>
          <w:b/>
          <w:bCs/>
          <w:lang w:eastAsia="sk-SK"/>
        </w:rPr>
      </w:pPr>
    </w:p>
    <w:p w14:paraId="1CD4892F" w14:textId="77777777" w:rsidR="00411AEC" w:rsidRDefault="00411AEC" w:rsidP="000C7418">
      <w:pPr>
        <w:pStyle w:val="A-Text11"/>
        <w:ind w:firstLine="0"/>
        <w:rPr>
          <w:b/>
          <w:bCs/>
          <w:lang w:eastAsia="sk-SK"/>
        </w:rPr>
      </w:pPr>
    </w:p>
    <w:p w14:paraId="19B001CA" w14:textId="467BF78C" w:rsidR="000C7418" w:rsidRPr="0085466C" w:rsidRDefault="000C7418" w:rsidP="000C7418">
      <w:pPr>
        <w:pStyle w:val="A-Text11"/>
        <w:ind w:firstLine="0"/>
        <w:rPr>
          <w:b/>
          <w:bCs/>
          <w:lang w:eastAsia="sk-SK"/>
        </w:rPr>
      </w:pPr>
      <w:r w:rsidRPr="0085466C">
        <w:rPr>
          <w:b/>
          <w:bCs/>
          <w:lang w:eastAsia="sk-SK"/>
        </w:rPr>
        <w:lastRenderedPageBreak/>
        <w:t>Vyhodnotenie IG a HG prieskumov</w:t>
      </w:r>
      <w:r w:rsidR="0061576C" w:rsidRPr="0085466C">
        <w:rPr>
          <w:b/>
          <w:bCs/>
          <w:lang w:eastAsia="sk-SK"/>
        </w:rPr>
        <w:t xml:space="preserve"> záujmového územia</w:t>
      </w:r>
    </w:p>
    <w:p w14:paraId="10416E23" w14:textId="77777777" w:rsidR="000C7418" w:rsidRPr="0085466C" w:rsidRDefault="000C7418" w:rsidP="000C7418">
      <w:pPr>
        <w:pStyle w:val="A-Text11"/>
        <w:rPr>
          <w:lang w:eastAsia="sk-SK"/>
        </w:rPr>
      </w:pPr>
      <w:r w:rsidRPr="0085466C">
        <w:rPr>
          <w:lang w:eastAsia="sk-SK"/>
        </w:rPr>
        <w:t xml:space="preserve">Na mieste sa vykonalo deväť sond. Na všetkých miestach sa vykonala dynamická penetračná skúška a na šiestich miestach sa vyvŕtala sonda. </w:t>
      </w:r>
    </w:p>
    <w:p w14:paraId="392B00B1" w14:textId="77777777" w:rsidR="000C7418" w:rsidRPr="0085466C" w:rsidRDefault="000C7418" w:rsidP="000C7418">
      <w:pPr>
        <w:pStyle w:val="A-Text11"/>
        <w:rPr>
          <w:lang w:eastAsia="sk-SK"/>
        </w:rPr>
      </w:pPr>
      <w:r w:rsidRPr="0085466C">
        <w:rPr>
          <w:lang w:eastAsia="sk-SK"/>
        </w:rPr>
        <w:t xml:space="preserve">Geologické podmienky na lokalite sú premenlivé. Pri povrchu prevládajú navážky a jemnozrnné pôdy. V hĺbke základov suterénu približne 3,5 m sa nachádza štrk. Pod štrkovou vrstvou v hĺbke približne 8 m začínajú prevládať íly. </w:t>
      </w:r>
    </w:p>
    <w:p w14:paraId="41C6672F" w14:textId="77777777" w:rsidR="000C7418" w:rsidRPr="0085466C" w:rsidRDefault="000C7418" w:rsidP="000C7418">
      <w:pPr>
        <w:pStyle w:val="A-Text11"/>
        <w:rPr>
          <w:lang w:eastAsia="sk-SK"/>
        </w:rPr>
      </w:pPr>
      <w:r w:rsidRPr="0085466C">
        <w:rPr>
          <w:lang w:eastAsia="sk-SK"/>
        </w:rPr>
        <w:t>Podzemná voda sa nachádza v hĺbke 3,8 až 4 m pod povrchom. Hydrogeologické pomery umožňujú zriadenie  lokálnych svákov pre potreby vsiaknutie dažďových vôd.</w:t>
      </w:r>
    </w:p>
    <w:p w14:paraId="5C477EDC" w14:textId="577F3E24" w:rsidR="000C7418" w:rsidRPr="0085466C" w:rsidRDefault="000C7418" w:rsidP="000C7418">
      <w:pPr>
        <w:pStyle w:val="A-Text11"/>
        <w:rPr>
          <w:lang w:eastAsia="sk-SK"/>
        </w:rPr>
      </w:pPr>
      <w:r w:rsidRPr="0085466C">
        <w:rPr>
          <w:lang w:eastAsia="sk-SK"/>
        </w:rPr>
        <w:t>Predpokladá sa, že podzemné garáže budú vyžadovať výkopy pre ich založenie v hĺbke cca 3,0 - 3,5 m p.t. Rozloženie vrstiev v tejto hĺbke je približne rovnaké tvorené štrkom zle zrneným G2/GP a štrkom dobre zrneným G1/GW, s približne rovnakou uľahnutosťou a geotechnickými vlastnosťami. Podzemná voda do hĺbky 3,8 m p.t. nesťaží zakladanie. Únosnosť štrkov je v tejto hĺbke pre plošný základ dostatočná a riziko nerovnomerného sadania nízke. Pre založenie objektov, ktoré nebudú podpivničené sú základové pomery zložité. K týmto objektom treba pristúpiť individuálne, buď podopretím základov pomocou pilot, alebo výmena podložia.</w:t>
      </w:r>
      <w:r w:rsidR="00466583">
        <w:rPr>
          <w:lang w:eastAsia="sk-SK"/>
        </w:rPr>
        <w:t xml:space="preserve"> </w:t>
      </w:r>
      <w:r w:rsidRPr="0085466C">
        <w:rPr>
          <w:lang w:eastAsia="sk-SK"/>
        </w:rPr>
        <w:t>Za nezamrznú hĺbku sa považuje 1,2 m pod upraveným povrchom.</w:t>
      </w:r>
    </w:p>
    <w:p w14:paraId="3DDAAF70" w14:textId="77777777" w:rsidR="000C7418" w:rsidRPr="0085466C" w:rsidRDefault="000C7418" w:rsidP="000C7418">
      <w:pPr>
        <w:pStyle w:val="A-Text11"/>
        <w:rPr>
          <w:lang w:eastAsia="sk-SK"/>
        </w:rPr>
      </w:pPr>
      <w:r w:rsidRPr="0085466C">
        <w:rPr>
          <w:lang w:eastAsia="sk-SK"/>
        </w:rPr>
        <w:t xml:space="preserve">Hladina podzemnej vody do hĺbky 3,8 m p.t. nebude sťažovať zakladanie. V čase povodní však môže vystúpiť až na úroveň 129,8 m n.m. </w:t>
      </w:r>
    </w:p>
    <w:p w14:paraId="09893CA6" w14:textId="77777777" w:rsidR="000C7418" w:rsidRPr="0085466C" w:rsidRDefault="000C7418" w:rsidP="000C7418">
      <w:pPr>
        <w:pStyle w:val="A-Text11"/>
        <w:rPr>
          <w:lang w:eastAsia="sk-SK"/>
        </w:rPr>
      </w:pPr>
      <w:r w:rsidRPr="0085466C">
        <w:rPr>
          <w:lang w:eastAsia="sk-SK"/>
        </w:rPr>
        <w:t>Podľa STN EN 1998-1/NA a STN EN 1998-1 sa podložie zaraďuje do kategórie B, s hodnotou referenčného špičkového seizmického zrýchlenia agr = 0,63 m.s-1, charakterizovaného na podloží A. Seizmické zrýchlenie agr je potrebné upraviť pre kategóriu podložia B.</w:t>
      </w:r>
    </w:p>
    <w:p w14:paraId="7CD903E2" w14:textId="26F0CD40" w:rsidR="001C2A9E" w:rsidRPr="0085466C" w:rsidRDefault="001C2A9E" w:rsidP="001C2A9E">
      <w:pPr>
        <w:pStyle w:val="A-Text11"/>
        <w:ind w:firstLine="0"/>
        <w:rPr>
          <w:b/>
          <w:bCs/>
          <w:lang w:eastAsia="sk-SK"/>
        </w:rPr>
      </w:pPr>
      <w:r w:rsidRPr="0085466C">
        <w:rPr>
          <w:b/>
          <w:bCs/>
          <w:lang w:eastAsia="sk-SK"/>
        </w:rPr>
        <w:t>Vyhodnotenie radónového prieskumu</w:t>
      </w:r>
      <w:r w:rsidR="0061576C" w:rsidRPr="0085466C">
        <w:rPr>
          <w:b/>
          <w:bCs/>
          <w:lang w:eastAsia="sk-SK"/>
        </w:rPr>
        <w:t xml:space="preserve"> záujmového územia</w:t>
      </w:r>
    </w:p>
    <w:p w14:paraId="2C76EE7D" w14:textId="77777777" w:rsidR="001C2A9E" w:rsidRPr="0085466C" w:rsidRDefault="001C2A9E" w:rsidP="001C2A9E">
      <w:pPr>
        <w:pStyle w:val="A-Text11"/>
        <w:rPr>
          <w:lang w:eastAsia="sk-SK"/>
        </w:rPr>
      </w:pPr>
      <w:r w:rsidRPr="0085466C">
        <w:rPr>
          <w:lang w:eastAsia="sk-SK"/>
        </w:rPr>
        <w:t>Prieskumom sa zistilo radónové riziko. V oblasti pod suterénom je kategória radónového rizika vysoká, v oblasti pod budovami B1 a B6, ktoré sú založené na úrovni terénu, je kategória rizika stredná. V budove sa navrhnú opatrenia proti radónu: dostatočná hydroizolácia a odvetranie pod podkladovým betónom.</w:t>
      </w:r>
    </w:p>
    <w:p w14:paraId="0D0B90F9" w14:textId="3E620614" w:rsidR="006C04B7" w:rsidRPr="004D2F0F" w:rsidRDefault="006C04B7" w:rsidP="0070615F">
      <w:pPr>
        <w:spacing w:before="120"/>
        <w:rPr>
          <w:rFonts w:ascii="Arial" w:hAnsi="Arial" w:cs="Arial"/>
          <w:b/>
          <w:sz w:val="22"/>
          <w:lang w:eastAsia="ar-SA"/>
        </w:rPr>
      </w:pPr>
      <w:r w:rsidRPr="004D2F0F">
        <w:rPr>
          <w:rFonts w:ascii="Arial" w:hAnsi="Arial" w:cs="Arial"/>
          <w:b/>
          <w:spacing w:val="2"/>
          <w:sz w:val="22"/>
          <w:szCs w:val="22"/>
        </w:rPr>
        <w:t>Zaťaženie hlukom</w:t>
      </w:r>
    </w:p>
    <w:p w14:paraId="0FC55BBB" w14:textId="77777777" w:rsidR="006C04B7" w:rsidRPr="00EF0A21" w:rsidRDefault="006C04B7" w:rsidP="008660F4">
      <w:pPr>
        <w:pStyle w:val="A-Text11"/>
      </w:pPr>
      <w:r w:rsidRPr="00EF0A21">
        <w:t xml:space="preserve">Ďalším výrazným faktorom negatívne ovplyvňujúcim kvalitu životného prostredia mesta je hluk. Situácia z hľadiska hlukovej záťaže na území mesta Bratislavy je nepriaznivá. Na mnohých lokalitách sú prekročené prípustné koncentrácie hlukovej záťaže až o 25 až 30 dB. Hlavným zdrojom hluku na území mesta Bratislava je doprava. Za stacionárne zdroje hluku okrem parkovísk a staníc možno považovať tiež priemyselné prevádzky a ťažobné lokality. Z líniových zdrojov hluku sa najvýraznejšie prejavujú mobilné zdroje viažuce sa na intenzívne zaťažené dopravné koridory, či už cestné alebo železničné. Najvýraznejším plošným zdrojom hluku na území mesta je letisko Milana Rastislava Štefánika.  </w:t>
      </w:r>
    </w:p>
    <w:p w14:paraId="215CBC0C" w14:textId="77777777" w:rsidR="006C04B7" w:rsidRPr="00EF0A21" w:rsidRDefault="006C04B7" w:rsidP="008660F4">
      <w:pPr>
        <w:pStyle w:val="A-Text11"/>
      </w:pPr>
      <w:r w:rsidRPr="00EF0A21">
        <w:t>Líniové zdroje hluku sa viažu na intenzívne zaťažené dopravné koridory, či už cestné alebo železničné.</w:t>
      </w:r>
    </w:p>
    <w:p w14:paraId="7DA6EB27" w14:textId="60560D58" w:rsidR="006C04B7" w:rsidRPr="00EF0A21" w:rsidRDefault="006C04B7" w:rsidP="008660F4">
      <w:pPr>
        <w:pStyle w:val="A-Text11"/>
      </w:pPr>
      <w:r w:rsidRPr="00EF0A21">
        <w:t xml:space="preserve">SR v zmysle smernice EP a Rady 2002/49/ES je povinná hodnotiť úrovne hluku vypracovaním strategických hlukových máp pre všetky aglomerácie, ktoré majú viac ako 100 </w:t>
      </w:r>
      <w:r w:rsidR="00366265">
        <w:t>tisíc</w:t>
      </w:r>
      <w:r w:rsidRPr="00EF0A21">
        <w:t xml:space="preserve"> obyvateľov, väčšie pozemné komunikácie a väčšie železničné dráhy nachádzajúce sa na </w:t>
      </w:r>
      <w:r w:rsidRPr="00EF0A21">
        <w:lastRenderedPageBreak/>
        <w:t>jej území.  Strategické hlukové mapy pre Bratislavskú aglomeráciu, pre stav v roku 2006, 2011 a 2016;</w:t>
      </w:r>
    </w:p>
    <w:p w14:paraId="3BAD50EE" w14:textId="77777777" w:rsidR="008D4EE3" w:rsidRPr="00EF0A21" w:rsidRDefault="006C04B7" w:rsidP="008660F4">
      <w:pPr>
        <w:pStyle w:val="A-Text11"/>
      </w:pPr>
      <w:r w:rsidRPr="00EF0A21">
        <w:t xml:space="preserve">Najviac obťažujúcim zdrojom hluku v SR je hluk spôsobovaný cestnou dopravou. V Bratislavskej aglomerácii žije na území, kde je prekročená akčná hodnota hlukového indikátora Ldvn, pre hluk spôsobovaný cestnou dopravou, približne 78 500 obyvateľov, a v Košickej približne 35 200 obyvateľov. Ďalším významným zdrojom hluku je železničná a električková doprava, ktorá v Bratislavskej aglomerácii obťažuje 56 100 a v Košickej aglomerácii 9 600 obyvateľov. V Bratislavskej aglomerácii bola zaznamenaná aj prekročená akčná hodnota hlukového indikátora Ldvn pre hluk spôsobovaný priemyselnými zdrojmi hluku (obťažuje 1 600 obyvateľov). Pre hluk z leteckej dopravy je možné konštatovať, že na území týchto obidvoch aglomerácií nežijú ľudia, ktorí sú trvalo vystavení hodnotám hlukového indikátora Ldvn vyšším, ako je jeho akčná hodnota. Rovnako na území obidvoch aglomerácií doposiaľ neboli vyhlásené tzv. tiché oblasti. </w:t>
      </w:r>
    </w:p>
    <w:p w14:paraId="07982C5C" w14:textId="271A6BFB" w:rsidR="006C04B7" w:rsidRPr="00EF0A21" w:rsidRDefault="006C04B7" w:rsidP="008660F4">
      <w:pPr>
        <w:pStyle w:val="A-Text11"/>
      </w:pPr>
      <w:r w:rsidRPr="00EF0A21">
        <w:t>K opatreniam na ochranu pred hlukom</w:t>
      </w:r>
      <w:r w:rsidRPr="00EF0A21">
        <w:rPr>
          <w:b/>
          <w:bCs/>
        </w:rPr>
        <w:t xml:space="preserve"> </w:t>
      </w:r>
      <w:r w:rsidRPr="00EF0A21">
        <w:t>navrhovaným v akčných plánoch pre Bratislavskú a Košickú aglomeráciu patria:</w:t>
      </w:r>
    </w:p>
    <w:p w14:paraId="73EA7C31" w14:textId="77777777" w:rsidR="006C04B7" w:rsidRPr="00EF0A21" w:rsidRDefault="006C04B7" w:rsidP="0095439F">
      <w:pPr>
        <w:pStyle w:val="Odsekzoznamu"/>
        <w:numPr>
          <w:ilvl w:val="0"/>
          <w:numId w:val="21"/>
        </w:numPr>
        <w:autoSpaceDE w:val="0"/>
        <w:autoSpaceDN w:val="0"/>
        <w:adjustRightInd w:val="0"/>
        <w:spacing w:line="276" w:lineRule="auto"/>
        <w:ind w:left="714" w:hanging="357"/>
        <w:rPr>
          <w:rFonts w:ascii="Arial" w:hAnsi="Arial" w:cs="Arial"/>
          <w:i/>
          <w:iCs/>
          <w:sz w:val="22"/>
          <w:szCs w:val="22"/>
        </w:rPr>
      </w:pPr>
      <w:r w:rsidRPr="00EF0A21">
        <w:rPr>
          <w:rFonts w:ascii="Arial" w:hAnsi="Arial" w:cs="Arial"/>
          <w:i/>
          <w:iCs/>
          <w:sz w:val="22"/>
          <w:szCs w:val="22"/>
        </w:rPr>
        <w:t>budovanie protihlukových clôn (protihlukové steny a valy),</w:t>
      </w:r>
    </w:p>
    <w:p w14:paraId="05AB5B8A" w14:textId="77777777" w:rsidR="006C04B7" w:rsidRPr="00EF0A21" w:rsidRDefault="006C04B7" w:rsidP="0095439F">
      <w:pPr>
        <w:pStyle w:val="Odsekzoznamu"/>
        <w:numPr>
          <w:ilvl w:val="0"/>
          <w:numId w:val="21"/>
        </w:numPr>
        <w:autoSpaceDE w:val="0"/>
        <w:autoSpaceDN w:val="0"/>
        <w:adjustRightInd w:val="0"/>
        <w:spacing w:line="276" w:lineRule="auto"/>
        <w:ind w:left="714" w:hanging="357"/>
        <w:rPr>
          <w:rFonts w:ascii="Arial" w:hAnsi="Arial" w:cs="Arial"/>
          <w:i/>
          <w:iCs/>
          <w:sz w:val="22"/>
          <w:szCs w:val="22"/>
        </w:rPr>
      </w:pPr>
      <w:r w:rsidRPr="00EF0A21">
        <w:rPr>
          <w:rFonts w:ascii="Arial" w:hAnsi="Arial" w:cs="Arial"/>
          <w:i/>
          <w:iCs/>
          <w:sz w:val="22"/>
          <w:szCs w:val="22"/>
        </w:rPr>
        <w:t>oprava alebo výmena obrusných vrstiev na vozovkách miestnych komunikácií s využitím vhodných technológií a materiálov, technicko-organizačné a urbanizačné opatrenia (obchvaty a preložky ciest, pretrasovanie miestnej dopravy),</w:t>
      </w:r>
    </w:p>
    <w:p w14:paraId="19E37ACD" w14:textId="77777777" w:rsidR="006C04B7" w:rsidRPr="00EF0A21" w:rsidRDefault="006C04B7" w:rsidP="0095439F">
      <w:pPr>
        <w:pStyle w:val="Odsekzoznamu"/>
        <w:numPr>
          <w:ilvl w:val="0"/>
          <w:numId w:val="21"/>
        </w:numPr>
        <w:autoSpaceDE w:val="0"/>
        <w:autoSpaceDN w:val="0"/>
        <w:adjustRightInd w:val="0"/>
        <w:spacing w:line="276" w:lineRule="auto"/>
        <w:ind w:left="714" w:hanging="357"/>
        <w:rPr>
          <w:rFonts w:ascii="Arial" w:hAnsi="Arial" w:cs="Arial"/>
          <w:i/>
          <w:iCs/>
          <w:sz w:val="22"/>
          <w:szCs w:val="22"/>
        </w:rPr>
      </w:pPr>
      <w:r w:rsidRPr="00EF0A21">
        <w:rPr>
          <w:rFonts w:ascii="Arial" w:hAnsi="Arial" w:cs="Arial"/>
          <w:i/>
          <w:iCs/>
          <w:sz w:val="22"/>
          <w:szCs w:val="22"/>
        </w:rPr>
        <w:t>rekonštrukcia a modernizácia električkových tratí (opatrenia na zníženia prenosu vibrácií zjazdnej dráhy do podložia, a tým aj do najbližších dotknutých stavieb bytových domov,</w:t>
      </w:r>
    </w:p>
    <w:p w14:paraId="46EAD0C1" w14:textId="77777777" w:rsidR="006C04B7" w:rsidRPr="00EF0A21" w:rsidRDefault="006C04B7" w:rsidP="0095439F">
      <w:pPr>
        <w:pStyle w:val="Odsekzoznamu"/>
        <w:numPr>
          <w:ilvl w:val="0"/>
          <w:numId w:val="21"/>
        </w:numPr>
        <w:autoSpaceDE w:val="0"/>
        <w:autoSpaceDN w:val="0"/>
        <w:adjustRightInd w:val="0"/>
        <w:spacing w:line="276" w:lineRule="auto"/>
        <w:ind w:left="714" w:hanging="357"/>
        <w:rPr>
          <w:rFonts w:ascii="Arial" w:hAnsi="Arial" w:cs="Arial"/>
          <w:i/>
          <w:iCs/>
          <w:sz w:val="22"/>
          <w:szCs w:val="22"/>
        </w:rPr>
      </w:pPr>
      <w:r w:rsidRPr="00EF0A21">
        <w:rPr>
          <w:rFonts w:ascii="Arial" w:hAnsi="Arial" w:cs="Arial"/>
          <w:i/>
          <w:iCs/>
          <w:sz w:val="22"/>
          <w:szCs w:val="22"/>
        </w:rPr>
        <w:t>využívanie traťového zvršku s koľajovým absorbérom hluku alebo zatrávneného zvršku, nákup nových koľajových vozidiel),</w:t>
      </w:r>
    </w:p>
    <w:p w14:paraId="3957647D" w14:textId="77777777" w:rsidR="006C04B7" w:rsidRPr="00EF0A21" w:rsidRDefault="006C04B7" w:rsidP="0095439F">
      <w:pPr>
        <w:pStyle w:val="Odsekzoznamu"/>
        <w:numPr>
          <w:ilvl w:val="0"/>
          <w:numId w:val="21"/>
        </w:numPr>
        <w:autoSpaceDE w:val="0"/>
        <w:autoSpaceDN w:val="0"/>
        <w:adjustRightInd w:val="0"/>
        <w:spacing w:line="276" w:lineRule="auto"/>
        <w:ind w:left="714" w:hanging="357"/>
        <w:rPr>
          <w:rFonts w:ascii="Arial" w:hAnsi="Arial" w:cs="Arial"/>
          <w:i/>
          <w:iCs/>
          <w:sz w:val="22"/>
          <w:szCs w:val="22"/>
        </w:rPr>
      </w:pPr>
      <w:r w:rsidRPr="00EF0A21">
        <w:rPr>
          <w:rFonts w:ascii="Arial" w:hAnsi="Arial" w:cs="Arial"/>
          <w:i/>
          <w:iCs/>
          <w:sz w:val="22"/>
          <w:szCs w:val="22"/>
        </w:rPr>
        <w:t>dopravno-organizačné opatrenia v železničnej doprave (zníženie traťových rýchlostí, obmedzenie nákladne vlakovej prepravy), opatrenia na fasádach budov určených na bývanie a inštalovanie systémov prídavného vetrania pri zatvorených oknách (vetracie mriežky a štrbiny vo vybraných miestnostiach vnútorného chráneného priestoru v bytových domoch) v obytných budovách.</w:t>
      </w:r>
    </w:p>
    <w:p w14:paraId="68B6EA39" w14:textId="65896235" w:rsidR="006C04B7" w:rsidRPr="003A140D" w:rsidRDefault="006C04B7" w:rsidP="008660F4">
      <w:pPr>
        <w:pStyle w:val="A-Text11"/>
        <w:rPr>
          <w:lang w:eastAsia="ar-SA"/>
        </w:rPr>
      </w:pPr>
      <w:r w:rsidRPr="003A140D">
        <w:rPr>
          <w:rFonts w:eastAsia="Calibri"/>
        </w:rPr>
        <w:t>Dominantným hlukom na danom území je najmä hluk z dopravy spôsobený cestnou premávkou na okolitých cestách, predovšetkým na</w:t>
      </w:r>
      <w:r w:rsidR="00DA613E" w:rsidRPr="003A140D">
        <w:rPr>
          <w:rFonts w:eastAsia="Calibri"/>
        </w:rPr>
        <w:t xml:space="preserve"> komunikáciách I/61 a Galvaniho ul.</w:t>
      </w:r>
    </w:p>
    <w:p w14:paraId="77F950B3" w14:textId="2C49D619" w:rsidR="006C04B7" w:rsidRPr="003A140D" w:rsidRDefault="006C04B7" w:rsidP="008660F4">
      <w:pPr>
        <w:pStyle w:val="A-Text11"/>
        <w:rPr>
          <w:rFonts w:eastAsia="Calibri"/>
        </w:rPr>
      </w:pPr>
      <w:r w:rsidRPr="003A140D">
        <w:rPr>
          <w:lang w:eastAsia="ar-SA"/>
        </w:rPr>
        <w:t xml:space="preserve">V rámci podkladových materiálov pre hodnotenie navrhovanej činnosti </w:t>
      </w:r>
      <w:r w:rsidR="00DA613E" w:rsidRPr="003A140D">
        <w:rPr>
          <w:lang w:eastAsia="ar-SA"/>
        </w:rPr>
        <w:t>bola</w:t>
      </w:r>
      <w:r w:rsidRPr="003A140D">
        <w:rPr>
          <w:lang w:eastAsia="ar-SA"/>
        </w:rPr>
        <w:t xml:space="preserve">  spracovaná akustická – hluková štúdia. </w:t>
      </w:r>
      <w:r w:rsidRPr="003A140D">
        <w:rPr>
          <w:rFonts w:eastAsia="Calibri"/>
        </w:rPr>
        <w:t xml:space="preserve">Hluková štúdia </w:t>
      </w:r>
      <w:r w:rsidR="00DA613E" w:rsidRPr="003A140D">
        <w:rPr>
          <w:rFonts w:eastAsia="Calibri"/>
        </w:rPr>
        <w:t>popisuje</w:t>
      </w:r>
      <w:r w:rsidRPr="003A140D">
        <w:rPr>
          <w:rFonts w:eastAsia="Calibri"/>
        </w:rPr>
        <w:t xml:space="preserve"> súčasné akustické podmienky na danom území a zároveň </w:t>
      </w:r>
      <w:r w:rsidR="00DA613E" w:rsidRPr="003A140D">
        <w:rPr>
          <w:rFonts w:eastAsia="Calibri"/>
        </w:rPr>
        <w:t xml:space="preserve">hodnotí </w:t>
      </w:r>
      <w:r w:rsidRPr="003A140D">
        <w:rPr>
          <w:rFonts w:eastAsia="Calibri"/>
        </w:rPr>
        <w:t xml:space="preserve">stav po realizácii plánovanej stavby. Na základe simulácií </w:t>
      </w:r>
      <w:r w:rsidR="00A12B71" w:rsidRPr="003A140D">
        <w:rPr>
          <w:rFonts w:eastAsia="Calibri"/>
        </w:rPr>
        <w:t>b</w:t>
      </w:r>
      <w:r w:rsidR="00DA613E" w:rsidRPr="003A140D">
        <w:rPr>
          <w:rFonts w:eastAsia="Calibri"/>
        </w:rPr>
        <w:t>oli</w:t>
      </w:r>
      <w:r w:rsidRPr="003A140D">
        <w:rPr>
          <w:rFonts w:eastAsia="Calibri"/>
        </w:rPr>
        <w:t xml:space="preserve"> stanovené najvyššie hladiny akustického tlaku v blízkosti externých zdrojov stavby. </w:t>
      </w:r>
    </w:p>
    <w:p w14:paraId="4B487562" w14:textId="20457525" w:rsidR="00DA613E" w:rsidRPr="003A140D" w:rsidRDefault="00DA613E" w:rsidP="00466583">
      <w:pPr>
        <w:spacing w:before="120"/>
        <w:rPr>
          <w:rFonts w:ascii="Arial" w:eastAsia="Lucida Sans Unicode" w:hAnsi="Arial" w:cs="Arial"/>
          <w:b/>
        </w:rPr>
      </w:pPr>
      <w:r w:rsidRPr="006D2BCB">
        <w:rPr>
          <w:rFonts w:ascii="Arial" w:eastAsia="Lucida Sans Unicode" w:hAnsi="Arial" w:cs="Arial"/>
          <w:i/>
          <w:sz w:val="16"/>
          <w:szCs w:val="16"/>
        </w:rPr>
        <w:t xml:space="preserve">Tab. </w:t>
      </w:r>
      <w:r w:rsidR="00ED7A35" w:rsidRPr="006D2BCB">
        <w:rPr>
          <w:rStyle w:val="normaltextrun"/>
          <w:rFonts w:ascii="Arial" w:hAnsi="Arial" w:cs="Arial"/>
          <w:i/>
          <w:iCs/>
          <w:sz w:val="18"/>
          <w:szCs w:val="18"/>
        </w:rPr>
        <w:t>č.III.4.</w:t>
      </w:r>
      <w:r w:rsidR="00A20645" w:rsidRPr="006D2BCB">
        <w:rPr>
          <w:rStyle w:val="normaltextrun"/>
          <w:rFonts w:ascii="Arial" w:hAnsi="Arial" w:cs="Arial"/>
          <w:i/>
          <w:iCs/>
          <w:sz w:val="18"/>
          <w:szCs w:val="18"/>
        </w:rPr>
        <w:t>4</w:t>
      </w:r>
      <w:r w:rsidR="00ED7A35" w:rsidRPr="006D2BCB">
        <w:rPr>
          <w:rStyle w:val="normaltextrun"/>
          <w:rFonts w:ascii="Arial" w:hAnsi="Arial" w:cs="Arial"/>
          <w:i/>
          <w:iCs/>
          <w:sz w:val="18"/>
          <w:szCs w:val="18"/>
        </w:rPr>
        <w:t xml:space="preserve">  </w:t>
      </w:r>
      <w:r w:rsidRPr="006D2BCB">
        <w:rPr>
          <w:rFonts w:ascii="Arial" w:eastAsia="Lucida Sans Unicode" w:hAnsi="Arial" w:cs="Arial"/>
          <w:i/>
          <w:sz w:val="16"/>
          <w:szCs w:val="16"/>
        </w:rPr>
        <w:t>:</w:t>
      </w:r>
      <w:r w:rsidRPr="005145B5">
        <w:rPr>
          <w:rFonts w:ascii="Arial" w:eastAsia="Lucida Sans Unicode" w:hAnsi="Arial" w:cs="Arial"/>
          <w:i/>
          <w:sz w:val="16"/>
          <w:szCs w:val="16"/>
        </w:rPr>
        <w:t xml:space="preserve"> </w:t>
      </w:r>
      <w:r w:rsidRPr="005145B5">
        <w:rPr>
          <w:rFonts w:ascii="Arial" w:hAnsi="Arial" w:cs="Arial"/>
          <w:b/>
          <w:i/>
          <w:sz w:val="16"/>
          <w:szCs w:val="16"/>
          <w:lang w:eastAsia="ar-SA"/>
        </w:rPr>
        <w:t xml:space="preserve">Namerané hodnoty na meracom mieste M1, M2  </w:t>
      </w:r>
      <w:r w:rsidRPr="005145B5">
        <w:rPr>
          <w:rFonts w:ascii="Arial" w:hAnsi="Arial" w:cs="Arial"/>
          <w:bCs/>
          <w:i/>
          <w:sz w:val="16"/>
          <w:szCs w:val="16"/>
          <w:lang w:eastAsia="ar-SA"/>
        </w:rPr>
        <w:t>(e</w:t>
      </w:r>
      <w:r w:rsidRPr="005145B5">
        <w:rPr>
          <w:rFonts w:ascii="Arial" w:eastAsia="Lucida Sans Unicode" w:hAnsi="Arial" w:cs="Arial"/>
          <w:bCs/>
          <w:i/>
          <w:sz w:val="16"/>
          <w:szCs w:val="16"/>
        </w:rPr>
        <w:t>kvivalentné hladiny akustického tlaku hluku určené z reálnych meraní v kompletných ref. intervaloch deň, večer, noc):</w:t>
      </w:r>
      <w:r w:rsidRPr="005145B5">
        <w:rPr>
          <w:rFonts w:ascii="Arial" w:hAnsi="Arial" w:cs="Arial"/>
          <w:i/>
          <w:sz w:val="16"/>
          <w:szCs w:val="16"/>
        </w:rPr>
        <w:t xml:space="preserve"> </w:t>
      </w:r>
    </w:p>
    <w:tbl>
      <w:tblPr>
        <w:tblStyle w:val="Strednzoznam1zvraznenie5"/>
        <w:tblW w:w="7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178"/>
        <w:gridCol w:w="542"/>
        <w:gridCol w:w="420"/>
        <w:gridCol w:w="513"/>
        <w:gridCol w:w="459"/>
        <w:gridCol w:w="494"/>
        <w:gridCol w:w="635"/>
        <w:gridCol w:w="19"/>
        <w:gridCol w:w="1691"/>
        <w:gridCol w:w="19"/>
      </w:tblGrid>
      <w:tr w:rsidR="003A140D" w:rsidRPr="003A140D" w14:paraId="590ED85C" w14:textId="77777777" w:rsidTr="002F67A9">
        <w:trPr>
          <w:gridAfter w:val="1"/>
          <w:cnfStyle w:val="100000000000" w:firstRow="1" w:lastRow="0" w:firstColumn="0" w:lastColumn="0" w:oddVBand="0" w:evenVBand="0" w:oddHBand="0" w:evenHBand="0" w:firstRowFirstColumn="0" w:firstRowLastColumn="0" w:lastRowFirstColumn="0" w:lastRowLastColumn="0"/>
          <w:wAfter w:w="19" w:type="dxa"/>
          <w:trHeight w:val="533"/>
          <w:jc w:val="center"/>
        </w:trPr>
        <w:tc>
          <w:tcPr>
            <w:cnfStyle w:val="001000000000" w:firstRow="0" w:lastRow="0" w:firstColumn="1" w:lastColumn="0" w:oddVBand="0" w:evenVBand="0" w:oddHBand="0" w:evenHBand="0" w:firstRowFirstColumn="0" w:firstRowLastColumn="0" w:lastRowFirstColumn="0" w:lastRowLastColumn="0"/>
            <w:tcW w:w="2281" w:type="dxa"/>
            <w:gridSpan w:val="2"/>
            <w:tcBorders>
              <w:top w:val="single" w:sz="4" w:space="0" w:color="auto"/>
            </w:tcBorders>
          </w:tcPr>
          <w:p w14:paraId="35CC1442" w14:textId="77777777" w:rsidR="00DA613E" w:rsidRPr="003A140D" w:rsidRDefault="00DA613E" w:rsidP="00D222C6">
            <w:pPr>
              <w:jc w:val="center"/>
              <w:rPr>
                <w:rFonts w:ascii="Calibri" w:hAnsi="Calibri"/>
                <w:b w:val="0"/>
                <w:bCs w:val="0"/>
                <w:color w:val="auto"/>
                <w:sz w:val="22"/>
                <w:szCs w:val="22"/>
              </w:rPr>
            </w:pPr>
            <w:r w:rsidRPr="003A140D">
              <w:rPr>
                <w:rFonts w:ascii="Calibri" w:hAnsi="Calibri"/>
                <w:color w:val="auto"/>
                <w:sz w:val="22"/>
                <w:szCs w:val="22"/>
              </w:rPr>
              <w:t>Meracie miesto</w:t>
            </w:r>
          </w:p>
        </w:tc>
        <w:tc>
          <w:tcPr>
            <w:tcW w:w="3063" w:type="dxa"/>
            <w:gridSpan w:val="6"/>
            <w:tcBorders>
              <w:top w:val="single" w:sz="4" w:space="0" w:color="auto"/>
            </w:tcBorders>
          </w:tcPr>
          <w:p w14:paraId="7131F1C7" w14:textId="77777777" w:rsidR="00DA613E" w:rsidRPr="003A140D" w:rsidRDefault="00DA613E" w:rsidP="00D222C6">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b/>
                <w:bCs/>
                <w:i/>
                <w:color w:val="auto"/>
                <w:sz w:val="22"/>
                <w:szCs w:val="22"/>
                <w:vertAlign w:val="subscript"/>
              </w:rPr>
            </w:pPr>
            <w:r w:rsidRPr="003A140D">
              <w:rPr>
                <w:rFonts w:ascii="Calibri" w:eastAsia="Calibri" w:hAnsi="Calibri"/>
                <w:b/>
                <w:bCs/>
                <w:i/>
                <w:color w:val="auto"/>
                <w:sz w:val="22"/>
                <w:szCs w:val="22"/>
              </w:rPr>
              <w:t>L</w:t>
            </w:r>
            <w:r w:rsidRPr="003A140D">
              <w:rPr>
                <w:rFonts w:ascii="Calibri" w:eastAsia="Calibri" w:hAnsi="Calibri"/>
                <w:b/>
                <w:bCs/>
                <w:i/>
                <w:color w:val="auto"/>
                <w:sz w:val="22"/>
                <w:szCs w:val="22"/>
                <w:vertAlign w:val="subscript"/>
              </w:rPr>
              <w:t xml:space="preserve">Aeq </w:t>
            </w:r>
          </w:p>
          <w:p w14:paraId="24155C46" w14:textId="77777777" w:rsidR="00DA613E" w:rsidRPr="003A140D" w:rsidRDefault="00DA613E" w:rsidP="00D222C6">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b/>
                <w:bCs/>
                <w:i/>
                <w:color w:val="auto"/>
                <w:sz w:val="22"/>
                <w:szCs w:val="22"/>
              </w:rPr>
            </w:pPr>
            <w:r w:rsidRPr="003A140D">
              <w:rPr>
                <w:rFonts w:ascii="Calibri" w:eastAsia="Calibri" w:hAnsi="Calibri"/>
                <w:b/>
                <w:bCs/>
                <w:color w:val="auto"/>
                <w:sz w:val="22"/>
                <w:szCs w:val="22"/>
              </w:rPr>
              <w:t>(dB)</w:t>
            </w:r>
          </w:p>
        </w:tc>
        <w:tc>
          <w:tcPr>
            <w:tcW w:w="1710" w:type="dxa"/>
            <w:gridSpan w:val="2"/>
            <w:tcBorders>
              <w:top w:val="single" w:sz="4" w:space="0" w:color="auto"/>
            </w:tcBorders>
          </w:tcPr>
          <w:p w14:paraId="6281C25E" w14:textId="77777777" w:rsidR="00DA613E" w:rsidRPr="003A140D" w:rsidRDefault="00DA613E" w:rsidP="00D222C6">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b/>
                <w:bCs/>
                <w:i/>
                <w:color w:val="auto"/>
                <w:sz w:val="22"/>
                <w:szCs w:val="22"/>
              </w:rPr>
            </w:pPr>
            <w:r w:rsidRPr="003A140D">
              <w:rPr>
                <w:rFonts w:ascii="Calibri" w:eastAsia="Calibri" w:hAnsi="Calibri"/>
                <w:b/>
                <w:bCs/>
                <w:i/>
                <w:color w:val="auto"/>
                <w:sz w:val="22"/>
                <w:szCs w:val="22"/>
              </w:rPr>
              <w:t>U</w:t>
            </w:r>
          </w:p>
          <w:p w14:paraId="270A814B" w14:textId="77777777" w:rsidR="00DA613E" w:rsidRPr="003A140D" w:rsidRDefault="00DA613E" w:rsidP="00D222C6">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b/>
                <w:bCs/>
                <w:i/>
                <w:color w:val="auto"/>
                <w:sz w:val="22"/>
                <w:szCs w:val="22"/>
              </w:rPr>
            </w:pPr>
            <w:r w:rsidRPr="003A140D">
              <w:rPr>
                <w:rFonts w:ascii="Calibri" w:eastAsia="Calibri" w:hAnsi="Calibri"/>
                <w:b/>
                <w:bCs/>
                <w:i/>
                <w:color w:val="auto"/>
                <w:sz w:val="22"/>
                <w:szCs w:val="22"/>
              </w:rPr>
              <w:t>(dB)</w:t>
            </w:r>
          </w:p>
        </w:tc>
      </w:tr>
      <w:tr w:rsidR="003A140D" w:rsidRPr="003A140D" w14:paraId="606DB011" w14:textId="77777777" w:rsidTr="002F67A9">
        <w:trPr>
          <w:cnfStyle w:val="000000100000" w:firstRow="0" w:lastRow="0" w:firstColumn="0" w:lastColumn="0" w:oddVBand="0" w:evenVBand="0" w:oddHBand="1"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1103" w:type="dxa"/>
            <w:vAlign w:val="center"/>
          </w:tcPr>
          <w:p w14:paraId="298F3184" w14:textId="77777777" w:rsidR="00DA613E" w:rsidRPr="003A140D" w:rsidRDefault="00DA613E" w:rsidP="00D222C6">
            <w:pPr>
              <w:jc w:val="center"/>
              <w:rPr>
                <w:rFonts w:ascii="Calibri" w:hAnsi="Calibri"/>
                <w:color w:val="auto"/>
                <w:sz w:val="22"/>
                <w:szCs w:val="22"/>
              </w:rPr>
            </w:pPr>
          </w:p>
        </w:tc>
        <w:tc>
          <w:tcPr>
            <w:tcW w:w="1178" w:type="dxa"/>
            <w:vAlign w:val="center"/>
          </w:tcPr>
          <w:p w14:paraId="756B6499" w14:textId="77777777" w:rsidR="00DA613E" w:rsidRPr="003A140D" w:rsidRDefault="00DA613E" w:rsidP="00D222C6">
            <w:pPr>
              <w:jc w:val="center"/>
              <w:cnfStyle w:val="000000100000" w:firstRow="0" w:lastRow="0" w:firstColumn="0" w:lastColumn="0" w:oddVBand="0" w:evenVBand="0" w:oddHBand="1" w:evenHBand="0" w:firstRowFirstColumn="0" w:firstRowLastColumn="0" w:lastRowFirstColumn="0" w:lastRowLastColumn="0"/>
              <w:rPr>
                <w:rFonts w:ascii="Calibri" w:hAnsi="Calibri"/>
                <w:b/>
                <w:bCs/>
                <w:color w:val="auto"/>
                <w:sz w:val="22"/>
                <w:szCs w:val="22"/>
              </w:rPr>
            </w:pPr>
          </w:p>
        </w:tc>
        <w:tc>
          <w:tcPr>
            <w:tcW w:w="962" w:type="dxa"/>
            <w:gridSpan w:val="2"/>
            <w:vAlign w:val="center"/>
          </w:tcPr>
          <w:p w14:paraId="33FF4502" w14:textId="77777777" w:rsidR="00DA613E" w:rsidRPr="003A140D" w:rsidRDefault="00DA613E" w:rsidP="00D222C6">
            <w:pPr>
              <w:tabs>
                <w:tab w:val="left" w:pos="36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color w:val="auto"/>
                <w:sz w:val="22"/>
                <w:szCs w:val="22"/>
              </w:rPr>
            </w:pPr>
            <w:r w:rsidRPr="003A140D">
              <w:rPr>
                <w:rFonts w:ascii="Calibri" w:eastAsia="Calibri" w:hAnsi="Calibri"/>
                <w:b/>
                <w:bCs/>
                <w:color w:val="auto"/>
                <w:sz w:val="22"/>
                <w:szCs w:val="22"/>
              </w:rPr>
              <w:t>4.10.</w:t>
            </w:r>
          </w:p>
        </w:tc>
        <w:tc>
          <w:tcPr>
            <w:tcW w:w="972" w:type="dxa"/>
            <w:gridSpan w:val="2"/>
            <w:vAlign w:val="center"/>
          </w:tcPr>
          <w:p w14:paraId="63072847" w14:textId="77777777" w:rsidR="00DA613E" w:rsidRPr="003A140D" w:rsidRDefault="00DA613E" w:rsidP="00D222C6">
            <w:pPr>
              <w:tabs>
                <w:tab w:val="left" w:pos="36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color w:val="auto"/>
                <w:sz w:val="22"/>
                <w:szCs w:val="22"/>
              </w:rPr>
            </w:pPr>
            <w:r w:rsidRPr="003A140D">
              <w:rPr>
                <w:rFonts w:ascii="Calibri" w:eastAsia="Calibri" w:hAnsi="Calibri"/>
                <w:b/>
                <w:bCs/>
                <w:color w:val="auto"/>
                <w:sz w:val="22"/>
                <w:szCs w:val="22"/>
              </w:rPr>
              <w:t>5.10.</w:t>
            </w:r>
          </w:p>
        </w:tc>
        <w:tc>
          <w:tcPr>
            <w:tcW w:w="1148" w:type="dxa"/>
            <w:gridSpan w:val="3"/>
            <w:vAlign w:val="center"/>
          </w:tcPr>
          <w:p w14:paraId="24A121BB" w14:textId="77777777" w:rsidR="00DA613E" w:rsidRPr="003A140D" w:rsidRDefault="00DA613E" w:rsidP="00D222C6">
            <w:pPr>
              <w:tabs>
                <w:tab w:val="left" w:pos="36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color w:val="auto"/>
                <w:sz w:val="22"/>
                <w:szCs w:val="22"/>
              </w:rPr>
            </w:pPr>
            <w:r w:rsidRPr="003A140D">
              <w:rPr>
                <w:rFonts w:ascii="Calibri" w:eastAsia="Calibri" w:hAnsi="Calibri"/>
                <w:b/>
                <w:bCs/>
                <w:color w:val="auto"/>
                <w:sz w:val="22"/>
                <w:szCs w:val="22"/>
              </w:rPr>
              <w:t>6.10.</w:t>
            </w:r>
          </w:p>
        </w:tc>
        <w:tc>
          <w:tcPr>
            <w:tcW w:w="1710" w:type="dxa"/>
            <w:gridSpan w:val="2"/>
          </w:tcPr>
          <w:p w14:paraId="5497D906" w14:textId="77777777" w:rsidR="00DA613E" w:rsidRPr="003A140D" w:rsidRDefault="00DA613E" w:rsidP="00D222C6">
            <w:pPr>
              <w:tabs>
                <w:tab w:val="left" w:pos="36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color w:val="auto"/>
                <w:sz w:val="22"/>
                <w:szCs w:val="22"/>
              </w:rPr>
            </w:pPr>
          </w:p>
        </w:tc>
      </w:tr>
      <w:tr w:rsidR="003A140D" w:rsidRPr="003A140D" w14:paraId="49C679CB" w14:textId="77777777" w:rsidTr="002F67A9">
        <w:trPr>
          <w:trHeight w:val="456"/>
          <w:jc w:val="center"/>
        </w:trPr>
        <w:tc>
          <w:tcPr>
            <w:cnfStyle w:val="001000000000" w:firstRow="0" w:lastRow="0" w:firstColumn="1" w:lastColumn="0" w:oddVBand="0" w:evenVBand="0" w:oddHBand="0" w:evenHBand="0" w:firstRowFirstColumn="0" w:firstRowLastColumn="0" w:lastRowFirstColumn="0" w:lastRowLastColumn="0"/>
            <w:tcW w:w="1103" w:type="dxa"/>
            <w:vMerge w:val="restart"/>
            <w:vAlign w:val="center"/>
          </w:tcPr>
          <w:p w14:paraId="6B0863CD" w14:textId="77777777" w:rsidR="00DA613E" w:rsidRPr="003A140D" w:rsidRDefault="00DA613E" w:rsidP="00D222C6">
            <w:pPr>
              <w:jc w:val="center"/>
              <w:rPr>
                <w:rFonts w:ascii="Calibri" w:hAnsi="Calibri"/>
                <w:b w:val="0"/>
                <w:bCs w:val="0"/>
                <w:color w:val="auto"/>
                <w:sz w:val="22"/>
                <w:szCs w:val="22"/>
              </w:rPr>
            </w:pPr>
            <w:r w:rsidRPr="003A140D">
              <w:rPr>
                <w:rFonts w:ascii="Calibri" w:hAnsi="Calibri"/>
                <w:color w:val="auto"/>
                <w:sz w:val="22"/>
                <w:szCs w:val="22"/>
              </w:rPr>
              <w:t>M1</w:t>
            </w:r>
          </w:p>
        </w:tc>
        <w:tc>
          <w:tcPr>
            <w:tcW w:w="1178" w:type="dxa"/>
            <w:vAlign w:val="center"/>
          </w:tcPr>
          <w:p w14:paraId="3BE99154" w14:textId="77777777" w:rsidR="00DA613E" w:rsidRPr="003A140D" w:rsidRDefault="00DA613E" w:rsidP="00D222C6">
            <w:pPr>
              <w:jc w:val="center"/>
              <w:cnfStyle w:val="000000000000" w:firstRow="0" w:lastRow="0" w:firstColumn="0" w:lastColumn="0" w:oddVBand="0" w:evenVBand="0" w:oddHBand="0" w:evenHBand="0" w:firstRowFirstColumn="0" w:firstRowLastColumn="0" w:lastRowFirstColumn="0" w:lastRowLastColumn="0"/>
              <w:rPr>
                <w:rFonts w:ascii="Calibri" w:hAnsi="Calibri"/>
                <w:b/>
                <w:bCs/>
                <w:color w:val="auto"/>
                <w:sz w:val="22"/>
                <w:szCs w:val="22"/>
              </w:rPr>
            </w:pPr>
            <w:r w:rsidRPr="003A140D">
              <w:rPr>
                <w:rFonts w:ascii="Calibri" w:hAnsi="Calibri"/>
                <w:b/>
                <w:bCs/>
                <w:color w:val="auto"/>
                <w:sz w:val="22"/>
                <w:szCs w:val="22"/>
              </w:rPr>
              <w:t>Deň</w:t>
            </w:r>
          </w:p>
        </w:tc>
        <w:tc>
          <w:tcPr>
            <w:tcW w:w="962" w:type="dxa"/>
            <w:gridSpan w:val="2"/>
            <w:vAlign w:val="center"/>
          </w:tcPr>
          <w:p w14:paraId="0A79260D" w14:textId="77777777" w:rsidR="00DA613E" w:rsidRPr="003A140D" w:rsidRDefault="00DA613E" w:rsidP="00D222C6">
            <w:pPr>
              <w:tabs>
                <w:tab w:val="left" w:pos="36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auto"/>
                <w:sz w:val="22"/>
                <w:szCs w:val="22"/>
              </w:rPr>
            </w:pPr>
            <w:r w:rsidRPr="003A140D">
              <w:rPr>
                <w:rFonts w:ascii="Calibri" w:eastAsia="Calibri" w:hAnsi="Calibri"/>
                <w:color w:val="auto"/>
                <w:sz w:val="22"/>
                <w:szCs w:val="22"/>
              </w:rPr>
              <w:t>-</w:t>
            </w:r>
          </w:p>
        </w:tc>
        <w:tc>
          <w:tcPr>
            <w:tcW w:w="972" w:type="dxa"/>
            <w:gridSpan w:val="2"/>
            <w:vAlign w:val="center"/>
          </w:tcPr>
          <w:p w14:paraId="64B56EBA" w14:textId="77777777" w:rsidR="00DA613E" w:rsidRPr="003A140D" w:rsidRDefault="00DA613E" w:rsidP="00D222C6">
            <w:pPr>
              <w:tabs>
                <w:tab w:val="left" w:pos="36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auto"/>
                <w:sz w:val="22"/>
                <w:szCs w:val="22"/>
              </w:rPr>
            </w:pPr>
            <w:r w:rsidRPr="003A140D">
              <w:rPr>
                <w:rFonts w:ascii="Calibri" w:eastAsia="Calibri" w:hAnsi="Calibri"/>
                <w:color w:val="auto"/>
                <w:sz w:val="22"/>
                <w:szCs w:val="22"/>
              </w:rPr>
              <w:t>68.2</w:t>
            </w:r>
          </w:p>
        </w:tc>
        <w:tc>
          <w:tcPr>
            <w:tcW w:w="1148" w:type="dxa"/>
            <w:gridSpan w:val="3"/>
            <w:vAlign w:val="center"/>
          </w:tcPr>
          <w:p w14:paraId="1F65C3A4" w14:textId="77777777" w:rsidR="00DA613E" w:rsidRPr="003A140D" w:rsidRDefault="00DA613E" w:rsidP="00D222C6">
            <w:pPr>
              <w:tabs>
                <w:tab w:val="left" w:pos="36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auto"/>
                <w:sz w:val="22"/>
                <w:szCs w:val="22"/>
              </w:rPr>
            </w:pPr>
            <w:r w:rsidRPr="003A140D">
              <w:rPr>
                <w:rFonts w:ascii="Calibri" w:eastAsia="Calibri" w:hAnsi="Calibri"/>
                <w:color w:val="auto"/>
                <w:sz w:val="22"/>
                <w:szCs w:val="22"/>
              </w:rPr>
              <w:t>-</w:t>
            </w:r>
          </w:p>
        </w:tc>
        <w:tc>
          <w:tcPr>
            <w:tcW w:w="1710" w:type="dxa"/>
            <w:gridSpan w:val="2"/>
            <w:vMerge w:val="restart"/>
            <w:vAlign w:val="center"/>
          </w:tcPr>
          <w:p w14:paraId="1E0F3DE7" w14:textId="77777777" w:rsidR="00DA613E" w:rsidRPr="003A140D" w:rsidRDefault="00DA613E" w:rsidP="00D222C6">
            <w:pPr>
              <w:tabs>
                <w:tab w:val="left" w:pos="36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auto"/>
                <w:sz w:val="22"/>
                <w:szCs w:val="22"/>
              </w:rPr>
            </w:pPr>
            <w:r w:rsidRPr="003A140D">
              <w:rPr>
                <w:rFonts w:ascii="Calibri" w:eastAsia="Calibri" w:hAnsi="Calibri"/>
                <w:color w:val="auto"/>
                <w:sz w:val="22"/>
                <w:szCs w:val="22"/>
              </w:rPr>
              <w:t>+ 2.6</w:t>
            </w:r>
          </w:p>
        </w:tc>
      </w:tr>
      <w:tr w:rsidR="003A140D" w:rsidRPr="003A140D" w14:paraId="2E05BB20" w14:textId="77777777" w:rsidTr="002F67A9">
        <w:trPr>
          <w:cnfStyle w:val="000000100000" w:firstRow="0" w:lastRow="0" w:firstColumn="0" w:lastColumn="0" w:oddVBand="0" w:evenVBand="0" w:oddHBand="1" w:evenHBand="0" w:firstRowFirstColumn="0" w:firstRowLastColumn="0" w:lastRowFirstColumn="0" w:lastRowLastColumn="0"/>
          <w:trHeight w:val="419"/>
          <w:jc w:val="center"/>
        </w:trPr>
        <w:tc>
          <w:tcPr>
            <w:cnfStyle w:val="001000000000" w:firstRow="0" w:lastRow="0" w:firstColumn="1" w:lastColumn="0" w:oddVBand="0" w:evenVBand="0" w:oddHBand="0" w:evenHBand="0" w:firstRowFirstColumn="0" w:firstRowLastColumn="0" w:lastRowFirstColumn="0" w:lastRowLastColumn="0"/>
            <w:tcW w:w="1103" w:type="dxa"/>
            <w:vMerge/>
          </w:tcPr>
          <w:p w14:paraId="5E3B4765" w14:textId="77777777" w:rsidR="00DA613E" w:rsidRPr="003A140D" w:rsidRDefault="00DA613E" w:rsidP="00D222C6">
            <w:pPr>
              <w:tabs>
                <w:tab w:val="center" w:pos="1293"/>
              </w:tabs>
              <w:jc w:val="center"/>
              <w:rPr>
                <w:rFonts w:ascii="Calibri" w:hAnsi="Calibri"/>
                <w:b w:val="0"/>
                <w:bCs w:val="0"/>
                <w:color w:val="auto"/>
                <w:sz w:val="22"/>
                <w:szCs w:val="22"/>
              </w:rPr>
            </w:pPr>
          </w:p>
        </w:tc>
        <w:tc>
          <w:tcPr>
            <w:tcW w:w="1178" w:type="dxa"/>
            <w:vAlign w:val="center"/>
          </w:tcPr>
          <w:p w14:paraId="232EE80D" w14:textId="77777777" w:rsidR="00DA613E" w:rsidRPr="003A140D" w:rsidRDefault="00DA613E" w:rsidP="00D222C6">
            <w:pPr>
              <w:tabs>
                <w:tab w:val="center" w:pos="1293"/>
              </w:tabs>
              <w:jc w:val="center"/>
              <w:cnfStyle w:val="000000100000" w:firstRow="0" w:lastRow="0" w:firstColumn="0" w:lastColumn="0" w:oddVBand="0" w:evenVBand="0" w:oddHBand="1" w:evenHBand="0" w:firstRowFirstColumn="0" w:firstRowLastColumn="0" w:lastRowFirstColumn="0" w:lastRowLastColumn="0"/>
              <w:rPr>
                <w:rFonts w:ascii="Calibri" w:hAnsi="Calibri"/>
                <w:b/>
                <w:bCs/>
                <w:color w:val="auto"/>
                <w:sz w:val="22"/>
                <w:szCs w:val="22"/>
              </w:rPr>
            </w:pPr>
            <w:r w:rsidRPr="003A140D">
              <w:rPr>
                <w:rFonts w:ascii="Calibri" w:hAnsi="Calibri"/>
                <w:b/>
                <w:bCs/>
                <w:color w:val="auto"/>
                <w:sz w:val="22"/>
                <w:szCs w:val="22"/>
              </w:rPr>
              <w:t>Večer</w:t>
            </w:r>
          </w:p>
        </w:tc>
        <w:tc>
          <w:tcPr>
            <w:tcW w:w="962" w:type="dxa"/>
            <w:gridSpan w:val="2"/>
            <w:vAlign w:val="center"/>
          </w:tcPr>
          <w:p w14:paraId="598905F3" w14:textId="77777777" w:rsidR="00DA613E" w:rsidRPr="003A140D" w:rsidRDefault="00DA613E" w:rsidP="00D222C6">
            <w:pPr>
              <w:tabs>
                <w:tab w:val="left" w:pos="36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auto"/>
                <w:sz w:val="22"/>
                <w:szCs w:val="22"/>
              </w:rPr>
            </w:pPr>
            <w:r w:rsidRPr="003A140D">
              <w:rPr>
                <w:rFonts w:ascii="Calibri" w:eastAsia="Calibri" w:hAnsi="Calibri" w:cs="Calibri"/>
                <w:color w:val="auto"/>
                <w:sz w:val="22"/>
                <w:szCs w:val="22"/>
              </w:rPr>
              <w:t>64.8</w:t>
            </w:r>
          </w:p>
        </w:tc>
        <w:tc>
          <w:tcPr>
            <w:tcW w:w="972" w:type="dxa"/>
            <w:gridSpan w:val="2"/>
            <w:vAlign w:val="center"/>
          </w:tcPr>
          <w:p w14:paraId="78B62333" w14:textId="77777777" w:rsidR="00DA613E" w:rsidRPr="003A140D" w:rsidRDefault="00DA613E" w:rsidP="00D222C6">
            <w:pPr>
              <w:tabs>
                <w:tab w:val="left" w:pos="36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auto"/>
                <w:sz w:val="22"/>
                <w:szCs w:val="22"/>
              </w:rPr>
            </w:pPr>
            <w:r w:rsidRPr="003A140D">
              <w:rPr>
                <w:rFonts w:ascii="Calibri" w:eastAsia="Calibri" w:hAnsi="Calibri" w:cs="Calibri"/>
                <w:color w:val="auto"/>
                <w:sz w:val="22"/>
                <w:szCs w:val="22"/>
              </w:rPr>
              <w:t>64.5</w:t>
            </w:r>
          </w:p>
        </w:tc>
        <w:tc>
          <w:tcPr>
            <w:tcW w:w="1148" w:type="dxa"/>
            <w:gridSpan w:val="3"/>
            <w:vAlign w:val="center"/>
          </w:tcPr>
          <w:p w14:paraId="7E715941" w14:textId="77777777" w:rsidR="00DA613E" w:rsidRPr="003A140D" w:rsidRDefault="00DA613E" w:rsidP="00D222C6">
            <w:pPr>
              <w:tabs>
                <w:tab w:val="left" w:pos="36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auto"/>
                <w:sz w:val="22"/>
                <w:szCs w:val="22"/>
              </w:rPr>
            </w:pPr>
            <w:r w:rsidRPr="003A140D">
              <w:rPr>
                <w:rFonts w:ascii="Calibri" w:eastAsia="Calibri" w:hAnsi="Calibri" w:cs="Calibri"/>
                <w:color w:val="auto"/>
                <w:sz w:val="22"/>
                <w:szCs w:val="22"/>
              </w:rPr>
              <w:t>-</w:t>
            </w:r>
          </w:p>
        </w:tc>
        <w:tc>
          <w:tcPr>
            <w:tcW w:w="1710" w:type="dxa"/>
            <w:gridSpan w:val="2"/>
            <w:vMerge/>
          </w:tcPr>
          <w:p w14:paraId="5D7A0B06" w14:textId="77777777" w:rsidR="00DA613E" w:rsidRPr="003A140D" w:rsidRDefault="00DA613E" w:rsidP="00D222C6">
            <w:pPr>
              <w:tabs>
                <w:tab w:val="left" w:pos="36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auto"/>
                <w:sz w:val="22"/>
                <w:szCs w:val="22"/>
              </w:rPr>
            </w:pPr>
          </w:p>
        </w:tc>
      </w:tr>
      <w:tr w:rsidR="003A140D" w:rsidRPr="003A140D" w14:paraId="49B27115" w14:textId="77777777" w:rsidTr="002F67A9">
        <w:trPr>
          <w:trHeight w:val="411"/>
          <w:jc w:val="center"/>
        </w:trPr>
        <w:tc>
          <w:tcPr>
            <w:cnfStyle w:val="001000000000" w:firstRow="0" w:lastRow="0" w:firstColumn="1" w:lastColumn="0" w:oddVBand="0" w:evenVBand="0" w:oddHBand="0" w:evenHBand="0" w:firstRowFirstColumn="0" w:firstRowLastColumn="0" w:lastRowFirstColumn="0" w:lastRowLastColumn="0"/>
            <w:tcW w:w="1103" w:type="dxa"/>
            <w:vMerge/>
          </w:tcPr>
          <w:p w14:paraId="2CE87B37" w14:textId="77777777" w:rsidR="00DA613E" w:rsidRPr="003A140D" w:rsidRDefault="00DA613E" w:rsidP="00D222C6">
            <w:pPr>
              <w:jc w:val="center"/>
              <w:rPr>
                <w:rFonts w:ascii="Calibri" w:hAnsi="Calibri"/>
                <w:b w:val="0"/>
                <w:bCs w:val="0"/>
                <w:color w:val="auto"/>
                <w:sz w:val="22"/>
                <w:szCs w:val="22"/>
              </w:rPr>
            </w:pPr>
          </w:p>
        </w:tc>
        <w:tc>
          <w:tcPr>
            <w:tcW w:w="1178" w:type="dxa"/>
            <w:vAlign w:val="center"/>
          </w:tcPr>
          <w:p w14:paraId="6DCBB67C" w14:textId="77777777" w:rsidR="00DA613E" w:rsidRPr="003A140D" w:rsidRDefault="00DA613E" w:rsidP="00D222C6">
            <w:pPr>
              <w:jc w:val="center"/>
              <w:cnfStyle w:val="000000000000" w:firstRow="0" w:lastRow="0" w:firstColumn="0" w:lastColumn="0" w:oddVBand="0" w:evenVBand="0" w:oddHBand="0" w:evenHBand="0" w:firstRowFirstColumn="0" w:firstRowLastColumn="0" w:lastRowFirstColumn="0" w:lastRowLastColumn="0"/>
              <w:rPr>
                <w:rFonts w:ascii="Calibri" w:hAnsi="Calibri"/>
                <w:b/>
                <w:bCs/>
                <w:color w:val="auto"/>
                <w:sz w:val="22"/>
                <w:szCs w:val="22"/>
              </w:rPr>
            </w:pPr>
            <w:r w:rsidRPr="003A140D">
              <w:rPr>
                <w:rFonts w:ascii="Calibri" w:hAnsi="Calibri"/>
                <w:b/>
                <w:bCs/>
                <w:color w:val="auto"/>
                <w:sz w:val="22"/>
                <w:szCs w:val="22"/>
              </w:rPr>
              <w:t>Noc</w:t>
            </w:r>
          </w:p>
        </w:tc>
        <w:tc>
          <w:tcPr>
            <w:tcW w:w="542" w:type="dxa"/>
            <w:vAlign w:val="center"/>
          </w:tcPr>
          <w:p w14:paraId="3B249428" w14:textId="77777777" w:rsidR="00DA613E" w:rsidRPr="003A140D" w:rsidRDefault="00DA613E" w:rsidP="00D222C6">
            <w:pPr>
              <w:tabs>
                <w:tab w:val="left" w:pos="36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auto"/>
                <w:sz w:val="22"/>
                <w:szCs w:val="22"/>
              </w:rPr>
            </w:pPr>
          </w:p>
        </w:tc>
        <w:tc>
          <w:tcPr>
            <w:tcW w:w="933" w:type="dxa"/>
            <w:gridSpan w:val="2"/>
            <w:vAlign w:val="center"/>
          </w:tcPr>
          <w:p w14:paraId="05548599" w14:textId="77777777" w:rsidR="00DA613E" w:rsidRPr="003A140D" w:rsidRDefault="00DA613E" w:rsidP="00D222C6">
            <w:pPr>
              <w:tabs>
                <w:tab w:val="left" w:pos="36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auto"/>
                <w:sz w:val="22"/>
                <w:szCs w:val="22"/>
              </w:rPr>
            </w:pPr>
            <w:r w:rsidRPr="003A140D">
              <w:rPr>
                <w:rFonts w:ascii="Calibri" w:eastAsia="Calibri" w:hAnsi="Calibri" w:cs="Calibri"/>
                <w:color w:val="auto"/>
                <w:sz w:val="22"/>
                <w:szCs w:val="22"/>
              </w:rPr>
              <w:t>59.3</w:t>
            </w:r>
          </w:p>
        </w:tc>
        <w:tc>
          <w:tcPr>
            <w:tcW w:w="953" w:type="dxa"/>
            <w:gridSpan w:val="2"/>
            <w:vAlign w:val="center"/>
          </w:tcPr>
          <w:p w14:paraId="1695E180" w14:textId="77777777" w:rsidR="00DA613E" w:rsidRPr="003A140D" w:rsidRDefault="00DA613E" w:rsidP="00D222C6">
            <w:pPr>
              <w:tabs>
                <w:tab w:val="left" w:pos="36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auto"/>
                <w:sz w:val="22"/>
                <w:szCs w:val="22"/>
              </w:rPr>
            </w:pPr>
            <w:r w:rsidRPr="003A140D">
              <w:rPr>
                <w:rFonts w:ascii="Calibri" w:eastAsia="Calibri" w:hAnsi="Calibri" w:cs="Calibri"/>
                <w:color w:val="auto"/>
                <w:sz w:val="22"/>
                <w:szCs w:val="22"/>
              </w:rPr>
              <w:t>59.4</w:t>
            </w:r>
          </w:p>
        </w:tc>
        <w:tc>
          <w:tcPr>
            <w:tcW w:w="654" w:type="dxa"/>
            <w:gridSpan w:val="2"/>
            <w:vAlign w:val="center"/>
          </w:tcPr>
          <w:p w14:paraId="0EF8B7B5" w14:textId="77777777" w:rsidR="00DA613E" w:rsidRPr="003A140D" w:rsidRDefault="00DA613E" w:rsidP="00D222C6">
            <w:pPr>
              <w:tabs>
                <w:tab w:val="left" w:pos="36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auto"/>
                <w:sz w:val="22"/>
                <w:szCs w:val="22"/>
              </w:rPr>
            </w:pPr>
          </w:p>
        </w:tc>
        <w:tc>
          <w:tcPr>
            <w:tcW w:w="1710" w:type="dxa"/>
            <w:gridSpan w:val="2"/>
            <w:vMerge/>
          </w:tcPr>
          <w:p w14:paraId="76AC43D0" w14:textId="77777777" w:rsidR="00DA613E" w:rsidRPr="003A140D" w:rsidRDefault="00DA613E" w:rsidP="00D222C6">
            <w:pPr>
              <w:tabs>
                <w:tab w:val="left" w:pos="36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auto"/>
                <w:sz w:val="22"/>
                <w:szCs w:val="22"/>
              </w:rPr>
            </w:pPr>
          </w:p>
        </w:tc>
      </w:tr>
    </w:tbl>
    <w:p w14:paraId="5428CDC8" w14:textId="77777777" w:rsidR="00DA613E" w:rsidRPr="003A140D" w:rsidRDefault="00DA613E" w:rsidP="00D222C6">
      <w:pPr>
        <w:rPr>
          <w:rFonts w:eastAsia="Lucida Sans Unicode" w:cs="Tahoma"/>
          <w:i/>
        </w:rPr>
      </w:pPr>
    </w:p>
    <w:p w14:paraId="0E56120C" w14:textId="77777777" w:rsidR="00DA613E" w:rsidRPr="003A140D" w:rsidRDefault="00DA613E" w:rsidP="00D222C6">
      <w:pPr>
        <w:rPr>
          <w:i/>
        </w:rPr>
      </w:pPr>
    </w:p>
    <w:tbl>
      <w:tblPr>
        <w:tblStyle w:val="Strednzoznam1zvraznenie5"/>
        <w:tblW w:w="7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78"/>
        <w:gridCol w:w="542"/>
        <w:gridCol w:w="420"/>
        <w:gridCol w:w="513"/>
        <w:gridCol w:w="459"/>
        <w:gridCol w:w="494"/>
        <w:gridCol w:w="696"/>
        <w:gridCol w:w="1684"/>
        <w:gridCol w:w="17"/>
      </w:tblGrid>
      <w:tr w:rsidR="003A140D" w:rsidRPr="003A140D" w14:paraId="34F320DF" w14:textId="77777777" w:rsidTr="002F67A9">
        <w:trPr>
          <w:cnfStyle w:val="100000000000" w:firstRow="1" w:lastRow="0" w:firstColumn="0" w:lastColumn="0" w:oddVBand="0" w:evenVBand="0" w:oddHBand="0" w:evenHBand="0" w:firstRowFirstColumn="0" w:firstRowLastColumn="0" w:lastRowFirstColumn="0" w:lastRowLastColumn="0"/>
          <w:trHeight w:val="533"/>
          <w:jc w:val="center"/>
        </w:trPr>
        <w:tc>
          <w:tcPr>
            <w:cnfStyle w:val="001000000000" w:firstRow="0" w:lastRow="0" w:firstColumn="1" w:lastColumn="0" w:oddVBand="0" w:evenVBand="0" w:oddHBand="0" w:evenHBand="0" w:firstRowFirstColumn="0" w:firstRowLastColumn="0" w:lastRowFirstColumn="0" w:lastRowLastColumn="0"/>
            <w:tcW w:w="2283" w:type="dxa"/>
            <w:gridSpan w:val="2"/>
            <w:tcBorders>
              <w:top w:val="single" w:sz="4" w:space="0" w:color="auto"/>
            </w:tcBorders>
          </w:tcPr>
          <w:p w14:paraId="16FF093D" w14:textId="77777777" w:rsidR="00DA613E" w:rsidRPr="003A140D" w:rsidRDefault="00DA613E" w:rsidP="00D222C6">
            <w:pPr>
              <w:jc w:val="center"/>
              <w:rPr>
                <w:rFonts w:ascii="Calibri" w:hAnsi="Calibri"/>
                <w:b w:val="0"/>
                <w:bCs w:val="0"/>
                <w:color w:val="auto"/>
                <w:sz w:val="22"/>
                <w:szCs w:val="22"/>
              </w:rPr>
            </w:pPr>
            <w:r w:rsidRPr="003A140D">
              <w:rPr>
                <w:rFonts w:ascii="Calibri" w:hAnsi="Calibri"/>
                <w:color w:val="auto"/>
                <w:sz w:val="22"/>
                <w:szCs w:val="22"/>
              </w:rPr>
              <w:t>Meracie miesto</w:t>
            </w:r>
          </w:p>
        </w:tc>
        <w:tc>
          <w:tcPr>
            <w:tcW w:w="3124" w:type="dxa"/>
            <w:gridSpan w:val="6"/>
            <w:tcBorders>
              <w:top w:val="single" w:sz="4" w:space="0" w:color="auto"/>
            </w:tcBorders>
          </w:tcPr>
          <w:p w14:paraId="51122973" w14:textId="77777777" w:rsidR="00DA613E" w:rsidRPr="003A140D" w:rsidRDefault="00DA613E" w:rsidP="00D222C6">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b/>
                <w:bCs/>
                <w:i/>
                <w:color w:val="auto"/>
                <w:sz w:val="22"/>
                <w:szCs w:val="22"/>
                <w:vertAlign w:val="subscript"/>
              </w:rPr>
            </w:pPr>
            <w:r w:rsidRPr="003A140D">
              <w:rPr>
                <w:rFonts w:ascii="Calibri" w:eastAsia="Calibri" w:hAnsi="Calibri"/>
                <w:b/>
                <w:bCs/>
                <w:i/>
                <w:color w:val="auto"/>
                <w:sz w:val="22"/>
                <w:szCs w:val="22"/>
              </w:rPr>
              <w:t>L</w:t>
            </w:r>
            <w:r w:rsidRPr="003A140D">
              <w:rPr>
                <w:rFonts w:ascii="Calibri" w:eastAsia="Calibri" w:hAnsi="Calibri"/>
                <w:b/>
                <w:bCs/>
                <w:i/>
                <w:color w:val="auto"/>
                <w:sz w:val="22"/>
                <w:szCs w:val="22"/>
                <w:vertAlign w:val="subscript"/>
              </w:rPr>
              <w:t xml:space="preserve">Aeq </w:t>
            </w:r>
          </w:p>
          <w:p w14:paraId="40CCF4C6" w14:textId="77777777" w:rsidR="00DA613E" w:rsidRPr="003A140D" w:rsidRDefault="00DA613E" w:rsidP="00D222C6">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b/>
                <w:bCs/>
                <w:i/>
                <w:color w:val="auto"/>
                <w:sz w:val="22"/>
                <w:szCs w:val="22"/>
              </w:rPr>
            </w:pPr>
            <w:r w:rsidRPr="003A140D">
              <w:rPr>
                <w:rFonts w:ascii="Calibri" w:eastAsia="Calibri" w:hAnsi="Calibri"/>
                <w:b/>
                <w:bCs/>
                <w:color w:val="auto"/>
                <w:sz w:val="22"/>
                <w:szCs w:val="22"/>
              </w:rPr>
              <w:t>(dB)</w:t>
            </w:r>
          </w:p>
        </w:tc>
        <w:tc>
          <w:tcPr>
            <w:tcW w:w="1701" w:type="dxa"/>
            <w:gridSpan w:val="2"/>
            <w:tcBorders>
              <w:top w:val="single" w:sz="4" w:space="0" w:color="auto"/>
            </w:tcBorders>
          </w:tcPr>
          <w:p w14:paraId="11D71B29" w14:textId="77777777" w:rsidR="00DA613E" w:rsidRPr="003A140D" w:rsidRDefault="00DA613E" w:rsidP="00D222C6">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b/>
                <w:bCs/>
                <w:i/>
                <w:color w:val="auto"/>
                <w:sz w:val="22"/>
                <w:szCs w:val="22"/>
              </w:rPr>
            </w:pPr>
            <w:r w:rsidRPr="003A140D">
              <w:rPr>
                <w:rFonts w:ascii="Calibri" w:eastAsia="Calibri" w:hAnsi="Calibri"/>
                <w:b/>
                <w:bCs/>
                <w:i/>
                <w:color w:val="auto"/>
                <w:sz w:val="22"/>
                <w:szCs w:val="22"/>
              </w:rPr>
              <w:t>U</w:t>
            </w:r>
          </w:p>
          <w:p w14:paraId="0439B576" w14:textId="77777777" w:rsidR="00DA613E" w:rsidRPr="003A140D" w:rsidRDefault="00DA613E" w:rsidP="00D222C6">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b/>
                <w:bCs/>
                <w:i/>
                <w:color w:val="auto"/>
                <w:sz w:val="22"/>
                <w:szCs w:val="22"/>
              </w:rPr>
            </w:pPr>
            <w:r w:rsidRPr="003A140D">
              <w:rPr>
                <w:rFonts w:ascii="Calibri" w:eastAsia="Calibri" w:hAnsi="Calibri"/>
                <w:b/>
                <w:bCs/>
                <w:i/>
                <w:color w:val="auto"/>
                <w:sz w:val="22"/>
                <w:szCs w:val="22"/>
              </w:rPr>
              <w:t>(dB)</w:t>
            </w:r>
          </w:p>
        </w:tc>
      </w:tr>
      <w:tr w:rsidR="003A140D" w:rsidRPr="003A140D" w14:paraId="50C4F129" w14:textId="77777777" w:rsidTr="002F67A9">
        <w:trPr>
          <w:gridAfter w:val="1"/>
          <w:cnfStyle w:val="000000100000" w:firstRow="0" w:lastRow="0" w:firstColumn="0" w:lastColumn="0" w:oddVBand="0" w:evenVBand="0" w:oddHBand="1" w:evenHBand="0" w:firstRowFirstColumn="0" w:firstRowLastColumn="0" w:lastRowFirstColumn="0" w:lastRowLastColumn="0"/>
          <w:wAfter w:w="17" w:type="dxa"/>
          <w:trHeight w:val="281"/>
          <w:jc w:val="center"/>
        </w:trPr>
        <w:tc>
          <w:tcPr>
            <w:cnfStyle w:val="001000000000" w:firstRow="0" w:lastRow="0" w:firstColumn="1" w:lastColumn="0" w:oddVBand="0" w:evenVBand="0" w:oddHBand="0" w:evenHBand="0" w:firstRowFirstColumn="0" w:firstRowLastColumn="0" w:lastRowFirstColumn="0" w:lastRowLastColumn="0"/>
            <w:tcW w:w="1105" w:type="dxa"/>
            <w:vAlign w:val="center"/>
          </w:tcPr>
          <w:p w14:paraId="6E40DCE8" w14:textId="77777777" w:rsidR="00DA613E" w:rsidRPr="003A140D" w:rsidRDefault="00DA613E" w:rsidP="00D222C6">
            <w:pPr>
              <w:jc w:val="center"/>
              <w:rPr>
                <w:rFonts w:ascii="Calibri" w:hAnsi="Calibri"/>
                <w:color w:val="auto"/>
                <w:sz w:val="22"/>
                <w:szCs w:val="22"/>
              </w:rPr>
            </w:pPr>
          </w:p>
        </w:tc>
        <w:tc>
          <w:tcPr>
            <w:tcW w:w="1178" w:type="dxa"/>
            <w:vAlign w:val="center"/>
          </w:tcPr>
          <w:p w14:paraId="49679E93" w14:textId="77777777" w:rsidR="00DA613E" w:rsidRPr="003A140D" w:rsidRDefault="00DA613E" w:rsidP="00D222C6">
            <w:pPr>
              <w:jc w:val="center"/>
              <w:cnfStyle w:val="000000100000" w:firstRow="0" w:lastRow="0" w:firstColumn="0" w:lastColumn="0" w:oddVBand="0" w:evenVBand="0" w:oddHBand="1" w:evenHBand="0" w:firstRowFirstColumn="0" w:firstRowLastColumn="0" w:lastRowFirstColumn="0" w:lastRowLastColumn="0"/>
              <w:rPr>
                <w:rFonts w:ascii="Calibri" w:hAnsi="Calibri"/>
                <w:b/>
                <w:bCs/>
                <w:color w:val="auto"/>
                <w:sz w:val="22"/>
                <w:szCs w:val="22"/>
              </w:rPr>
            </w:pPr>
          </w:p>
        </w:tc>
        <w:tc>
          <w:tcPr>
            <w:tcW w:w="962" w:type="dxa"/>
            <w:gridSpan w:val="2"/>
            <w:vAlign w:val="center"/>
          </w:tcPr>
          <w:p w14:paraId="273B55A1" w14:textId="77777777" w:rsidR="00DA613E" w:rsidRPr="003A140D" w:rsidRDefault="00DA613E" w:rsidP="00D222C6">
            <w:pPr>
              <w:tabs>
                <w:tab w:val="left" w:pos="36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color w:val="auto"/>
                <w:sz w:val="22"/>
                <w:szCs w:val="22"/>
              </w:rPr>
            </w:pPr>
            <w:r w:rsidRPr="003A140D">
              <w:rPr>
                <w:rFonts w:ascii="Calibri" w:eastAsia="Calibri" w:hAnsi="Calibri"/>
                <w:b/>
                <w:bCs/>
                <w:color w:val="auto"/>
                <w:sz w:val="22"/>
                <w:szCs w:val="22"/>
              </w:rPr>
              <w:t>4.10.</w:t>
            </w:r>
          </w:p>
        </w:tc>
        <w:tc>
          <w:tcPr>
            <w:tcW w:w="972" w:type="dxa"/>
            <w:gridSpan w:val="2"/>
            <w:vAlign w:val="center"/>
          </w:tcPr>
          <w:p w14:paraId="2A50CE5E" w14:textId="77777777" w:rsidR="00DA613E" w:rsidRPr="003A140D" w:rsidRDefault="00DA613E" w:rsidP="00D222C6">
            <w:pPr>
              <w:tabs>
                <w:tab w:val="left" w:pos="36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color w:val="auto"/>
                <w:sz w:val="22"/>
                <w:szCs w:val="22"/>
              </w:rPr>
            </w:pPr>
            <w:r w:rsidRPr="003A140D">
              <w:rPr>
                <w:rFonts w:ascii="Calibri" w:eastAsia="Calibri" w:hAnsi="Calibri"/>
                <w:b/>
                <w:bCs/>
                <w:color w:val="auto"/>
                <w:sz w:val="22"/>
                <w:szCs w:val="22"/>
              </w:rPr>
              <w:t>5.10.</w:t>
            </w:r>
          </w:p>
        </w:tc>
        <w:tc>
          <w:tcPr>
            <w:tcW w:w="1190" w:type="dxa"/>
            <w:gridSpan w:val="2"/>
            <w:vAlign w:val="center"/>
          </w:tcPr>
          <w:p w14:paraId="7909AD8F" w14:textId="77777777" w:rsidR="00DA613E" w:rsidRPr="003A140D" w:rsidRDefault="00DA613E" w:rsidP="00D222C6">
            <w:pPr>
              <w:tabs>
                <w:tab w:val="left" w:pos="36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color w:val="auto"/>
                <w:sz w:val="22"/>
                <w:szCs w:val="22"/>
              </w:rPr>
            </w:pPr>
            <w:r w:rsidRPr="003A140D">
              <w:rPr>
                <w:rFonts w:ascii="Calibri" w:eastAsia="Calibri" w:hAnsi="Calibri"/>
                <w:b/>
                <w:bCs/>
                <w:color w:val="auto"/>
                <w:sz w:val="22"/>
                <w:szCs w:val="22"/>
              </w:rPr>
              <w:t>6.10.</w:t>
            </w:r>
          </w:p>
        </w:tc>
        <w:tc>
          <w:tcPr>
            <w:tcW w:w="1684" w:type="dxa"/>
          </w:tcPr>
          <w:p w14:paraId="035436BF" w14:textId="77777777" w:rsidR="00DA613E" w:rsidRPr="003A140D" w:rsidRDefault="00DA613E" w:rsidP="00D222C6">
            <w:pPr>
              <w:tabs>
                <w:tab w:val="left" w:pos="36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color w:val="auto"/>
                <w:sz w:val="22"/>
                <w:szCs w:val="22"/>
              </w:rPr>
            </w:pPr>
          </w:p>
        </w:tc>
      </w:tr>
      <w:tr w:rsidR="003A140D" w:rsidRPr="003A140D" w14:paraId="12CD1282" w14:textId="77777777" w:rsidTr="002F67A9">
        <w:trPr>
          <w:gridAfter w:val="1"/>
          <w:wAfter w:w="17" w:type="dxa"/>
          <w:trHeight w:val="456"/>
          <w:jc w:val="center"/>
        </w:trPr>
        <w:tc>
          <w:tcPr>
            <w:cnfStyle w:val="001000000000" w:firstRow="0" w:lastRow="0" w:firstColumn="1" w:lastColumn="0" w:oddVBand="0" w:evenVBand="0" w:oddHBand="0" w:evenHBand="0" w:firstRowFirstColumn="0" w:firstRowLastColumn="0" w:lastRowFirstColumn="0" w:lastRowLastColumn="0"/>
            <w:tcW w:w="1105" w:type="dxa"/>
            <w:vMerge w:val="restart"/>
            <w:vAlign w:val="center"/>
          </w:tcPr>
          <w:p w14:paraId="2E649F72" w14:textId="77777777" w:rsidR="00DA613E" w:rsidRPr="003A140D" w:rsidRDefault="00DA613E" w:rsidP="00D222C6">
            <w:pPr>
              <w:jc w:val="center"/>
              <w:rPr>
                <w:rFonts w:ascii="Calibri" w:hAnsi="Calibri"/>
                <w:b w:val="0"/>
                <w:bCs w:val="0"/>
                <w:color w:val="auto"/>
                <w:sz w:val="22"/>
                <w:szCs w:val="22"/>
              </w:rPr>
            </w:pPr>
            <w:r w:rsidRPr="003A140D">
              <w:rPr>
                <w:rFonts w:ascii="Calibri" w:hAnsi="Calibri"/>
                <w:color w:val="auto"/>
                <w:sz w:val="22"/>
                <w:szCs w:val="22"/>
              </w:rPr>
              <w:t>M2</w:t>
            </w:r>
          </w:p>
        </w:tc>
        <w:tc>
          <w:tcPr>
            <w:tcW w:w="1178" w:type="dxa"/>
            <w:vAlign w:val="center"/>
          </w:tcPr>
          <w:p w14:paraId="654591F5" w14:textId="77777777" w:rsidR="00DA613E" w:rsidRPr="003A140D" w:rsidRDefault="00DA613E" w:rsidP="00D222C6">
            <w:pPr>
              <w:jc w:val="center"/>
              <w:cnfStyle w:val="000000000000" w:firstRow="0" w:lastRow="0" w:firstColumn="0" w:lastColumn="0" w:oddVBand="0" w:evenVBand="0" w:oddHBand="0" w:evenHBand="0" w:firstRowFirstColumn="0" w:firstRowLastColumn="0" w:lastRowFirstColumn="0" w:lastRowLastColumn="0"/>
              <w:rPr>
                <w:rFonts w:ascii="Calibri" w:hAnsi="Calibri"/>
                <w:b/>
                <w:bCs/>
                <w:color w:val="auto"/>
                <w:sz w:val="22"/>
                <w:szCs w:val="22"/>
              </w:rPr>
            </w:pPr>
            <w:r w:rsidRPr="003A140D">
              <w:rPr>
                <w:rFonts w:ascii="Calibri" w:hAnsi="Calibri"/>
                <w:b/>
                <w:bCs/>
                <w:color w:val="auto"/>
                <w:sz w:val="22"/>
                <w:szCs w:val="22"/>
              </w:rPr>
              <w:t>Deň</w:t>
            </w:r>
          </w:p>
        </w:tc>
        <w:tc>
          <w:tcPr>
            <w:tcW w:w="962" w:type="dxa"/>
            <w:gridSpan w:val="2"/>
            <w:vAlign w:val="center"/>
          </w:tcPr>
          <w:p w14:paraId="38FD5106" w14:textId="77777777" w:rsidR="00DA613E" w:rsidRPr="003A140D" w:rsidRDefault="00DA613E" w:rsidP="00D222C6">
            <w:pPr>
              <w:tabs>
                <w:tab w:val="left" w:pos="36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auto"/>
                <w:sz w:val="22"/>
                <w:szCs w:val="22"/>
              </w:rPr>
            </w:pPr>
            <w:r w:rsidRPr="003A140D">
              <w:rPr>
                <w:rFonts w:ascii="Calibri" w:eastAsia="Calibri" w:hAnsi="Calibri"/>
                <w:color w:val="auto"/>
                <w:sz w:val="22"/>
                <w:szCs w:val="22"/>
              </w:rPr>
              <w:t>-</w:t>
            </w:r>
          </w:p>
        </w:tc>
        <w:tc>
          <w:tcPr>
            <w:tcW w:w="972" w:type="dxa"/>
            <w:gridSpan w:val="2"/>
            <w:vAlign w:val="center"/>
          </w:tcPr>
          <w:p w14:paraId="691A3808" w14:textId="77777777" w:rsidR="00DA613E" w:rsidRPr="003A140D" w:rsidRDefault="00DA613E" w:rsidP="00D222C6">
            <w:pPr>
              <w:tabs>
                <w:tab w:val="left" w:pos="36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auto"/>
                <w:sz w:val="22"/>
                <w:szCs w:val="22"/>
              </w:rPr>
            </w:pPr>
            <w:r w:rsidRPr="003A140D">
              <w:rPr>
                <w:rFonts w:ascii="Calibri" w:eastAsia="Calibri" w:hAnsi="Calibri"/>
                <w:color w:val="auto"/>
                <w:sz w:val="22"/>
                <w:szCs w:val="22"/>
              </w:rPr>
              <w:t>70.3</w:t>
            </w:r>
          </w:p>
        </w:tc>
        <w:tc>
          <w:tcPr>
            <w:tcW w:w="1190" w:type="dxa"/>
            <w:gridSpan w:val="2"/>
            <w:vAlign w:val="center"/>
          </w:tcPr>
          <w:p w14:paraId="2DE4777B" w14:textId="77777777" w:rsidR="00DA613E" w:rsidRPr="003A140D" w:rsidRDefault="00DA613E" w:rsidP="00D222C6">
            <w:pPr>
              <w:tabs>
                <w:tab w:val="left" w:pos="36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auto"/>
                <w:sz w:val="22"/>
                <w:szCs w:val="22"/>
              </w:rPr>
            </w:pPr>
            <w:r w:rsidRPr="003A140D">
              <w:rPr>
                <w:rFonts w:ascii="Calibri" w:eastAsia="Calibri" w:hAnsi="Calibri"/>
                <w:color w:val="auto"/>
                <w:sz w:val="22"/>
                <w:szCs w:val="22"/>
              </w:rPr>
              <w:t>-</w:t>
            </w:r>
          </w:p>
        </w:tc>
        <w:tc>
          <w:tcPr>
            <w:tcW w:w="1684" w:type="dxa"/>
            <w:vMerge w:val="restart"/>
            <w:vAlign w:val="center"/>
          </w:tcPr>
          <w:p w14:paraId="30C864BA" w14:textId="77777777" w:rsidR="00DA613E" w:rsidRPr="003A140D" w:rsidRDefault="00DA613E" w:rsidP="00D222C6">
            <w:pPr>
              <w:tabs>
                <w:tab w:val="left" w:pos="36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auto"/>
                <w:sz w:val="22"/>
                <w:szCs w:val="22"/>
              </w:rPr>
            </w:pPr>
            <w:r w:rsidRPr="003A140D">
              <w:rPr>
                <w:rFonts w:ascii="Calibri" w:eastAsia="Calibri" w:hAnsi="Calibri"/>
                <w:color w:val="auto"/>
                <w:sz w:val="22"/>
                <w:szCs w:val="22"/>
              </w:rPr>
              <w:t>+ 2.6</w:t>
            </w:r>
          </w:p>
        </w:tc>
      </w:tr>
      <w:tr w:rsidR="003A140D" w:rsidRPr="003A140D" w14:paraId="21955C89" w14:textId="77777777" w:rsidTr="002F67A9">
        <w:trPr>
          <w:gridAfter w:val="1"/>
          <w:cnfStyle w:val="000000100000" w:firstRow="0" w:lastRow="0" w:firstColumn="0" w:lastColumn="0" w:oddVBand="0" w:evenVBand="0" w:oddHBand="1" w:evenHBand="0" w:firstRowFirstColumn="0" w:firstRowLastColumn="0" w:lastRowFirstColumn="0" w:lastRowLastColumn="0"/>
          <w:wAfter w:w="17" w:type="dxa"/>
          <w:trHeight w:val="419"/>
          <w:jc w:val="center"/>
        </w:trPr>
        <w:tc>
          <w:tcPr>
            <w:cnfStyle w:val="001000000000" w:firstRow="0" w:lastRow="0" w:firstColumn="1" w:lastColumn="0" w:oddVBand="0" w:evenVBand="0" w:oddHBand="0" w:evenHBand="0" w:firstRowFirstColumn="0" w:firstRowLastColumn="0" w:lastRowFirstColumn="0" w:lastRowLastColumn="0"/>
            <w:tcW w:w="1105" w:type="dxa"/>
            <w:vMerge/>
          </w:tcPr>
          <w:p w14:paraId="604BBE05" w14:textId="77777777" w:rsidR="00DA613E" w:rsidRPr="003A140D" w:rsidRDefault="00DA613E" w:rsidP="00D222C6">
            <w:pPr>
              <w:tabs>
                <w:tab w:val="center" w:pos="1293"/>
              </w:tabs>
              <w:jc w:val="center"/>
              <w:rPr>
                <w:rFonts w:ascii="Calibri" w:hAnsi="Calibri"/>
                <w:b w:val="0"/>
                <w:bCs w:val="0"/>
                <w:color w:val="auto"/>
                <w:sz w:val="22"/>
                <w:szCs w:val="22"/>
              </w:rPr>
            </w:pPr>
          </w:p>
        </w:tc>
        <w:tc>
          <w:tcPr>
            <w:tcW w:w="1178" w:type="dxa"/>
            <w:vAlign w:val="center"/>
          </w:tcPr>
          <w:p w14:paraId="54C5B9E1" w14:textId="77777777" w:rsidR="00DA613E" w:rsidRPr="003A140D" w:rsidRDefault="00DA613E" w:rsidP="00D222C6">
            <w:pPr>
              <w:tabs>
                <w:tab w:val="center" w:pos="1293"/>
              </w:tabs>
              <w:jc w:val="center"/>
              <w:cnfStyle w:val="000000100000" w:firstRow="0" w:lastRow="0" w:firstColumn="0" w:lastColumn="0" w:oddVBand="0" w:evenVBand="0" w:oddHBand="1" w:evenHBand="0" w:firstRowFirstColumn="0" w:firstRowLastColumn="0" w:lastRowFirstColumn="0" w:lastRowLastColumn="0"/>
              <w:rPr>
                <w:rFonts w:ascii="Calibri" w:hAnsi="Calibri"/>
                <w:b/>
                <w:bCs/>
                <w:color w:val="auto"/>
                <w:sz w:val="22"/>
                <w:szCs w:val="22"/>
              </w:rPr>
            </w:pPr>
            <w:r w:rsidRPr="003A140D">
              <w:rPr>
                <w:rFonts w:ascii="Calibri" w:hAnsi="Calibri"/>
                <w:b/>
                <w:bCs/>
                <w:color w:val="auto"/>
                <w:sz w:val="22"/>
                <w:szCs w:val="22"/>
              </w:rPr>
              <w:t>Večer</w:t>
            </w:r>
          </w:p>
        </w:tc>
        <w:tc>
          <w:tcPr>
            <w:tcW w:w="962" w:type="dxa"/>
            <w:gridSpan w:val="2"/>
            <w:vAlign w:val="center"/>
          </w:tcPr>
          <w:p w14:paraId="4078D470" w14:textId="77777777" w:rsidR="00DA613E" w:rsidRPr="003A140D" w:rsidRDefault="00DA613E" w:rsidP="00D222C6">
            <w:pPr>
              <w:tabs>
                <w:tab w:val="left" w:pos="36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auto"/>
                <w:sz w:val="22"/>
                <w:szCs w:val="22"/>
              </w:rPr>
            </w:pPr>
            <w:r w:rsidRPr="003A140D">
              <w:rPr>
                <w:rFonts w:ascii="Calibri" w:eastAsia="Calibri" w:hAnsi="Calibri" w:cs="Calibri"/>
                <w:color w:val="auto"/>
                <w:sz w:val="22"/>
                <w:szCs w:val="22"/>
              </w:rPr>
              <w:t>67.4</w:t>
            </w:r>
          </w:p>
        </w:tc>
        <w:tc>
          <w:tcPr>
            <w:tcW w:w="972" w:type="dxa"/>
            <w:gridSpan w:val="2"/>
            <w:vAlign w:val="center"/>
          </w:tcPr>
          <w:p w14:paraId="767AB582" w14:textId="77777777" w:rsidR="00DA613E" w:rsidRPr="003A140D" w:rsidRDefault="00DA613E" w:rsidP="00D222C6">
            <w:pPr>
              <w:tabs>
                <w:tab w:val="left" w:pos="36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auto"/>
                <w:sz w:val="22"/>
                <w:szCs w:val="22"/>
              </w:rPr>
            </w:pPr>
            <w:r w:rsidRPr="003A140D">
              <w:rPr>
                <w:rFonts w:ascii="Calibri" w:eastAsia="Calibri" w:hAnsi="Calibri" w:cs="Calibri"/>
                <w:color w:val="auto"/>
                <w:sz w:val="22"/>
                <w:szCs w:val="22"/>
              </w:rPr>
              <w:t>67.6</w:t>
            </w:r>
          </w:p>
        </w:tc>
        <w:tc>
          <w:tcPr>
            <w:tcW w:w="1190" w:type="dxa"/>
            <w:gridSpan w:val="2"/>
            <w:vAlign w:val="center"/>
          </w:tcPr>
          <w:p w14:paraId="5C9240D9" w14:textId="77777777" w:rsidR="00DA613E" w:rsidRPr="003A140D" w:rsidRDefault="00DA613E" w:rsidP="00D222C6">
            <w:pPr>
              <w:tabs>
                <w:tab w:val="left" w:pos="36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auto"/>
                <w:sz w:val="22"/>
                <w:szCs w:val="22"/>
              </w:rPr>
            </w:pPr>
            <w:r w:rsidRPr="003A140D">
              <w:rPr>
                <w:rFonts w:ascii="Calibri" w:eastAsia="Calibri" w:hAnsi="Calibri" w:cs="Calibri"/>
                <w:color w:val="auto"/>
                <w:sz w:val="22"/>
                <w:szCs w:val="22"/>
              </w:rPr>
              <w:t>-</w:t>
            </w:r>
          </w:p>
        </w:tc>
        <w:tc>
          <w:tcPr>
            <w:tcW w:w="1684" w:type="dxa"/>
            <w:vMerge/>
          </w:tcPr>
          <w:p w14:paraId="71CEB226" w14:textId="77777777" w:rsidR="00DA613E" w:rsidRPr="003A140D" w:rsidRDefault="00DA613E" w:rsidP="00D222C6">
            <w:pPr>
              <w:tabs>
                <w:tab w:val="left" w:pos="36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auto"/>
                <w:sz w:val="22"/>
                <w:szCs w:val="22"/>
              </w:rPr>
            </w:pPr>
          </w:p>
        </w:tc>
      </w:tr>
      <w:tr w:rsidR="003A140D" w:rsidRPr="003A140D" w14:paraId="1EC379EE" w14:textId="77777777" w:rsidTr="002F67A9">
        <w:trPr>
          <w:gridAfter w:val="1"/>
          <w:wAfter w:w="17" w:type="dxa"/>
          <w:trHeight w:val="411"/>
          <w:jc w:val="center"/>
        </w:trPr>
        <w:tc>
          <w:tcPr>
            <w:cnfStyle w:val="001000000000" w:firstRow="0" w:lastRow="0" w:firstColumn="1" w:lastColumn="0" w:oddVBand="0" w:evenVBand="0" w:oddHBand="0" w:evenHBand="0" w:firstRowFirstColumn="0" w:firstRowLastColumn="0" w:lastRowFirstColumn="0" w:lastRowLastColumn="0"/>
            <w:tcW w:w="1105" w:type="dxa"/>
            <w:vMerge/>
          </w:tcPr>
          <w:p w14:paraId="7A0BA9A4" w14:textId="77777777" w:rsidR="00DA613E" w:rsidRPr="003A140D" w:rsidRDefault="00DA613E" w:rsidP="00D222C6">
            <w:pPr>
              <w:jc w:val="center"/>
              <w:rPr>
                <w:rFonts w:ascii="Calibri" w:hAnsi="Calibri"/>
                <w:b w:val="0"/>
                <w:bCs w:val="0"/>
                <w:color w:val="auto"/>
                <w:sz w:val="22"/>
                <w:szCs w:val="22"/>
              </w:rPr>
            </w:pPr>
          </w:p>
        </w:tc>
        <w:tc>
          <w:tcPr>
            <w:tcW w:w="1178" w:type="dxa"/>
            <w:vAlign w:val="center"/>
          </w:tcPr>
          <w:p w14:paraId="2C77E96C" w14:textId="77777777" w:rsidR="00DA613E" w:rsidRPr="003A140D" w:rsidRDefault="00DA613E" w:rsidP="00D222C6">
            <w:pPr>
              <w:jc w:val="center"/>
              <w:cnfStyle w:val="000000000000" w:firstRow="0" w:lastRow="0" w:firstColumn="0" w:lastColumn="0" w:oddVBand="0" w:evenVBand="0" w:oddHBand="0" w:evenHBand="0" w:firstRowFirstColumn="0" w:firstRowLastColumn="0" w:lastRowFirstColumn="0" w:lastRowLastColumn="0"/>
              <w:rPr>
                <w:rFonts w:ascii="Calibri" w:hAnsi="Calibri"/>
                <w:b/>
                <w:bCs/>
                <w:color w:val="auto"/>
                <w:sz w:val="22"/>
                <w:szCs w:val="22"/>
              </w:rPr>
            </w:pPr>
            <w:r w:rsidRPr="003A140D">
              <w:rPr>
                <w:rFonts w:ascii="Calibri" w:hAnsi="Calibri"/>
                <w:b/>
                <w:bCs/>
                <w:color w:val="auto"/>
                <w:sz w:val="22"/>
                <w:szCs w:val="22"/>
              </w:rPr>
              <w:t>Noc</w:t>
            </w:r>
          </w:p>
        </w:tc>
        <w:tc>
          <w:tcPr>
            <w:tcW w:w="542" w:type="dxa"/>
            <w:vAlign w:val="center"/>
          </w:tcPr>
          <w:p w14:paraId="0F429CFE" w14:textId="77777777" w:rsidR="00DA613E" w:rsidRPr="003A140D" w:rsidRDefault="00DA613E" w:rsidP="00D222C6">
            <w:pPr>
              <w:tabs>
                <w:tab w:val="left" w:pos="36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auto"/>
                <w:sz w:val="22"/>
                <w:szCs w:val="22"/>
              </w:rPr>
            </w:pPr>
          </w:p>
        </w:tc>
        <w:tc>
          <w:tcPr>
            <w:tcW w:w="933" w:type="dxa"/>
            <w:gridSpan w:val="2"/>
            <w:vAlign w:val="center"/>
          </w:tcPr>
          <w:p w14:paraId="098D7E10" w14:textId="77777777" w:rsidR="00DA613E" w:rsidRPr="003A140D" w:rsidRDefault="00DA613E" w:rsidP="00D222C6">
            <w:pPr>
              <w:tabs>
                <w:tab w:val="left" w:pos="36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auto"/>
                <w:sz w:val="22"/>
                <w:szCs w:val="22"/>
              </w:rPr>
            </w:pPr>
            <w:r w:rsidRPr="003A140D">
              <w:rPr>
                <w:rFonts w:ascii="Calibri" w:eastAsia="Calibri" w:hAnsi="Calibri" w:cs="Calibri"/>
                <w:color w:val="auto"/>
                <w:sz w:val="22"/>
                <w:szCs w:val="22"/>
              </w:rPr>
              <w:t>61.5</w:t>
            </w:r>
          </w:p>
        </w:tc>
        <w:tc>
          <w:tcPr>
            <w:tcW w:w="953" w:type="dxa"/>
            <w:gridSpan w:val="2"/>
            <w:vAlign w:val="center"/>
          </w:tcPr>
          <w:p w14:paraId="1429F1B9" w14:textId="77777777" w:rsidR="00DA613E" w:rsidRPr="003A140D" w:rsidRDefault="00DA613E" w:rsidP="00D222C6">
            <w:pPr>
              <w:tabs>
                <w:tab w:val="left" w:pos="36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auto"/>
                <w:sz w:val="22"/>
                <w:szCs w:val="22"/>
              </w:rPr>
            </w:pPr>
            <w:r w:rsidRPr="003A140D">
              <w:rPr>
                <w:rFonts w:ascii="Calibri" w:eastAsia="Calibri" w:hAnsi="Calibri" w:cs="Calibri"/>
                <w:color w:val="auto"/>
                <w:sz w:val="22"/>
                <w:szCs w:val="22"/>
              </w:rPr>
              <w:t>61.4</w:t>
            </w:r>
          </w:p>
        </w:tc>
        <w:tc>
          <w:tcPr>
            <w:tcW w:w="696" w:type="dxa"/>
            <w:vAlign w:val="center"/>
          </w:tcPr>
          <w:p w14:paraId="282B0BBE" w14:textId="77777777" w:rsidR="00DA613E" w:rsidRPr="003A140D" w:rsidRDefault="00DA613E" w:rsidP="00D222C6">
            <w:pPr>
              <w:tabs>
                <w:tab w:val="left" w:pos="360"/>
              </w:tabs>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auto"/>
                <w:sz w:val="22"/>
                <w:szCs w:val="22"/>
              </w:rPr>
            </w:pPr>
          </w:p>
        </w:tc>
        <w:tc>
          <w:tcPr>
            <w:tcW w:w="1684" w:type="dxa"/>
            <w:vMerge/>
          </w:tcPr>
          <w:p w14:paraId="166E4115" w14:textId="77777777" w:rsidR="00DA613E" w:rsidRPr="003A140D" w:rsidRDefault="00DA613E" w:rsidP="00D222C6">
            <w:pPr>
              <w:tabs>
                <w:tab w:val="left" w:pos="36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auto"/>
                <w:sz w:val="22"/>
                <w:szCs w:val="22"/>
              </w:rPr>
            </w:pPr>
          </w:p>
        </w:tc>
      </w:tr>
    </w:tbl>
    <w:p w14:paraId="4C2954E2" w14:textId="77777777" w:rsidR="00DA613E" w:rsidRPr="003A140D" w:rsidRDefault="00DA613E" w:rsidP="00D222C6">
      <w:pPr>
        <w:ind w:left="-142"/>
        <w:jc w:val="center"/>
        <w:rPr>
          <w:b/>
        </w:rPr>
      </w:pPr>
    </w:p>
    <w:p w14:paraId="05135227" w14:textId="77777777" w:rsidR="00B207B4" w:rsidRPr="003A140D" w:rsidRDefault="00B207B4" w:rsidP="00B207B4">
      <w:pPr>
        <w:pStyle w:val="A-Text11"/>
        <w:rPr>
          <w:lang w:eastAsia="ar-SA"/>
        </w:rPr>
      </w:pPr>
      <w:r w:rsidRPr="003A140D">
        <w:rPr>
          <w:lang w:eastAsia="ar-SA"/>
        </w:rPr>
        <w:t xml:space="preserve">Súčasný stav hlukovej situácie v predmetnom území možno posúdiť z výsledkov nameraných hodnôt ekvivalentnej hladiny akustického tlaku, získaných reálnym meraním vo vonkajšom prostredí a z údajov o rozložení intenzity dopravy počas referenčných intervalov. </w:t>
      </w:r>
    </w:p>
    <w:p w14:paraId="51435C16" w14:textId="77777777" w:rsidR="00B207B4" w:rsidRPr="003A140D" w:rsidRDefault="00B207B4" w:rsidP="00B207B4">
      <w:pPr>
        <w:pStyle w:val="A-Text11"/>
        <w:rPr>
          <w:noProof/>
        </w:rPr>
      </w:pPr>
      <w:r w:rsidRPr="003A140D">
        <w:rPr>
          <w:noProof/>
        </w:rPr>
        <w:t xml:space="preserve">V dňoch 4.10. – 6.10.2021 bolo v lokalite vykonané meranie hluku na dvoch meracích miestach zamerané na okolitú pozemnú dopravu – pri uliciach Galvaniho a Rožňavská, ktoré ohraničujú územie určené na výstavbu posudzovaného obytného súboru. </w:t>
      </w:r>
    </w:p>
    <w:p w14:paraId="11F17F68" w14:textId="07E954F1" w:rsidR="004B7ACA" w:rsidRPr="003A140D" w:rsidRDefault="004B7ACA" w:rsidP="00437B0A">
      <w:pPr>
        <w:pStyle w:val="A-Text11"/>
        <w:rPr>
          <w:noProof/>
        </w:rPr>
      </w:pPr>
      <w:r w:rsidRPr="003A140D">
        <w:rPr>
          <w:noProof/>
        </w:rPr>
        <w:t>Konkrétne hodnoty pred fasádou nie je možné presne určiť, nakoľko v súčasnosti sa na pozemku nenachádzajú žiadne budovy. Všeobecne však platí, že n</w:t>
      </w:r>
      <w:r w:rsidRPr="003A140D">
        <w:t xml:space="preserve">ajvyššie prípustné hodnoty určujúcich veličín hluku </w:t>
      </w:r>
      <w:r w:rsidRPr="003A140D">
        <w:rPr>
          <w:b/>
        </w:rPr>
        <w:t xml:space="preserve">z pozemnej dopravy </w:t>
      </w:r>
      <w:r w:rsidRPr="003A140D">
        <w:t>vo vonkajšom prostredí pred fasádami zaradené do III. kategórie chránených území sú:</w:t>
      </w:r>
    </w:p>
    <w:p w14:paraId="4BF4563B" w14:textId="77777777" w:rsidR="004B7ACA" w:rsidRPr="003A140D" w:rsidRDefault="004B7ACA" w:rsidP="004B7ACA">
      <w:pPr>
        <w:jc w:val="center"/>
        <w:rPr>
          <w:rFonts w:ascii="Arial" w:hAnsi="Arial" w:cs="Arial"/>
          <w:bCs/>
          <w:sz w:val="22"/>
          <w:szCs w:val="22"/>
        </w:rPr>
      </w:pPr>
      <w:r w:rsidRPr="003A140D">
        <w:rPr>
          <w:rFonts w:ascii="Arial" w:hAnsi="Arial" w:cs="Arial"/>
          <w:i/>
          <w:sz w:val="22"/>
          <w:szCs w:val="22"/>
        </w:rPr>
        <w:t>L</w:t>
      </w:r>
      <w:r w:rsidRPr="003A140D">
        <w:rPr>
          <w:rFonts w:ascii="Arial" w:hAnsi="Arial" w:cs="Arial"/>
          <w:i/>
          <w:sz w:val="22"/>
          <w:szCs w:val="22"/>
          <w:vertAlign w:val="subscript"/>
        </w:rPr>
        <w:t>Aeq,p</w:t>
      </w:r>
      <w:r w:rsidRPr="003A140D">
        <w:rPr>
          <w:rFonts w:ascii="Arial" w:hAnsi="Arial" w:cs="Arial"/>
          <w:sz w:val="22"/>
          <w:szCs w:val="22"/>
          <w:vertAlign w:val="subscript"/>
        </w:rPr>
        <w:t xml:space="preserve">  </w:t>
      </w:r>
      <w:r w:rsidRPr="003A140D">
        <w:rPr>
          <w:rFonts w:ascii="Arial" w:hAnsi="Arial" w:cs="Arial"/>
          <w:sz w:val="22"/>
          <w:szCs w:val="22"/>
        </w:rPr>
        <w:t>= 60 dB pre ref interval deň, večer</w:t>
      </w:r>
    </w:p>
    <w:p w14:paraId="779CF7A9" w14:textId="77777777" w:rsidR="004B7ACA" w:rsidRPr="003A140D" w:rsidRDefault="004B7ACA" w:rsidP="004B7ACA">
      <w:pPr>
        <w:jc w:val="center"/>
        <w:rPr>
          <w:rFonts w:ascii="Arial" w:hAnsi="Arial" w:cs="Arial"/>
          <w:sz w:val="22"/>
          <w:szCs w:val="22"/>
        </w:rPr>
      </w:pPr>
      <w:r w:rsidRPr="003A140D">
        <w:rPr>
          <w:rFonts w:ascii="Arial" w:hAnsi="Arial" w:cs="Arial"/>
          <w:i/>
          <w:sz w:val="22"/>
          <w:szCs w:val="22"/>
        </w:rPr>
        <w:t>L</w:t>
      </w:r>
      <w:r w:rsidRPr="003A140D">
        <w:rPr>
          <w:rFonts w:ascii="Arial" w:hAnsi="Arial" w:cs="Arial"/>
          <w:i/>
          <w:sz w:val="22"/>
          <w:szCs w:val="22"/>
          <w:vertAlign w:val="subscript"/>
        </w:rPr>
        <w:t>Aeq,p</w:t>
      </w:r>
      <w:r w:rsidRPr="003A140D">
        <w:rPr>
          <w:rFonts w:ascii="Arial" w:hAnsi="Arial" w:cs="Arial"/>
          <w:sz w:val="22"/>
          <w:szCs w:val="22"/>
          <w:vertAlign w:val="subscript"/>
        </w:rPr>
        <w:t xml:space="preserve">  </w:t>
      </w:r>
      <w:r w:rsidRPr="003A140D">
        <w:rPr>
          <w:rFonts w:ascii="Arial" w:hAnsi="Arial" w:cs="Arial"/>
          <w:sz w:val="22"/>
          <w:szCs w:val="22"/>
        </w:rPr>
        <w:t xml:space="preserve">= 50 dB pre ref. interval noc </w:t>
      </w:r>
    </w:p>
    <w:p w14:paraId="4A63DDF4" w14:textId="7446C6BC" w:rsidR="004B7ACA" w:rsidRPr="003A140D" w:rsidRDefault="004B7ACA" w:rsidP="00437B0A">
      <w:pPr>
        <w:pStyle w:val="A-Text11"/>
        <w:rPr>
          <w:noProof/>
        </w:rPr>
      </w:pPr>
      <w:r w:rsidRPr="003A140D">
        <w:rPr>
          <w:noProof/>
        </w:rPr>
        <w:t xml:space="preserve">Z nameraných hodnôt bol následne pomocou softvéru CadnaA namodelovaný vplyv hluku z okolitej pozemnejj dopravy v jednotlivých referenčných časových intevaloch. Grafický výstup z modelácie sa nachádza v prílohe akustickej štúdie. </w:t>
      </w:r>
    </w:p>
    <w:p w14:paraId="3299DC7D" w14:textId="192DB1B5" w:rsidR="006C04B7" w:rsidRPr="002711C7" w:rsidRDefault="006C04B7" w:rsidP="00D11102">
      <w:pPr>
        <w:pStyle w:val="A-Text11"/>
        <w:spacing w:line="240" w:lineRule="auto"/>
        <w:ind w:firstLine="0"/>
        <w:rPr>
          <w:rFonts w:eastAsia="NimbusSanDEE-Bold"/>
          <w:b/>
          <w:bCs/>
        </w:rPr>
      </w:pPr>
      <w:r w:rsidRPr="002711C7">
        <w:rPr>
          <w:rFonts w:eastAsia="NimbusSanDEE-Bold"/>
          <w:b/>
          <w:bCs/>
        </w:rPr>
        <w:t>Odpadové hospodárstvo</w:t>
      </w:r>
    </w:p>
    <w:p w14:paraId="53AC6BD2" w14:textId="77777777" w:rsidR="006C04B7" w:rsidRPr="004A7717" w:rsidRDefault="006C04B7" w:rsidP="00495E03">
      <w:pPr>
        <w:pStyle w:val="A-Text11"/>
        <w:spacing w:line="240" w:lineRule="auto"/>
        <w:rPr>
          <w:shd w:val="clear" w:color="auto" w:fill="FFFFFF"/>
        </w:rPr>
      </w:pPr>
      <w:r w:rsidRPr="004A7717">
        <w:rPr>
          <w:shd w:val="clear" w:color="auto" w:fill="FFFFFF"/>
        </w:rPr>
        <w:t>Slovensko za posledných 10 rokov zvýšilo produkciu komunálneho odpadu o približne tretinu.  Priemerný Slovák vlani vyhodil do odpadových nádob 435 kg odpadu. Súčasný stav charakterizuje nízka miera recyklácie  a vysoká miera skládkovania. </w:t>
      </w:r>
    </w:p>
    <w:p w14:paraId="18B12AE9" w14:textId="77777777" w:rsidR="006C04B7" w:rsidRPr="004A7717" w:rsidRDefault="006C04B7" w:rsidP="002711C7">
      <w:pPr>
        <w:pStyle w:val="A-Text11"/>
      </w:pPr>
      <w:r w:rsidRPr="004A7717">
        <w:rPr>
          <w:shd w:val="clear" w:color="auto" w:fill="FFFFFF"/>
        </w:rPr>
        <w:t>V budúcnosti sa očakáva  väčší príklon k zneškodňovaniu odpadov spaľovaním, splyňovaniu, pyrolýze a rôznym biochemickým úpravám,</w:t>
      </w:r>
    </w:p>
    <w:p w14:paraId="5FC7FB64" w14:textId="77777777" w:rsidR="006C04B7" w:rsidRPr="004A7717" w:rsidRDefault="006C04B7" w:rsidP="002711C7">
      <w:pPr>
        <w:pStyle w:val="A-Text11"/>
      </w:pPr>
      <w:r w:rsidRPr="004A7717">
        <w:t>Zber, prepravu za účelom zhodnotenia a zneškodnenia komunálneho odpadu v Bratislave zabezpečuje akciová spoločnosť Odvoz a likvidácia odpadu (OLO), ktorej jediným akcionárom je hlavné mesto. Spáliteľný a materiálovo ináč nevyužiteľný odpad je energeticky zhodnocovaný a termicky zneškodňovaný v spaľovni odpadu vo Vlčom hrdle. Spaľovňa odpadu vo Vlčom hrdle bola postavená v rokoch 1974 -1977 ako prvá v povojnovom Československu. V pôvodnej spaľovni bolo termicky zneškodnených takmer 2,5 mil. ton odpadu. V rokoch 2000 - 2002 bola spaľovňa rekonštruovaná tak, aby technológia zneškodňovania odpadu a čistenia spalín spaľovňa odpadu spĺňala európske emisné limity vypúšťaných látok. Životnosť spaľovne po rozsiahlej rekonštrukcii v r. 2000 - 2002 je 25 rokov. Počas predpokladanej dvadsaťpäťročnej prevádzky po rekonštrukcii dokáže spaľovňa spáliť ďalšie 3 mil. ton odpadu.</w:t>
      </w:r>
    </w:p>
    <w:p w14:paraId="160427DD" w14:textId="77777777" w:rsidR="006C04B7" w:rsidRPr="004A7717" w:rsidRDefault="006C04B7" w:rsidP="002711C7">
      <w:pPr>
        <w:pStyle w:val="A-Text11"/>
      </w:pPr>
      <w:r w:rsidRPr="004A7717">
        <w:t xml:space="preserve">Kladné prínosy bratislavskej spaľovne odpadu z hľadiska ochrany životného prostredia a znižovania množstva odpadu sú nespochybniteľné. Maximálna projektovaná kapacita spaľovne je 135 tisíc ton odpadu ročne. Pri súčasnom priemernom ročnom množstve </w:t>
      </w:r>
      <w:r w:rsidRPr="004A7717">
        <w:lastRenderedPageBreak/>
        <w:t>spáleného odpadu 120 tisíc ton za rok má spaľovňa ešte rezervu pre prípadný rast tvorby komunálneho odpadu v budúcnosti.</w:t>
      </w:r>
    </w:p>
    <w:p w14:paraId="3879F86A" w14:textId="5B4454A1" w:rsidR="006C04B7" w:rsidRPr="004A7717" w:rsidRDefault="006C04B7" w:rsidP="002711C7">
      <w:pPr>
        <w:pStyle w:val="A-Text11"/>
      </w:pPr>
      <w:r w:rsidRPr="004A7717">
        <w:t>Nakladanie s komunálnymi odpadmi na území Hlavného mesta SR Bratislavy sa riadi Všeobecne záväzným nariadením hlavného mesta Slovenskej republiky Bratislavy č. 6/2020 o nakladaní s komunálnymi odpadmi a drobnými stavebnými odpadmi na území hlavného mesta Slovenskej republiky Bratislavy</w:t>
      </w:r>
    </w:p>
    <w:p w14:paraId="0FAD442C" w14:textId="54A554EB" w:rsidR="006E3EB8" w:rsidRPr="003A140D" w:rsidRDefault="006E3EB8" w:rsidP="006E3EB8">
      <w:pPr>
        <w:pStyle w:val="A-Text11"/>
      </w:pPr>
      <w:r w:rsidRPr="003A140D">
        <w:t xml:space="preserve">Podľa najnovšie dostupných dát Čiastkového monitorovacieho systému </w:t>
      </w:r>
      <w:r w:rsidR="00F66E4A" w:rsidRPr="003A140D">
        <w:t>„</w:t>
      </w:r>
      <w:r w:rsidRPr="003A140D">
        <w:t>Odpady</w:t>
      </w:r>
      <w:r w:rsidR="00F66E4A" w:rsidRPr="003A140D">
        <w:t>“</w:t>
      </w:r>
      <w:r w:rsidRPr="003A140D">
        <w:t xml:space="preserve"> z roku 2019 sa na Slovensku celkovo vyprodukovalo 12 396 990,9 ton odpadu. Z toho Bratislavský kraj vyprodukoval 3 100 852,03 t, čím sa spomedzi všetkých krajov zaradil na prvé miesto v produkcii odpadov. Podiel produkcie odpadov dosahuje v Bratislavskom kraji 25% z celkového vyprodukovaného objemu odpadov Slovenska. Čo sa týka jednotlivých spôsobov zhodnocovania odpadu, v Bratislavskom kraji dominuje materiálové zhodnocovanie odpadu s hodnotou 673 704,55 ton za rok. Energeticky sa zhodnotilo  100 274,47 ton odpadu za rok a ostatné druhy zhodnocovania vykázali hodnotu 25 878,24 ton ročne. Zneškodňovaných odpadov bolo menšie množstvo ako zhodnocovaných. Konkrétne  229 573,90 ton odpadu bolo zneškodnených skládkovaním a 90 132,58 ton zneškodnených spaľovaním bez energetického využitia. Ostatné druhy zneškodňovania odpadu vykázali hodnotu 25 726,23 ton za rok. Iným spôsobom ako boli uvedené vyššie sa spracovalo 1 955 562,06 ton. </w:t>
      </w:r>
    </w:p>
    <w:p w14:paraId="544DF63E" w14:textId="5079E629" w:rsidR="00CD66C0" w:rsidRPr="00C33B02" w:rsidRDefault="00CD66C0" w:rsidP="00CD66C0">
      <w:pPr>
        <w:spacing w:before="120"/>
        <w:jc w:val="both"/>
        <w:rPr>
          <w:rFonts w:ascii="Arial" w:hAnsi="Arial" w:cs="Arial"/>
          <w:b/>
          <w:iCs/>
          <w:sz w:val="22"/>
          <w:szCs w:val="22"/>
        </w:rPr>
      </w:pPr>
      <w:r w:rsidRPr="00C33B02">
        <w:rPr>
          <w:rFonts w:ascii="Arial" w:hAnsi="Arial" w:cs="Arial"/>
          <w:b/>
          <w:iCs/>
          <w:sz w:val="22"/>
          <w:szCs w:val="22"/>
        </w:rPr>
        <w:t>Zdravotný stav obyvateľstva</w:t>
      </w:r>
    </w:p>
    <w:p w14:paraId="4DEC9BC3" w14:textId="7C09656C" w:rsidR="00CD66C0" w:rsidRPr="00B72872" w:rsidRDefault="00CD66C0" w:rsidP="00150428">
      <w:pPr>
        <w:pStyle w:val="A-Text11"/>
        <w:spacing w:before="0" w:line="240" w:lineRule="auto"/>
        <w:ind w:firstLine="0"/>
        <w:rPr>
          <w:i/>
          <w:iCs/>
        </w:rPr>
      </w:pPr>
      <w:r w:rsidRPr="00B72872">
        <w:rPr>
          <w:i/>
          <w:iCs/>
        </w:rPr>
        <w:t>Zdroj: Zdravotnícka ročenka Slovenskej republiky 20</w:t>
      </w:r>
      <w:r w:rsidR="00614908" w:rsidRPr="00B72872">
        <w:rPr>
          <w:i/>
          <w:iCs/>
        </w:rPr>
        <w:t>20</w:t>
      </w:r>
    </w:p>
    <w:p w14:paraId="12B86AF0" w14:textId="77777777" w:rsidR="00ED496D" w:rsidRPr="00B72872" w:rsidRDefault="002C0364" w:rsidP="00CD66C0">
      <w:pPr>
        <w:pStyle w:val="A-Text11"/>
      </w:pPr>
      <w:r w:rsidRPr="00B72872">
        <w:t xml:space="preserve">K 31. decembru 2020 malo podľa údajov štatistického úradu trvalý pobyt v Slovenskej republike 5 459 781 osôb. Celkový prírastok obyvateľov v roku 2020 predstavoval 1 908 osôb. Prirodzeným pohybom (rozdielom živonarodených a zomretých) ubudlo 2 439 osôb, pričom prirodzený úbytok obyvateľstva bol v krajine zaznamenaný naposledy v roku 2003. Nárast počtu obyvateľov bol spôsobený prírastkom z migrácie, ktorým pribudlo 4 347 osôb. </w:t>
      </w:r>
    </w:p>
    <w:p w14:paraId="3FAED35E" w14:textId="2C354583" w:rsidR="002C0364" w:rsidRPr="00B72872" w:rsidRDefault="002C0364" w:rsidP="00CD66C0">
      <w:pPr>
        <w:pStyle w:val="A-Text11"/>
      </w:pPr>
      <w:r w:rsidRPr="00B72872">
        <w:t>V roku 2020 sa na Slovensku narodilo 56 650 živonarodených detí, čo je v porovnaní s rokom 2019 menej o 404 detí. Počet živonarodených klesá od roku 2017, čo znamená pokles o 1 319 detí. Najviac živonarodených detí malo trvalý pobyt v Prešovskom (9 997), Košickom (8 782) a Bratislavskom kraji (8 292), naopak najmenej detí sa narodilo matkám bývajúcim v Trenčianskom (5 170) a Trnavskom kraji (5 352). Po prepočte počtu živonarodených na 1 000 obyvateľov daného kraja bola hrubá miera živorodenosti vyššia ako celoslovenský priemer (10,4 ‰) v Bratislavskom (12,3 ‰), Prešovskom (12,1 ‰), Košickom (11,0 ‰) a Žilinskom kraji (10,5 ‰). Najnižšia hrubá miera živorodenosti sa opakovane potvrdila pre Nitriansky (8,7 ‰) a Trenčiansky kraj (8,9 ‰).</w:t>
      </w:r>
    </w:p>
    <w:p w14:paraId="4F98C485" w14:textId="450056C8" w:rsidR="006B3383" w:rsidRPr="00B72872" w:rsidRDefault="006B3383" w:rsidP="00CD66C0">
      <w:pPr>
        <w:pStyle w:val="A-Text11"/>
      </w:pPr>
      <w:r w:rsidRPr="00B72872">
        <w:t>Prirodzený prírastok/úbytok obyvateľstva SR (-2 439) v prepočte na 1 000 obyvateľov dosiahol hodnotu -0,5 ‰. V porovnaní s rokom 2019 ide o pokles o 1,2 bodu. Kladné hodnoty hrubej miery prirodzeného prírastku v rámci krajov pretrvali v Bratislavskom (2,7 ‰), Prešovskom (2,5 ‰) a Košickom kraji (0,7 ‰). Ostatné kraje zaznamenali prirodzený úbytok obyvateľstva, najvýraznejší bol v Nitrianskom (-3,8 ‰) a Trenčianskom kraji (-3,0 ‰).</w:t>
      </w:r>
    </w:p>
    <w:p w14:paraId="4F2B6EC6" w14:textId="77091C36" w:rsidR="00271F1B" w:rsidRPr="00B72872" w:rsidRDefault="00271F1B" w:rsidP="00CD66C0">
      <w:pPr>
        <w:pStyle w:val="A-Text11"/>
      </w:pPr>
      <w:r w:rsidRPr="00B72872">
        <w:t>Počet úmrtí v Slovenskej republike sa v období rokov 2011 až 2019 pohyboval v intervale s minimom 51 346 úmrtí v roku 2014 po maximum 54 293 úmrtí v roku 2018 s miernymi medziročnými zmenami (od -2,9 % do 4,8 %). V roku 2020 však aj v dôsledku infekcie ko</w:t>
      </w:r>
      <w:r w:rsidR="0088277F" w:rsidRPr="00B72872">
        <w:t xml:space="preserve">ronavírusom zomrelo v Slovenskej republike 59 089 osôb, čo je o 11 % viac (+ 5 855 úmrtí) ako v roku 2019 (53 234). Infekcia COVID-19 zapríčinila 4 004 úmrtí a podieľala sa tak 6,8 % </w:t>
      </w:r>
      <w:r w:rsidR="0088277F" w:rsidRPr="00B72872">
        <w:lastRenderedPageBreak/>
        <w:t>na celkovom počte úmrtí v roku 2020. Hrubá miera úmrtnosti (počet zomretých v prepočte na 1 000 obyvateľov) stúpla z 9,8 ‰ v roku 2019 na 10,8 ‰ v roku 2020, to predstavuje vzostup o 10,9 %. Hrubá miera úmrtnosti mužov (11,4 ‰) prevyšuje hrubú mieru úmrtnosti žien (10,3 ‰), avšak medziročný nárast v roku 2020 bol rovnaký u oboch pohlaví (o 10,9 %)</w:t>
      </w:r>
      <w:r w:rsidR="0098562B" w:rsidRPr="00B72872">
        <w:t>.</w:t>
      </w:r>
    </w:p>
    <w:p w14:paraId="282F344F" w14:textId="23A5FB20" w:rsidR="0098562B" w:rsidRPr="00B72872" w:rsidRDefault="0098562B" w:rsidP="00CD66C0">
      <w:pPr>
        <w:pStyle w:val="A-Text11"/>
      </w:pPr>
      <w:r w:rsidRPr="00B72872">
        <w:t>Najčastejšou príčinou smrti slovenskej populácie sú už dlhodobo choroby obehovej sústavy. Za nimi nasledovali nádorové ochorenia, infekcia COVID-19, choroby dýchacej sústavy, choroby tráviacej sústavy a vonkajšie príčiny úmrtnosti.</w:t>
      </w:r>
    </w:p>
    <w:p w14:paraId="2A2E7CD8" w14:textId="77777777" w:rsidR="00673F96" w:rsidRPr="00B72872" w:rsidRDefault="00673F96" w:rsidP="00673F96">
      <w:pPr>
        <w:pStyle w:val="A-Text11"/>
      </w:pPr>
      <w:r w:rsidRPr="00B72872">
        <w:t>Najvyšší počet hospitalizovaných podľa kraja trvalého pobytu pacienta bol v prepočte na počet obyvateľov daného kraja v Žilinskom (194,7/1 000), Trenčianskom (189,5/1 000) a v Prešovskom kraji (189,4/1 000). Najnižší bol v Bratislavskom (161,2/1 000) a Trnavskom kraji (161,7/1000).</w:t>
      </w:r>
    </w:p>
    <w:p w14:paraId="2E4D61A0" w14:textId="2D45EE76" w:rsidR="00703667" w:rsidRPr="00B72872" w:rsidRDefault="00703667" w:rsidP="00CD66C0">
      <w:pPr>
        <w:pStyle w:val="A-Text11"/>
      </w:pPr>
      <w:r w:rsidRPr="00B72872">
        <w:t>Choroby obehovej sústavy (CHOS) sú naďalej hlavnou príčinou smrti slovenskej populácie. V roku 2020 sa podieľali 46 % na celkovom počte úmrtí. Z dôvodu CHOS zomrelo 27 190 osôb, čo je o 1 970 osôb viac ako v roku 2019. U mužov tvorili úmrtia na CHOS podiel 41,0 % (12 486) a u žien 51,3 % (14 704) z celkového počtu zomretých v danom pohlaví. Hodnota hrubej miery úmrtnosti na CHOS u mužov (468,4 na 100 000 mužov) aj u žien (526,5 na 100 000 žien) v roku 2020 prerušila dlhodobo pozvoľne klesajúci trend a medziročne vzrástla o 7,7 %, rovnako u oboch pohlaví. Zo skupín diagnóz prevládali ischemické choroby srdca (15 393), cievne choroby mozgu (4 213), iné choroby srdca (3 516) aj choroby tepien, tepničiek a vlásočníc (2 573).</w:t>
      </w:r>
    </w:p>
    <w:p w14:paraId="3DBE9EB0" w14:textId="77777777" w:rsidR="008C0C3C" w:rsidRPr="00B72872" w:rsidRDefault="00547C13" w:rsidP="00CD66C0">
      <w:pPr>
        <w:pStyle w:val="A-Text11"/>
      </w:pPr>
      <w:r w:rsidRPr="00B72872">
        <w:t>Afektívne poruchy (dg. F30 – F39) tvorili 14,3 % hospitalizácií a týkali sa 1,7-násobne viac žien ako mužov (12,2/10 000 žien; 7,0/ 10 000 mužov). Odhliadnuc od údajov za rok 2020 ovplyvnenom pandémiou a pri porovnaní rokov 2016 a 2019 bol mierny rast počtu hospitalizácií v prepočte na počet obyvateľov daného pohlavia preukázaný najmä pri poruchách psychiky a správania zapríčinených užívaním ostatných psychotických látok F11 – F19 (u mužov o 10,4 %, u žien o 4,8 %), pri poruchách zapríčinených užívaním alkoholu F10 (u mužov o 1,5 %, u žien o 6,1 %) a pri organických duševných poruchách F00 – F09 (u mužov o 4,3 %, u žien o 4,8 %).</w:t>
      </w:r>
    </w:p>
    <w:p w14:paraId="1D99E711" w14:textId="72764193" w:rsidR="00CD66C0" w:rsidRPr="00B72872" w:rsidRDefault="00CD66C0" w:rsidP="00CD66C0">
      <w:pPr>
        <w:pStyle w:val="A-Text11"/>
      </w:pPr>
      <w:r w:rsidRPr="00B72872">
        <w:t>Z dostupných štatistických údajov vyplýva, že zdravotný stav obyvateľstva mesta Bratislavy nie je horší, ako je celoslovenský priemer, naopak v sledovaných ukazovateľoch sa javí ako lepší. A to aj napriek tomu, že ovzdušie na území Bratislavy je najviac znečisťované, pôsobia pozitívne niektoré vplyvy, ako sú vyššie vzdelanie a s ním aj racionálnejší prístup k spôsobu života (stravovanie, pohybová aktivita, spracovanie stresov a pod.).</w:t>
      </w:r>
    </w:p>
    <w:p w14:paraId="34423059" w14:textId="77777777" w:rsidR="00CD66C0" w:rsidRPr="00C33B02" w:rsidRDefault="00CD66C0" w:rsidP="00CD66C0">
      <w:pPr>
        <w:pStyle w:val="A-Text11"/>
      </w:pPr>
      <w:r w:rsidRPr="00C33B02">
        <w:t xml:space="preserve">Tak ako v celoštátnom meradle, aj na úrovni daného okresu sú najčastejšou príčinou smrti choroby obehovej sústavy a po nich nasledujú nádorové ochorenia. </w:t>
      </w:r>
    </w:p>
    <w:p w14:paraId="6A459082" w14:textId="358A3145" w:rsidR="00CD66C0" w:rsidRDefault="00CD66C0" w:rsidP="00CD66C0">
      <w:pPr>
        <w:pStyle w:val="A-Text11"/>
        <w:rPr>
          <w:lang w:eastAsia="sk-SK"/>
        </w:rPr>
      </w:pPr>
      <w:r w:rsidRPr="00C33B02">
        <w:t>Problémom veľkomesta je atraktivita pre okrajové skupiny populácie, ako sú osoby s rôznymi typmi závislostí, prostitúcie oboch pohlaví, bezdomovci a pod.. V štatistike ochorení sa tieto osoby uplatňujú v ukazovateľoch vybraných prenosných ochorení, ako sú HIV infekcia a chorí na AIDS</w:t>
      </w:r>
      <w:r w:rsidRPr="00C33B02">
        <w:rPr>
          <w:lang w:eastAsia="sk-SK"/>
        </w:rPr>
        <w:t>.</w:t>
      </w:r>
    </w:p>
    <w:p w14:paraId="47CBBC76" w14:textId="77777777" w:rsidR="004D2F0F" w:rsidRDefault="004D2F0F">
      <w:pPr>
        <w:widowControl/>
        <w:rPr>
          <w:rFonts w:ascii="Arial" w:hAnsi="Arial"/>
          <w:b/>
          <w:bCs/>
          <w:kern w:val="32"/>
          <w:sz w:val="32"/>
          <w:szCs w:val="32"/>
          <w:lang w:eastAsia="en-US"/>
        </w:rPr>
      </w:pPr>
      <w:bookmarkStart w:id="201" w:name="_Toc80536548"/>
      <w:bookmarkStart w:id="202" w:name="_Toc132078696"/>
      <w:bookmarkStart w:id="203" w:name="_Toc495992966"/>
      <w:r>
        <w:br w:type="page"/>
      </w:r>
    </w:p>
    <w:p w14:paraId="51E68712" w14:textId="41A3E66D" w:rsidR="00E65CA9" w:rsidRPr="002B71FE" w:rsidRDefault="00E65CA9" w:rsidP="006D764F">
      <w:pPr>
        <w:pStyle w:val="Nadpis1"/>
        <w:shd w:val="clear" w:color="auto" w:fill="auto"/>
        <w:spacing w:before="120" w:after="0"/>
        <w:ind w:left="720" w:hanging="720"/>
        <w:rPr>
          <w:szCs w:val="22"/>
          <w:lang w:val="sk-SK"/>
        </w:rPr>
      </w:pPr>
      <w:bookmarkStart w:id="204" w:name="_Toc93916831"/>
      <w:r w:rsidRPr="002B71FE">
        <w:rPr>
          <w:lang w:val="sk-SK"/>
        </w:rPr>
        <w:lastRenderedPageBreak/>
        <w:t>Základné údaje o predpokladaných vplyvoch činnosti na životné prostredie a možnostiach opatrení na ich zmiernenie.</w:t>
      </w:r>
      <w:bookmarkEnd w:id="201"/>
      <w:bookmarkEnd w:id="202"/>
      <w:bookmarkEnd w:id="203"/>
      <w:bookmarkEnd w:id="204"/>
    </w:p>
    <w:p w14:paraId="13D8AAB6" w14:textId="4CC21EFB" w:rsidR="00E65CA9" w:rsidRPr="002B71FE" w:rsidRDefault="00E65CA9" w:rsidP="006D764F">
      <w:pPr>
        <w:widowControl/>
        <w:spacing w:before="120"/>
        <w:jc w:val="both"/>
        <w:rPr>
          <w:rFonts w:ascii="Arial" w:hAnsi="Arial" w:cs="Arial"/>
          <w:b/>
          <w:bCs/>
          <w:sz w:val="24"/>
          <w:szCs w:val="22"/>
          <w:lang w:eastAsia="en-US"/>
        </w:rPr>
      </w:pPr>
      <w:r w:rsidRPr="002B71FE">
        <w:rPr>
          <w:rFonts w:ascii="Arial" w:hAnsi="Arial" w:cs="Arial"/>
          <w:b/>
          <w:bCs/>
          <w:sz w:val="24"/>
          <w:szCs w:val="22"/>
          <w:lang w:eastAsia="en-US"/>
        </w:rPr>
        <w:t xml:space="preserve">Hodnotené sú varianty:  </w:t>
      </w:r>
    </w:p>
    <w:p w14:paraId="7A19D48A" w14:textId="77777777" w:rsidR="00E65CA9" w:rsidRPr="002B71FE" w:rsidRDefault="00E65CA9" w:rsidP="00DE561A">
      <w:pPr>
        <w:widowControl/>
        <w:numPr>
          <w:ilvl w:val="2"/>
          <w:numId w:val="4"/>
        </w:numPr>
        <w:tabs>
          <w:tab w:val="clear" w:pos="2160"/>
        </w:tabs>
        <w:spacing w:before="120"/>
        <w:ind w:left="567" w:firstLine="0"/>
        <w:jc w:val="both"/>
        <w:rPr>
          <w:rFonts w:ascii="Arial" w:hAnsi="Arial" w:cs="Arial"/>
          <w:b/>
          <w:bCs/>
          <w:sz w:val="24"/>
          <w:szCs w:val="28"/>
          <w:lang w:eastAsia="en-US"/>
        </w:rPr>
      </w:pPr>
      <w:r w:rsidRPr="002B71FE">
        <w:rPr>
          <w:rFonts w:ascii="Arial" w:hAnsi="Arial" w:cs="Arial"/>
          <w:b/>
          <w:bCs/>
          <w:sz w:val="24"/>
          <w:szCs w:val="28"/>
          <w:lang w:eastAsia="en-US"/>
        </w:rPr>
        <w:t xml:space="preserve">  Nulový variant  </w:t>
      </w:r>
    </w:p>
    <w:p w14:paraId="4BFBBCD3" w14:textId="77777777" w:rsidR="00E65CA9" w:rsidRPr="002B71FE" w:rsidRDefault="00E65CA9" w:rsidP="00DE561A">
      <w:pPr>
        <w:widowControl/>
        <w:numPr>
          <w:ilvl w:val="2"/>
          <w:numId w:val="4"/>
        </w:numPr>
        <w:tabs>
          <w:tab w:val="clear" w:pos="2160"/>
        </w:tabs>
        <w:ind w:left="709" w:hanging="142"/>
        <w:jc w:val="both"/>
        <w:rPr>
          <w:rFonts w:ascii="Arial" w:hAnsi="Arial" w:cs="Arial"/>
          <w:b/>
          <w:bCs/>
          <w:sz w:val="24"/>
          <w:szCs w:val="22"/>
          <w:lang w:eastAsia="en-US"/>
        </w:rPr>
      </w:pPr>
      <w:r w:rsidRPr="002B71FE">
        <w:rPr>
          <w:rFonts w:ascii="Arial" w:hAnsi="Arial" w:cs="Arial"/>
          <w:b/>
          <w:bCs/>
          <w:sz w:val="24"/>
          <w:szCs w:val="22"/>
          <w:lang w:eastAsia="en-US"/>
        </w:rPr>
        <w:t xml:space="preserve">  Navrhované varianty </w:t>
      </w:r>
    </w:p>
    <w:p w14:paraId="1387CCE3" w14:textId="0D9E8B79" w:rsidR="00E65CA9" w:rsidRPr="002B71FE" w:rsidRDefault="00E65CA9" w:rsidP="00FE0966">
      <w:pPr>
        <w:pStyle w:val="A-Text11"/>
        <w:rPr>
          <w:b/>
          <w:bCs/>
        </w:rPr>
      </w:pPr>
      <w:bookmarkStart w:id="205" w:name="_Toc80536550"/>
      <w:bookmarkStart w:id="206" w:name="_Toc132078697"/>
      <w:r w:rsidRPr="002B71FE">
        <w:rPr>
          <w:b/>
          <w:bCs/>
        </w:rPr>
        <w:t>Nulový variant</w:t>
      </w:r>
    </w:p>
    <w:p w14:paraId="29826BB0" w14:textId="1F48125D" w:rsidR="00D67B78" w:rsidRPr="002B71FE" w:rsidRDefault="00D86FE4" w:rsidP="00FE0966">
      <w:pPr>
        <w:pStyle w:val="A-Text11"/>
      </w:pPr>
      <w:r>
        <w:t>„</w:t>
      </w:r>
      <w:r w:rsidR="00CB27DD">
        <w:t>N</w:t>
      </w:r>
      <w:r w:rsidR="00D67B78" w:rsidRPr="002B71FE">
        <w:t xml:space="preserve">ulový variant“ </w:t>
      </w:r>
      <w:r>
        <w:t xml:space="preserve">je </w:t>
      </w:r>
      <w:r w:rsidR="00D67B78" w:rsidRPr="002B71FE">
        <w:t xml:space="preserve">variant stavu, ktorý by nastal, ak by sa navrhovaná činnosť nerealizovala. </w:t>
      </w:r>
    </w:p>
    <w:p w14:paraId="42224DE2" w14:textId="059FFB2B" w:rsidR="00FE0966" w:rsidRPr="002B71FE" w:rsidRDefault="00ED42EA" w:rsidP="00CF50C8">
      <w:pPr>
        <w:pStyle w:val="A-Text11"/>
      </w:pPr>
      <w:r w:rsidRPr="002B71FE">
        <w:t>Keďže záujmové územie sa nachádza v zastavanom území obce, v</w:t>
      </w:r>
      <w:r w:rsidR="00F154E3" w:rsidRPr="002B71FE">
        <w:t xml:space="preserve"> prípade nulového variantu sa dá predpokladať </w:t>
      </w:r>
      <w:r w:rsidRPr="002B71FE">
        <w:t>viacero scenárov</w:t>
      </w:r>
      <w:r w:rsidR="00CF50C8" w:rsidRPr="002B71FE">
        <w:t xml:space="preserve">. Vlastníkom parciel potenciálneho nulového variantu navrhovanej činnosti je podľa katastra nehnuteľností </w:t>
      </w:r>
      <w:r w:rsidR="00FE0966" w:rsidRPr="002B71FE">
        <w:t>Hlavné mesto SR Bratislava</w:t>
      </w:r>
      <w:r w:rsidR="00CF50C8" w:rsidRPr="002B71FE">
        <w:t xml:space="preserve">. Do úvahy z hľadiska vlastníka prichádza predaj alebo ponechanie si parciel. Pri predaji je možné z hľadiska </w:t>
      </w:r>
      <w:r w:rsidR="00A90D63" w:rsidRPr="002B71FE">
        <w:t xml:space="preserve">nového vlastníka očakávať investičný zámer, ktorým sa bude realizovať ďalšia </w:t>
      </w:r>
      <w:r w:rsidR="002F7F41" w:rsidRPr="002B71FE">
        <w:t xml:space="preserve">obdobná </w:t>
      </w:r>
      <w:r w:rsidR="00A90D63" w:rsidRPr="002B71FE">
        <w:t xml:space="preserve">navrhovaná činnosť. Pri ponechaní si parciel je možné predpokladať </w:t>
      </w:r>
      <w:r w:rsidR="0076686B">
        <w:t xml:space="preserve">dočasné </w:t>
      </w:r>
      <w:r w:rsidR="00A90D63" w:rsidRPr="002B71FE">
        <w:t>využitie územia súčasným spôsobom, opísaným v kapitole II.8.1.</w:t>
      </w:r>
      <w:r w:rsidR="00C75802">
        <w:t xml:space="preserve"> </w:t>
      </w:r>
      <w:r w:rsidR="00C511A4">
        <w:t xml:space="preserve">Vzhľadom na určenie územným plánom je však možné aj využitie </w:t>
      </w:r>
      <w:r w:rsidR="002F791D">
        <w:t xml:space="preserve">realizáciou navrhovanej činnosti obdobnej ako je predkladaný návrh. </w:t>
      </w:r>
      <w:r w:rsidR="00C511A4">
        <w:t xml:space="preserve"> </w:t>
      </w:r>
    </w:p>
    <w:p w14:paraId="364F2D8F" w14:textId="64F0B23F" w:rsidR="00E65CA9" w:rsidRPr="002600D1" w:rsidRDefault="00E65CA9" w:rsidP="00ED111B">
      <w:pPr>
        <w:pStyle w:val="A-Text11"/>
        <w:rPr>
          <w:b/>
          <w:bCs/>
        </w:rPr>
      </w:pPr>
      <w:r w:rsidRPr="002600D1">
        <w:rPr>
          <w:b/>
          <w:bCs/>
        </w:rPr>
        <w:t>Navrhovan</w:t>
      </w:r>
      <w:r w:rsidR="003A5422" w:rsidRPr="002600D1">
        <w:rPr>
          <w:b/>
          <w:bCs/>
        </w:rPr>
        <w:t>é</w:t>
      </w:r>
      <w:r w:rsidRPr="002600D1">
        <w:rPr>
          <w:b/>
          <w:bCs/>
        </w:rPr>
        <w:t xml:space="preserve">  variant</w:t>
      </w:r>
      <w:r w:rsidR="003A5422" w:rsidRPr="002600D1">
        <w:rPr>
          <w:b/>
          <w:bCs/>
        </w:rPr>
        <w:t>y</w:t>
      </w:r>
      <w:r w:rsidRPr="002600D1">
        <w:rPr>
          <w:b/>
          <w:bCs/>
        </w:rPr>
        <w:t xml:space="preserve"> </w:t>
      </w:r>
    </w:p>
    <w:p w14:paraId="03F48F4C" w14:textId="0E38BDB7" w:rsidR="00ED111B" w:rsidRPr="002600D1" w:rsidRDefault="00ED111B" w:rsidP="00ED111B">
      <w:pPr>
        <w:pStyle w:val="A-Text11"/>
      </w:pPr>
      <w:r w:rsidRPr="002600D1">
        <w:rPr>
          <w:lang w:eastAsia="ar-SA"/>
        </w:rPr>
        <w:t xml:space="preserve">Navrhovanou činnosťou je </w:t>
      </w:r>
      <w:r w:rsidRPr="002600D1">
        <w:t>výstavb</w:t>
      </w:r>
      <w:r w:rsidR="002600D1" w:rsidRPr="002600D1">
        <w:t xml:space="preserve">a a prevádzka </w:t>
      </w:r>
      <w:r w:rsidRPr="002600D1">
        <w:t xml:space="preserve"> bytového domu. Výstavba je navrhovaná </w:t>
      </w:r>
      <w:r w:rsidRPr="002600D1">
        <w:rPr>
          <w:lang w:eastAsia="ar-SA"/>
        </w:rPr>
        <w:t xml:space="preserve">v Bratislavskom kraji, </w:t>
      </w:r>
      <w:r w:rsidRPr="002600D1">
        <w:t xml:space="preserve">na území hlavného mesta SR Bratislavy, v okrese Bratislava II, v mestskej časti Bratislava – Ružinov. </w:t>
      </w:r>
    </w:p>
    <w:p w14:paraId="582A0D61" w14:textId="77777777" w:rsidR="00ED111B" w:rsidRPr="002600D1" w:rsidRDefault="00ED111B" w:rsidP="00ED111B">
      <w:pPr>
        <w:pStyle w:val="A-Text11"/>
      </w:pPr>
      <w:r w:rsidRPr="002600D1">
        <w:t xml:space="preserve">Navrhovaná činnosť je zaradená vo väzbe na prílohu č. 8 k zákonu č. 24/2006 Z.z. o posudzovaní vplyvov na životné prostredie do  kapitoly  č. 2, položka č. 14, kapitola č. 9,  položky  16a) a 16b). Vzhľadom na prekročenie prahovej hodnoty  počtu  parkovacích stojísk v položke  9/16b) v časti B  je potrebné absolvovať zisťovacie konanie. </w:t>
      </w:r>
    </w:p>
    <w:p w14:paraId="605039F9" w14:textId="318C17D5" w:rsidR="00ED111B" w:rsidRPr="00143382" w:rsidRDefault="00ED111B" w:rsidP="00ED111B">
      <w:pPr>
        <w:pStyle w:val="A-Text11"/>
        <w:rPr>
          <w:lang w:eastAsia="ar-SA"/>
        </w:rPr>
      </w:pPr>
      <w:r w:rsidRPr="002600D1">
        <w:rPr>
          <w:lang w:eastAsia="ar-SA"/>
        </w:rPr>
        <w:t xml:space="preserve">Predkladaný zámer podáva základnú </w:t>
      </w:r>
      <w:r w:rsidRPr="00143382">
        <w:rPr>
          <w:lang w:eastAsia="ar-SA"/>
        </w:rPr>
        <w:t xml:space="preserve">charakteristiku navrhovanej činnosti, základné údaje o súčasnom stave životného prostredia, základné údaje o predpokladaných vplyvoch na životné prostredie. Obsahuje tiež prvotné porovnanie variantov a návrh opatrení na vylúčenie alebo zníženie možných negatívnych vplyvov. Predpokladané vplyvy </w:t>
      </w:r>
      <w:r w:rsidR="00143382" w:rsidRPr="00143382">
        <w:rPr>
          <w:lang w:eastAsia="ar-SA"/>
        </w:rPr>
        <w:t>s</w:t>
      </w:r>
      <w:r w:rsidRPr="00143382">
        <w:rPr>
          <w:lang w:eastAsia="ar-SA"/>
        </w:rPr>
        <w:t xml:space="preserve">ú overené expertíznymi posudkami.   </w:t>
      </w:r>
      <w:r w:rsidR="0076686B">
        <w:rPr>
          <w:lang w:eastAsia="ar-SA"/>
        </w:rPr>
        <w:t xml:space="preserve">V zámere sú uvedené všetky </w:t>
      </w:r>
      <w:r w:rsidR="0044250E">
        <w:rPr>
          <w:lang w:eastAsia="ar-SA"/>
        </w:rPr>
        <w:t xml:space="preserve">dostupné informácie vo väzbe na súčasný stav prípravy a rozpracovanosti projektovej dokumentácie. </w:t>
      </w:r>
      <w:r w:rsidRPr="00143382">
        <w:rPr>
          <w:lang w:eastAsia="ar-SA"/>
        </w:rPr>
        <w:t xml:space="preserve"> </w:t>
      </w:r>
    </w:p>
    <w:p w14:paraId="00CCE957" w14:textId="77777777" w:rsidR="00ED111B" w:rsidRPr="00EB1D26" w:rsidRDefault="00ED111B" w:rsidP="00ED111B">
      <w:pPr>
        <w:pStyle w:val="A-Text11"/>
        <w:rPr>
          <w:lang w:eastAsia="ar-SA"/>
        </w:rPr>
      </w:pPr>
      <w:r w:rsidRPr="00EB1D26">
        <w:rPr>
          <w:lang w:eastAsia="ar-SA"/>
        </w:rPr>
        <w:t xml:space="preserve">Zámer je predkladaný v dvoch variantoch odlišujúcich sa v technologickom vybavení budovy, konkrétne s druhom záložného zdroja v prípade výpadku energií. Navrhované varianty sú porovnávané s nulovým variantom. </w:t>
      </w:r>
    </w:p>
    <w:p w14:paraId="25C54443" w14:textId="77777777" w:rsidR="007B13AE" w:rsidRPr="00EB1D26" w:rsidRDefault="007B13AE" w:rsidP="00452D36">
      <w:pPr>
        <w:pStyle w:val="A-Text11"/>
        <w:rPr>
          <w:b/>
          <w:bCs/>
        </w:rPr>
      </w:pPr>
      <w:r w:rsidRPr="00EB1D26">
        <w:rPr>
          <w:b/>
          <w:bCs/>
        </w:rPr>
        <w:t>Variant č. 1</w:t>
      </w:r>
    </w:p>
    <w:p w14:paraId="1BD8884C" w14:textId="75A866D5" w:rsidR="007B13AE" w:rsidRPr="00EB1D26" w:rsidRDefault="00452D36" w:rsidP="00452D36">
      <w:pPr>
        <w:pStyle w:val="A-Text11"/>
      </w:pPr>
      <w:r w:rsidRPr="00EB1D26">
        <w:t>O</w:t>
      </w:r>
      <w:r w:rsidR="007B13AE" w:rsidRPr="00EB1D26">
        <w:t xml:space="preserve">bjekt bude vybavený vlastným dieselagregátom (motor-generátor). </w:t>
      </w:r>
    </w:p>
    <w:p w14:paraId="5CF189CC" w14:textId="77777777" w:rsidR="007B13AE" w:rsidRPr="00EB1D26" w:rsidRDefault="007B13AE" w:rsidP="00452D36">
      <w:pPr>
        <w:pStyle w:val="A-Text11"/>
        <w:rPr>
          <w:rFonts w:eastAsia="Calibri"/>
          <w:b/>
          <w:bCs/>
        </w:rPr>
      </w:pPr>
      <w:r w:rsidRPr="00EB1D26">
        <w:rPr>
          <w:b/>
          <w:bCs/>
        </w:rPr>
        <w:t>Variant č. 2</w:t>
      </w:r>
    </w:p>
    <w:p w14:paraId="39404E2C" w14:textId="743896BC" w:rsidR="007B13AE" w:rsidRPr="00EB1D26" w:rsidRDefault="00452D36" w:rsidP="00452D36">
      <w:pPr>
        <w:pStyle w:val="A-Text11"/>
      </w:pPr>
      <w:r w:rsidRPr="00EB1D26">
        <w:t>I</w:t>
      </w:r>
      <w:r w:rsidR="007B13AE" w:rsidRPr="00EB1D26">
        <w:t>nštalovaný bude núdzový zdroj elektrickej energie UPS.</w:t>
      </w:r>
    </w:p>
    <w:p w14:paraId="443074A2" w14:textId="670DC628" w:rsidR="00AB76CB" w:rsidRPr="00EB1D26" w:rsidRDefault="007B13AE" w:rsidP="00452D36">
      <w:pPr>
        <w:pStyle w:val="A-Text11"/>
      </w:pPr>
      <w:r w:rsidRPr="00EB1D26">
        <w:lastRenderedPageBreak/>
        <w:t xml:space="preserve">Urbanistická a architektonická koncepcia </w:t>
      </w:r>
      <w:r w:rsidR="00EB1D26" w:rsidRPr="00EB1D26">
        <w:t>bytového domu</w:t>
      </w:r>
      <w:r w:rsidRPr="00EB1D26">
        <w:t xml:space="preserve"> je v obidvoch navrhovaných  variantoch </w:t>
      </w:r>
      <w:r w:rsidR="00EB1D26">
        <w:t xml:space="preserve"> v zásade </w:t>
      </w:r>
      <w:r w:rsidRPr="00EB1D26">
        <w:t>rovnaká.  </w:t>
      </w:r>
    </w:p>
    <w:p w14:paraId="37B65622" w14:textId="77777777" w:rsidR="00ED111B" w:rsidRPr="002F791D" w:rsidRDefault="007B13AE" w:rsidP="003113C5">
      <w:pPr>
        <w:pStyle w:val="A-Text11"/>
      </w:pPr>
      <w:r w:rsidRPr="002F791D">
        <w:t>Urbanistická a architektonická koncepcia komplexu pozemných stavieb je v obidvoch navrhovaných  variantoch rovnaká.  </w:t>
      </w:r>
    </w:p>
    <w:p w14:paraId="42E26870" w14:textId="77777777" w:rsidR="00E65CA9" w:rsidRPr="004A7717" w:rsidRDefault="00E65CA9" w:rsidP="008C6F96">
      <w:pPr>
        <w:pStyle w:val="Nadpis2"/>
      </w:pPr>
      <w:bookmarkStart w:id="207" w:name="_Toc495992967"/>
      <w:r w:rsidRPr="004A7717">
        <w:t xml:space="preserve"> </w:t>
      </w:r>
      <w:bookmarkStart w:id="208" w:name="_Toc93916832"/>
      <w:r w:rsidRPr="004A7717">
        <w:t>Požiadavky na vstupy</w:t>
      </w:r>
      <w:bookmarkEnd w:id="205"/>
      <w:bookmarkEnd w:id="206"/>
      <w:bookmarkEnd w:id="207"/>
      <w:bookmarkEnd w:id="208"/>
      <w:r w:rsidRPr="004A7717">
        <w:t xml:space="preserve"> </w:t>
      </w:r>
    </w:p>
    <w:p w14:paraId="02CD6057" w14:textId="7D840D12" w:rsidR="00E65CA9" w:rsidRPr="004A7717" w:rsidRDefault="00E65CA9" w:rsidP="008C6F96">
      <w:pPr>
        <w:pStyle w:val="3rovenadpis"/>
      </w:pPr>
      <w:bookmarkStart w:id="209" w:name="_Toc132078698"/>
      <w:bookmarkStart w:id="210" w:name="_Toc395894087"/>
      <w:bookmarkStart w:id="211" w:name="_Toc403849679"/>
      <w:bookmarkStart w:id="212" w:name="_Toc417141520"/>
      <w:bookmarkStart w:id="213" w:name="_Toc417142356"/>
      <w:bookmarkStart w:id="214" w:name="_Toc495992968"/>
      <w:bookmarkStart w:id="215" w:name="_Toc93916833"/>
      <w:r w:rsidRPr="004A7717">
        <w:t>Záber pôdy</w:t>
      </w:r>
      <w:bookmarkEnd w:id="209"/>
      <w:bookmarkEnd w:id="210"/>
      <w:bookmarkEnd w:id="211"/>
      <w:bookmarkEnd w:id="212"/>
      <w:bookmarkEnd w:id="213"/>
      <w:bookmarkEnd w:id="214"/>
      <w:bookmarkEnd w:id="215"/>
    </w:p>
    <w:p w14:paraId="1BF5A04E" w14:textId="20FF6947" w:rsidR="00E65CA9" w:rsidRPr="001B1D65" w:rsidRDefault="00E65CA9" w:rsidP="00271130">
      <w:pPr>
        <w:pStyle w:val="A-Text11"/>
      </w:pPr>
      <w:bookmarkStart w:id="216" w:name="_Toc132078699"/>
      <w:r w:rsidRPr="006812FE">
        <w:t xml:space="preserve">Pozemky v dotknutom území </w:t>
      </w:r>
      <w:r w:rsidR="001B1D65" w:rsidRPr="006812FE">
        <w:t>s</w:t>
      </w:r>
      <w:r w:rsidR="009C443C" w:rsidRPr="006812FE">
        <w:t>ú</w:t>
      </w:r>
      <w:r w:rsidRPr="006812FE">
        <w:t xml:space="preserve"> charakterizované ako ostatné plochy alebo zastavané plochy a nádvoria.</w:t>
      </w:r>
      <w:r w:rsidRPr="001B1D65">
        <w:t xml:space="preserve"> </w:t>
      </w:r>
    </w:p>
    <w:p w14:paraId="39139ABE" w14:textId="741B1712" w:rsidR="00E65CA9" w:rsidRPr="001B1D65" w:rsidRDefault="00E65CA9" w:rsidP="00271130">
      <w:pPr>
        <w:pStyle w:val="A-Text11"/>
      </w:pPr>
      <w:r w:rsidRPr="001B1D65">
        <w:t>Pre realizáciu navrhovanej činnosti teda nebude potrebný záber poľnohospodárskej pôdy.  Nebude potrebný  ani záber  lesných pozemkov.</w:t>
      </w:r>
    </w:p>
    <w:p w14:paraId="402443AA" w14:textId="77777777" w:rsidR="00E65CA9" w:rsidRPr="004A7717" w:rsidRDefault="00E65CA9" w:rsidP="008C6F96">
      <w:pPr>
        <w:pStyle w:val="3rovenadpis"/>
      </w:pPr>
      <w:bookmarkStart w:id="217" w:name="_Toc395894088"/>
      <w:bookmarkStart w:id="218" w:name="_Toc403849680"/>
      <w:bookmarkStart w:id="219" w:name="_Toc417141521"/>
      <w:bookmarkStart w:id="220" w:name="_Toc417142357"/>
      <w:bookmarkStart w:id="221" w:name="_Toc495992969"/>
      <w:bookmarkStart w:id="222" w:name="_Toc93916834"/>
      <w:r w:rsidRPr="004A7717">
        <w:t>Materiálové vstupy</w:t>
      </w:r>
      <w:bookmarkEnd w:id="217"/>
      <w:bookmarkEnd w:id="218"/>
      <w:bookmarkEnd w:id="219"/>
      <w:bookmarkEnd w:id="220"/>
      <w:bookmarkEnd w:id="221"/>
      <w:bookmarkEnd w:id="222"/>
    </w:p>
    <w:p w14:paraId="4A44A607" w14:textId="77777777" w:rsidR="00E65CA9" w:rsidRPr="001B1D65" w:rsidRDefault="00E65CA9" w:rsidP="007A29B6">
      <w:pPr>
        <w:pStyle w:val="A-Text11"/>
      </w:pPr>
      <w:r w:rsidRPr="001B1D65">
        <w:t xml:space="preserve">Pre výstavbu objektov bude potrebné zabezpečiť stavebný materiál rôzneho druhu (kamenivo, štrk, piesok, cement, betónové dlažby, betónové konštrukčné prvky, keramické výrobky, železo, strešné krytiny, izolácie, drevo, plastové výrobky, sklo, elektrické vedenia    a káble a iné stavebné hmoty a materiály). </w:t>
      </w:r>
    </w:p>
    <w:p w14:paraId="46A22925" w14:textId="77777777" w:rsidR="00E65CA9" w:rsidRPr="001B1D65" w:rsidRDefault="00E65CA9" w:rsidP="007A29B6">
      <w:pPr>
        <w:pStyle w:val="A-Text11"/>
      </w:pPr>
      <w:r w:rsidRPr="001B1D65">
        <w:t>Zdrojmi týchto materiálov budú štandardné ťažobné a iné dodávateľské organizácie, resp. pôjde o obchodné výrobky zo zdrojov mimo posudzovaného územia, ktorých prísun si zabezpečí samotná dodávateľská organizácia.</w:t>
      </w:r>
    </w:p>
    <w:p w14:paraId="1BC254B1" w14:textId="03B342B1" w:rsidR="001B1D65" w:rsidRPr="001B1D65" w:rsidRDefault="00E65CA9" w:rsidP="007A29B6">
      <w:pPr>
        <w:pStyle w:val="A-Text11"/>
      </w:pPr>
      <w:r w:rsidRPr="001B1D65">
        <w:t>Výstavba navrhovaných objektov bude riešená prevažne domácimi kapacitami a materiálmi nachádzajúcimi sa na domácom trhu.</w:t>
      </w:r>
      <w:r w:rsidR="00426751">
        <w:t xml:space="preserve"> </w:t>
      </w:r>
      <w:r w:rsidR="001B1D65">
        <w:t xml:space="preserve">Podrobnejšie </w:t>
      </w:r>
      <w:r w:rsidR="001562CB">
        <w:t>vi</w:t>
      </w:r>
      <w:r w:rsidR="00426751">
        <w:t>ď</w:t>
      </w:r>
      <w:r w:rsidR="001562CB">
        <w:t xml:space="preserve"> kapitol</w:t>
      </w:r>
      <w:r w:rsidR="008609BB">
        <w:t>y</w:t>
      </w:r>
      <w:r w:rsidR="001562CB">
        <w:t xml:space="preserve"> II.8.2</w:t>
      </w:r>
      <w:r w:rsidR="008609BB">
        <w:t xml:space="preserve"> a II.8.3</w:t>
      </w:r>
      <w:r w:rsidR="001562CB">
        <w:t>.</w:t>
      </w:r>
    </w:p>
    <w:p w14:paraId="4653D319" w14:textId="378EC3A2" w:rsidR="00E65CA9" w:rsidRPr="004A7717" w:rsidRDefault="00E65CA9" w:rsidP="008C6F96">
      <w:pPr>
        <w:pStyle w:val="3rovenadpis"/>
      </w:pPr>
      <w:bookmarkStart w:id="223" w:name="_Toc395894089"/>
      <w:bookmarkStart w:id="224" w:name="_Toc403849681"/>
      <w:bookmarkStart w:id="225" w:name="_Toc417141522"/>
      <w:bookmarkStart w:id="226" w:name="_Toc417142358"/>
      <w:bookmarkStart w:id="227" w:name="_Toc495992970"/>
      <w:bookmarkStart w:id="228" w:name="_Toc93916835"/>
      <w:r w:rsidRPr="004A7717">
        <w:t>Prevádzková spotreba médií</w:t>
      </w:r>
      <w:bookmarkEnd w:id="216"/>
      <w:bookmarkEnd w:id="223"/>
      <w:bookmarkEnd w:id="224"/>
      <w:bookmarkEnd w:id="225"/>
      <w:bookmarkEnd w:id="226"/>
      <w:bookmarkEnd w:id="227"/>
      <w:bookmarkEnd w:id="228"/>
    </w:p>
    <w:p w14:paraId="18D64F82" w14:textId="77777777" w:rsidR="0010560A" w:rsidRPr="002764C2" w:rsidRDefault="0010560A" w:rsidP="00123CF1">
      <w:pPr>
        <w:spacing w:before="120"/>
        <w:rPr>
          <w:rFonts w:ascii="Arial" w:hAnsi="Arial" w:cs="Arial"/>
          <w:b/>
          <w:bCs/>
          <w:sz w:val="22"/>
          <w:szCs w:val="22"/>
        </w:rPr>
      </w:pPr>
      <w:bookmarkStart w:id="229" w:name="_Toc132078704"/>
      <w:bookmarkStart w:id="230" w:name="_Toc186207614"/>
      <w:bookmarkStart w:id="231" w:name="_Toc186207782"/>
      <w:r w:rsidRPr="002764C2">
        <w:rPr>
          <w:rFonts w:ascii="Arial" w:hAnsi="Arial" w:cs="Arial"/>
          <w:b/>
          <w:bCs/>
          <w:sz w:val="22"/>
          <w:szCs w:val="22"/>
        </w:rPr>
        <w:t>Nulový variant</w:t>
      </w:r>
    </w:p>
    <w:p w14:paraId="52E5EA5F" w14:textId="6A1B5153" w:rsidR="00495E03" w:rsidRDefault="0010560A" w:rsidP="007A29B6">
      <w:pPr>
        <w:pStyle w:val="A-Text11"/>
      </w:pPr>
      <w:r w:rsidRPr="007452D0">
        <w:t xml:space="preserve">V súčasnosti sú </w:t>
      </w:r>
      <w:r w:rsidR="007452D0" w:rsidRPr="007452D0">
        <w:t>v</w:t>
      </w:r>
      <w:r w:rsidRPr="007452D0">
        <w:t xml:space="preserve"> lokalite objekty, pre ktoré</w:t>
      </w:r>
      <w:r w:rsidR="00EA4D14" w:rsidRPr="007452D0">
        <w:t xml:space="preserve"> nie</w:t>
      </w:r>
      <w:r w:rsidRPr="007452D0">
        <w:t xml:space="preserve"> je potrebné zabezpečiť  energetické alebo materiálové vstupy</w:t>
      </w:r>
      <w:r w:rsidR="005C36BF" w:rsidRPr="007452D0">
        <w:t>.</w:t>
      </w:r>
      <w:r w:rsidR="00495E03">
        <w:t xml:space="preserve"> </w:t>
      </w:r>
    </w:p>
    <w:p w14:paraId="0C9C20F7" w14:textId="77777777" w:rsidR="003F2A0E" w:rsidRPr="002B71FE" w:rsidRDefault="003F2A0E" w:rsidP="003F2A0E">
      <w:pPr>
        <w:pStyle w:val="A-Text11"/>
      </w:pPr>
      <w:r>
        <w:t>„N</w:t>
      </w:r>
      <w:r w:rsidRPr="002B71FE">
        <w:t xml:space="preserve">ulový variant“ </w:t>
      </w:r>
      <w:r>
        <w:t xml:space="preserve">je </w:t>
      </w:r>
      <w:r w:rsidRPr="002B71FE">
        <w:t xml:space="preserve">variant stavu, ktorý by nastal, ak by sa navrhovaná činnosť nerealizovala. </w:t>
      </w:r>
    </w:p>
    <w:p w14:paraId="6988026D" w14:textId="4B2483ED" w:rsidR="0010560A" w:rsidRPr="002764C2" w:rsidRDefault="0010560A" w:rsidP="007A29B6">
      <w:pPr>
        <w:pStyle w:val="A-Text11"/>
      </w:pPr>
      <w:r w:rsidRPr="002764C2">
        <w:t xml:space="preserve">V prípade nulového variantu je však reálny predpoklad, že by tento stav nepretrvával, ale časom by bol nahradený výstavbou nových objektov, teda porovnateľnou navrhovanou činnosťou.  </w:t>
      </w:r>
    </w:p>
    <w:p w14:paraId="21D20576" w14:textId="77777777" w:rsidR="0010560A" w:rsidRPr="002764C2" w:rsidRDefault="0010560A" w:rsidP="0010560A">
      <w:pPr>
        <w:spacing w:before="120"/>
        <w:rPr>
          <w:rFonts w:ascii="Arial" w:hAnsi="Arial" w:cs="Arial"/>
          <w:b/>
          <w:bCs/>
          <w:sz w:val="22"/>
          <w:szCs w:val="22"/>
        </w:rPr>
      </w:pPr>
      <w:r w:rsidRPr="002764C2">
        <w:rPr>
          <w:rFonts w:ascii="Arial" w:hAnsi="Arial" w:cs="Arial"/>
          <w:b/>
          <w:bCs/>
          <w:sz w:val="22"/>
          <w:szCs w:val="22"/>
        </w:rPr>
        <w:t>Navrhované varianty</w:t>
      </w:r>
    </w:p>
    <w:p w14:paraId="11284EFF" w14:textId="77777777" w:rsidR="0010560A" w:rsidRPr="00753B07" w:rsidRDefault="0010560A" w:rsidP="001108E6">
      <w:pPr>
        <w:spacing w:before="120"/>
        <w:rPr>
          <w:rFonts w:ascii="Arial" w:hAnsi="Arial" w:cs="Arial"/>
          <w:b/>
          <w:bCs/>
          <w:i/>
          <w:snapToGrid w:val="0"/>
          <w:sz w:val="22"/>
          <w:szCs w:val="22"/>
        </w:rPr>
      </w:pPr>
      <w:r w:rsidRPr="00753B07">
        <w:rPr>
          <w:rFonts w:ascii="Arial" w:hAnsi="Arial" w:cs="Arial"/>
          <w:b/>
          <w:bCs/>
          <w:i/>
          <w:snapToGrid w:val="0"/>
          <w:sz w:val="22"/>
          <w:szCs w:val="22"/>
        </w:rPr>
        <w:t xml:space="preserve">V etape výstavby </w:t>
      </w:r>
    </w:p>
    <w:p w14:paraId="49E54743" w14:textId="47A3D23A" w:rsidR="000E6F63" w:rsidRPr="002764C2" w:rsidRDefault="000E6F63" w:rsidP="00000D8B">
      <w:pPr>
        <w:spacing w:before="120"/>
        <w:ind w:firstLine="426"/>
        <w:jc w:val="both"/>
        <w:rPr>
          <w:rFonts w:ascii="Arial" w:hAnsi="Arial" w:cs="Arial"/>
          <w:i/>
          <w:snapToGrid w:val="0"/>
          <w:sz w:val="22"/>
          <w:szCs w:val="22"/>
        </w:rPr>
      </w:pPr>
      <w:r w:rsidRPr="002764C2">
        <w:rPr>
          <w:rFonts w:ascii="Arial" w:hAnsi="Arial" w:cs="Arial"/>
          <w:i/>
          <w:snapToGrid w:val="0"/>
          <w:sz w:val="22"/>
          <w:szCs w:val="22"/>
        </w:rPr>
        <w:t>Oplotenie navrhovaného staveniska</w:t>
      </w:r>
    </w:p>
    <w:p w14:paraId="7BEB9EFE" w14:textId="686251A3" w:rsidR="000E6F63" w:rsidRPr="002764C2" w:rsidRDefault="000E6F63" w:rsidP="00000D8B">
      <w:pPr>
        <w:pStyle w:val="A-Text11"/>
        <w:rPr>
          <w:snapToGrid w:val="0"/>
        </w:rPr>
      </w:pPr>
      <w:r w:rsidRPr="002764C2">
        <w:rPr>
          <w:snapToGrid w:val="0"/>
        </w:rPr>
        <w:t xml:space="preserve">Pre zabezpečenie fyzického oddelenia rozhodujúcich stavebných činností od verejnosti, rešpektujúc § 43i, ods. 3 písm. a stavebného zákona vybraný dodávateľ stavby  zrealizuje dočasné, staveniskové nepriehľadné oplotenie, min. vo výške 2,00 m. </w:t>
      </w:r>
    </w:p>
    <w:p w14:paraId="193F6552" w14:textId="77777777" w:rsidR="000E6F63" w:rsidRPr="002764C2" w:rsidRDefault="000E6F63" w:rsidP="00000D8B">
      <w:pPr>
        <w:pStyle w:val="A-Text11"/>
        <w:rPr>
          <w:iCs/>
          <w:snapToGrid w:val="0"/>
        </w:rPr>
      </w:pPr>
      <w:r w:rsidRPr="002764C2">
        <w:rPr>
          <w:iCs/>
          <w:snapToGrid w:val="0"/>
        </w:rPr>
        <w:t xml:space="preserve">Osvetlenie  navrhovaného staveniska (vonkajšieho a vnútorného). </w:t>
      </w:r>
    </w:p>
    <w:p w14:paraId="301EB5C2" w14:textId="39E57D9C" w:rsidR="000E6F63" w:rsidRPr="002764C2" w:rsidRDefault="000E6F63" w:rsidP="00000D8B">
      <w:pPr>
        <w:pStyle w:val="A-Text11"/>
        <w:rPr>
          <w:snapToGrid w:val="0"/>
        </w:rPr>
      </w:pPr>
      <w:r w:rsidRPr="002764C2">
        <w:rPr>
          <w:snapToGrid w:val="0"/>
        </w:rPr>
        <w:t>a, Spôsob osvetlenia navrhovaného staveniska, počet, spôsob uchytenia a polohu osvetľovacích telies upresní ďa</w:t>
      </w:r>
      <w:r w:rsidR="007452D0">
        <w:rPr>
          <w:snapToGrid w:val="0"/>
        </w:rPr>
        <w:t>l</w:t>
      </w:r>
      <w:r w:rsidRPr="002764C2">
        <w:rPr>
          <w:snapToGrid w:val="0"/>
        </w:rPr>
        <w:t xml:space="preserve">ší stupeň projektového riešenia (Projekt organizácie výstavby). </w:t>
      </w:r>
      <w:r w:rsidRPr="002764C2">
        <w:rPr>
          <w:snapToGrid w:val="0"/>
        </w:rPr>
        <w:lastRenderedPageBreak/>
        <w:t xml:space="preserve">Predbežne </w:t>
      </w:r>
      <w:r w:rsidR="005C36BF" w:rsidRPr="002764C2">
        <w:rPr>
          <w:snapToGrid w:val="0"/>
        </w:rPr>
        <w:t xml:space="preserve">sú </w:t>
      </w:r>
      <w:r w:rsidRPr="002764C2">
        <w:rPr>
          <w:snapToGrid w:val="0"/>
        </w:rPr>
        <w:t>navrh</w:t>
      </w:r>
      <w:r w:rsidR="005C36BF" w:rsidRPr="002764C2">
        <w:rPr>
          <w:snapToGrid w:val="0"/>
        </w:rPr>
        <w:t>ované</w:t>
      </w:r>
      <w:r w:rsidRPr="002764C2">
        <w:rPr>
          <w:snapToGrid w:val="0"/>
        </w:rPr>
        <w:t xml:space="preserve"> halogénové osvet</w:t>
      </w:r>
      <w:r w:rsidR="007452D0">
        <w:rPr>
          <w:snapToGrid w:val="0"/>
        </w:rPr>
        <w:t>ľ</w:t>
      </w:r>
      <w:r w:rsidRPr="002764C2">
        <w:rPr>
          <w:snapToGrid w:val="0"/>
        </w:rPr>
        <w:t>ovacie telesá, uchytené po obvode staveniska, na jed</w:t>
      </w:r>
      <w:r w:rsidR="007452D0">
        <w:rPr>
          <w:snapToGrid w:val="0"/>
        </w:rPr>
        <w:t>n</w:t>
      </w:r>
      <w:r w:rsidRPr="002764C2">
        <w:rPr>
          <w:snapToGrid w:val="0"/>
        </w:rPr>
        <w:t xml:space="preserve">otlivých pracoviskách a napr. v mieste vstupu naň. </w:t>
      </w:r>
    </w:p>
    <w:p w14:paraId="252FAB72" w14:textId="77777777" w:rsidR="000E6F63" w:rsidRPr="002764C2" w:rsidRDefault="000E6F63" w:rsidP="00000D8B">
      <w:pPr>
        <w:pStyle w:val="A-Text11"/>
        <w:rPr>
          <w:snapToGrid w:val="0"/>
        </w:rPr>
      </w:pPr>
      <w:r w:rsidRPr="002764C2">
        <w:rPr>
          <w:snapToGrid w:val="0"/>
        </w:rPr>
        <w:t>b, Vnútorné stavenisko (vnútorné pracoviská v objektoch polyfunkčného komplexu) budú dosvetľované staveniskovými svietidlami, ktorých výkon, polohu i počet upresní vybraný dodávateľ stavby, do zahájenia prác.</w:t>
      </w:r>
    </w:p>
    <w:p w14:paraId="30D0F155" w14:textId="77777777" w:rsidR="000E6F63" w:rsidRPr="002764C2" w:rsidRDefault="000E6F63" w:rsidP="00000D8B">
      <w:pPr>
        <w:pStyle w:val="A-Text11"/>
        <w:rPr>
          <w:snapToGrid w:val="0"/>
        </w:rPr>
      </w:pPr>
      <w:r w:rsidRPr="002764C2">
        <w:rPr>
          <w:snapToGrid w:val="0"/>
        </w:rPr>
        <w:t>c, Vnútorné stavenisko (vnútorné pracoviská v objektoch polyfunkčného komplexu) budú dosvetľované staveniskovými svietidlami, ktorých výkon, polohu i počet upresní vybraný dodávateľ stavby, do zahájenia prác.</w:t>
      </w:r>
    </w:p>
    <w:p w14:paraId="1C5B015F" w14:textId="77777777" w:rsidR="000E6F63" w:rsidRPr="002764C2" w:rsidRDefault="000E6F63" w:rsidP="00000D8B">
      <w:pPr>
        <w:pStyle w:val="A-Text11"/>
      </w:pPr>
      <w:r w:rsidRPr="002764C2">
        <w:t>Dočasne možno vodu na stavenisku zabezpečovať i dovozom v autocisternách, (z kontrolovaného zdroja),  pre technologické účely resp. dovážať ako balenú (pre pitné účely).</w:t>
      </w:r>
    </w:p>
    <w:p w14:paraId="6A5060D7" w14:textId="65B39B3D" w:rsidR="000E6F63" w:rsidRPr="002764C2" w:rsidRDefault="000E6F63" w:rsidP="00000D8B">
      <w:pPr>
        <w:pStyle w:val="A-Text11"/>
      </w:pPr>
      <w:r w:rsidRPr="002764C2">
        <w:t xml:space="preserve">Predpokladaný odber staveniskovej vody (odborný technický odhad) upresní </w:t>
      </w:r>
      <w:r w:rsidR="002169FF" w:rsidRPr="002764C2">
        <w:t>ďalší</w:t>
      </w:r>
      <w:r w:rsidRPr="002764C2">
        <w:t xml:space="preserve"> stupeň projektového riešenia</w:t>
      </w:r>
      <w:r w:rsidR="00F42942" w:rsidRPr="002764C2">
        <w:t>.</w:t>
      </w:r>
    </w:p>
    <w:p w14:paraId="5A42ED18" w14:textId="3D6F085A" w:rsidR="000E6F63" w:rsidRDefault="000E6F63" w:rsidP="00000D8B">
      <w:pPr>
        <w:pStyle w:val="A-Text11"/>
        <w:rPr>
          <w:snapToGrid w:val="0"/>
        </w:rPr>
      </w:pPr>
      <w:r w:rsidRPr="002764C2">
        <w:rPr>
          <w:snapToGrid w:val="0"/>
        </w:rPr>
        <w:t>Požiarna voda bude na stavenisku zabezpečovaná v zmysle Vyhlášky č. 699/2004 Z.z. a STN 92 0400</w:t>
      </w:r>
      <w:r w:rsidR="00F42942" w:rsidRPr="002764C2">
        <w:rPr>
          <w:snapToGrid w:val="0"/>
        </w:rPr>
        <w:t>.</w:t>
      </w:r>
      <w:r w:rsidRPr="002764C2">
        <w:rPr>
          <w:snapToGrid w:val="0"/>
        </w:rPr>
        <w:t xml:space="preserve"> </w:t>
      </w:r>
    </w:p>
    <w:p w14:paraId="7D007522" w14:textId="5C40A04B" w:rsidR="000E6F63" w:rsidRPr="00753B07" w:rsidRDefault="000E6F63" w:rsidP="000E6F63">
      <w:pPr>
        <w:pStyle w:val="text0"/>
        <w:widowControl/>
        <w:rPr>
          <w:rFonts w:cs="Arial"/>
          <w:b/>
          <w:bCs/>
          <w:sz w:val="22"/>
          <w:szCs w:val="22"/>
          <w:lang w:val="sk-SK" w:eastAsia="en-US"/>
        </w:rPr>
      </w:pPr>
      <w:r w:rsidRPr="00753B07">
        <w:rPr>
          <w:rFonts w:cs="Arial"/>
          <w:b/>
          <w:bCs/>
          <w:sz w:val="22"/>
          <w:szCs w:val="22"/>
          <w:lang w:val="sk-SK" w:eastAsia="en-US"/>
        </w:rPr>
        <w:t>V etape prevádzky</w:t>
      </w:r>
    </w:p>
    <w:p w14:paraId="569C64DF" w14:textId="083539E5" w:rsidR="005C36BF" w:rsidRDefault="000E6F63" w:rsidP="00244A46">
      <w:pPr>
        <w:pStyle w:val="A-Text11"/>
      </w:pPr>
      <w:r w:rsidRPr="002764C2">
        <w:t xml:space="preserve">V prípade realizácie objektov podľa obidvoch variantov navrhovanej činnosti bude potrebné zabezpečiť elektrickú energiu, vodu, teplo a plyn. </w:t>
      </w:r>
    </w:p>
    <w:p w14:paraId="18F24EF5" w14:textId="1A1392A3" w:rsidR="005C36BF" w:rsidRPr="002551BD" w:rsidRDefault="001D04CB" w:rsidP="008F7CED">
      <w:pPr>
        <w:spacing w:before="120"/>
        <w:rPr>
          <w:rFonts w:ascii="Arial" w:hAnsi="Arial" w:cs="Arial"/>
          <w:b/>
          <w:sz w:val="22"/>
          <w:szCs w:val="22"/>
        </w:rPr>
      </w:pPr>
      <w:r w:rsidRPr="002551BD">
        <w:rPr>
          <w:rFonts w:ascii="Arial" w:hAnsi="Arial" w:cs="Arial"/>
          <w:b/>
          <w:sz w:val="22"/>
          <w:szCs w:val="22"/>
        </w:rPr>
        <w:t>Elektrická energia</w:t>
      </w:r>
    </w:p>
    <w:p w14:paraId="0AE3D7A7" w14:textId="063589A0" w:rsidR="00FA2219" w:rsidRPr="002551BD" w:rsidRDefault="00FA2219" w:rsidP="00FA2219">
      <w:pPr>
        <w:pStyle w:val="A-Text11"/>
      </w:pPr>
      <w:r w:rsidRPr="002551BD">
        <w:t xml:space="preserve">Celkový inštalovaný príkon: 2 211 kW, </w:t>
      </w:r>
    </w:p>
    <w:p w14:paraId="573A9B10" w14:textId="60932A51" w:rsidR="00FA2219" w:rsidRPr="002551BD" w:rsidRDefault="00FA2219" w:rsidP="00FA2219">
      <w:pPr>
        <w:pStyle w:val="A-Text11"/>
      </w:pPr>
      <w:r w:rsidRPr="002551BD">
        <w:t>Celkový súčasný príkon: 409,8 kW.</w:t>
      </w:r>
    </w:p>
    <w:p w14:paraId="5F9D4EDB" w14:textId="77777777" w:rsidR="00576DA0" w:rsidRPr="002764C2" w:rsidRDefault="00576DA0" w:rsidP="00576DA0">
      <w:pPr>
        <w:pStyle w:val="A-Text11"/>
        <w:rPr>
          <w:rFonts w:eastAsia="Calibri"/>
        </w:rPr>
      </w:pPr>
      <w:r w:rsidRPr="002764C2">
        <w:rPr>
          <w:rFonts w:eastAsia="Calibri"/>
        </w:rPr>
        <w:t>Hlavný rozvod NN bude riešený z elektromerového rozvádzača RE v technickej miestnosti na 1.NP.  Z rozvádzača RE budú cez fakturačné merania napájané bytové jednotky, komerčné priestory, spoločná spotreba a príprava pre nabíjačky elektromobilov. Elektromerové rozvádzače budú prístupné pracovníkom ZSE.</w:t>
      </w:r>
    </w:p>
    <w:p w14:paraId="30E71BEC" w14:textId="77777777" w:rsidR="00576DA0" w:rsidRPr="002764C2" w:rsidRDefault="00576DA0" w:rsidP="00576DA0">
      <w:pPr>
        <w:pStyle w:val="A-Text11"/>
        <w:rPr>
          <w:rFonts w:eastAsia="Calibri"/>
        </w:rPr>
      </w:pPr>
      <w:r w:rsidRPr="002764C2">
        <w:rPr>
          <w:rFonts w:eastAsia="Calibri"/>
        </w:rPr>
        <w:t>Všetky rozvody budú inštalované na káblových žľaboch, v chráničkách v betóne podlahy, pod omietkou stien a stropov. Typy káblov, chráničiek a žľabov vyplývajú z projektu PO, resp. z STN 92 0203.</w:t>
      </w:r>
    </w:p>
    <w:p w14:paraId="59B47A67" w14:textId="595D1F18" w:rsidR="001D04CB" w:rsidRPr="002551BD" w:rsidRDefault="001D04CB" w:rsidP="001D04CB">
      <w:pPr>
        <w:pStyle w:val="A-Text11"/>
        <w:rPr>
          <w:i/>
          <w:iCs/>
        </w:rPr>
      </w:pPr>
      <w:r w:rsidRPr="002551BD">
        <w:rPr>
          <w:i/>
          <w:iCs/>
        </w:rPr>
        <w:t>Energetická bilancia</w:t>
      </w:r>
    </w:p>
    <w:p w14:paraId="7BC8AC56" w14:textId="77777777" w:rsidR="001D04CB" w:rsidRPr="002551BD" w:rsidRDefault="001D04CB" w:rsidP="0095439F">
      <w:pPr>
        <w:pStyle w:val="Bezriadkovania"/>
        <w:numPr>
          <w:ilvl w:val="0"/>
          <w:numId w:val="26"/>
        </w:numPr>
        <w:suppressAutoHyphens w:val="0"/>
        <w:spacing w:line="276" w:lineRule="auto"/>
        <w:jc w:val="both"/>
        <w:rPr>
          <w:rFonts w:ascii="Arial" w:hAnsi="Arial" w:cs="Arial"/>
        </w:rPr>
      </w:pPr>
      <w:r w:rsidRPr="002551BD">
        <w:rPr>
          <w:rFonts w:ascii="Arial" w:hAnsi="Arial" w:cs="Arial"/>
        </w:rPr>
        <w:t>Pi = 2211 kW</w:t>
      </w:r>
    </w:p>
    <w:p w14:paraId="5C886729" w14:textId="77777777" w:rsidR="001D04CB" w:rsidRPr="002551BD" w:rsidRDefault="001D04CB" w:rsidP="0095439F">
      <w:pPr>
        <w:pStyle w:val="Bezriadkovania"/>
        <w:numPr>
          <w:ilvl w:val="0"/>
          <w:numId w:val="26"/>
        </w:numPr>
        <w:suppressAutoHyphens w:val="0"/>
        <w:spacing w:line="276" w:lineRule="auto"/>
        <w:jc w:val="both"/>
        <w:rPr>
          <w:rFonts w:ascii="Arial" w:hAnsi="Arial" w:cs="Arial"/>
        </w:rPr>
      </w:pPr>
      <w:r w:rsidRPr="002551BD">
        <w:rPr>
          <w:rFonts w:ascii="Arial" w:hAnsi="Arial" w:cs="Arial"/>
        </w:rPr>
        <w:t>Ps = 410 kW</w:t>
      </w:r>
    </w:p>
    <w:p w14:paraId="77EA7CE9" w14:textId="77777777" w:rsidR="001D04CB" w:rsidRPr="002551BD" w:rsidRDefault="001D04CB" w:rsidP="001D04CB">
      <w:pPr>
        <w:pStyle w:val="A-Text11"/>
        <w:rPr>
          <w:rFonts w:eastAsia="Calibri"/>
        </w:rPr>
      </w:pPr>
      <w:r w:rsidRPr="002551BD">
        <w:rPr>
          <w:rFonts w:eastAsia="Calibri"/>
        </w:rPr>
        <w:t>Energetická bilancia bude spresnená v realizačnom stupni. Predpokladaná ročná spotreba objektu  pri 1250 hodinovej využiteľnosti je cca 512,5 MWh/rok.</w:t>
      </w:r>
    </w:p>
    <w:p w14:paraId="2E2C93F5" w14:textId="77777777" w:rsidR="008B0F03" w:rsidRPr="002551BD" w:rsidRDefault="008B0F03" w:rsidP="008B0F03">
      <w:pPr>
        <w:pStyle w:val="A-Text11"/>
      </w:pPr>
      <w:r w:rsidRPr="002551BD">
        <w:t>Energetické nároky pre vzduchotechniku a chladenie:</w:t>
      </w:r>
    </w:p>
    <w:p w14:paraId="7F34E2EF" w14:textId="77777777" w:rsidR="008B0F03" w:rsidRPr="002551BD" w:rsidRDefault="008B0F03" w:rsidP="008B0F03">
      <w:pPr>
        <w:pStyle w:val="A-Text11"/>
      </w:pPr>
      <w:r w:rsidRPr="002551BD">
        <w:t>príkon elektrický pre VZT garáže</w:t>
      </w:r>
      <w:r w:rsidRPr="002551BD">
        <w:tab/>
        <w:t>P=</w:t>
      </w:r>
      <w:r w:rsidRPr="002551BD">
        <w:tab/>
        <w:t>23,3</w:t>
      </w:r>
      <w:r w:rsidRPr="002551BD">
        <w:tab/>
        <w:t>kW - garáže musia byť podľa STN 73 6058  napojené na dva nezávislé zdroje elektrickej energie.</w:t>
      </w:r>
    </w:p>
    <w:p w14:paraId="2AF2EF39" w14:textId="77777777" w:rsidR="008B0F03" w:rsidRPr="002551BD" w:rsidRDefault="008B0F03" w:rsidP="002551BD">
      <w:pPr>
        <w:pStyle w:val="A-Text11"/>
        <w:spacing w:before="0" w:line="240" w:lineRule="auto"/>
        <w:ind w:firstLine="425"/>
      </w:pPr>
      <w:r w:rsidRPr="002551BD">
        <w:t>príkon vykurovací</w:t>
      </w:r>
      <w:r w:rsidRPr="002551BD">
        <w:tab/>
      </w:r>
      <w:r w:rsidRPr="002551BD">
        <w:tab/>
      </w:r>
      <w:r w:rsidRPr="002551BD">
        <w:tab/>
        <w:t>Qtop=</w:t>
      </w:r>
      <w:r w:rsidRPr="002551BD">
        <w:tab/>
        <w:t>65,6</w:t>
      </w:r>
      <w:r w:rsidRPr="002551BD">
        <w:tab/>
        <w:t>kW</w:t>
      </w:r>
    </w:p>
    <w:p w14:paraId="44D0360C" w14:textId="77777777" w:rsidR="008B0F03" w:rsidRPr="002551BD" w:rsidRDefault="008B0F03" w:rsidP="002551BD">
      <w:pPr>
        <w:pStyle w:val="A-Text11"/>
        <w:spacing w:before="0" w:line="240" w:lineRule="auto"/>
        <w:ind w:firstLine="425"/>
      </w:pPr>
      <w:r w:rsidRPr="002551BD">
        <w:t>príkon elektrický pre VZT</w:t>
      </w:r>
      <w:r w:rsidRPr="002551BD">
        <w:tab/>
      </w:r>
      <w:r w:rsidRPr="002551BD">
        <w:tab/>
        <w:t>P=</w:t>
      </w:r>
      <w:r w:rsidRPr="002551BD">
        <w:tab/>
        <w:t>44,8</w:t>
      </w:r>
      <w:r w:rsidRPr="002551BD">
        <w:tab/>
        <w:t>kW</w:t>
      </w:r>
    </w:p>
    <w:p w14:paraId="02B64A1F" w14:textId="77777777" w:rsidR="008B0F03" w:rsidRPr="002551BD" w:rsidRDefault="008B0F03" w:rsidP="002551BD">
      <w:pPr>
        <w:pStyle w:val="A-Text11"/>
        <w:spacing w:before="0" w:line="240" w:lineRule="auto"/>
        <w:ind w:firstLine="425"/>
      </w:pPr>
      <w:r w:rsidRPr="002551BD">
        <w:t>prikon elektrický pre klimatizácie</w:t>
      </w:r>
      <w:r w:rsidRPr="002551BD">
        <w:tab/>
        <w:t>Pk=</w:t>
      </w:r>
      <w:r w:rsidRPr="002551BD">
        <w:tab/>
        <w:t>82,1</w:t>
      </w:r>
      <w:r w:rsidRPr="002551BD">
        <w:tab/>
        <w:t>kW</w:t>
      </w:r>
    </w:p>
    <w:p w14:paraId="311757DF" w14:textId="0B0399FC" w:rsidR="00901C7D" w:rsidRPr="002551BD" w:rsidRDefault="00901C7D" w:rsidP="00901C7D">
      <w:pPr>
        <w:spacing w:before="120"/>
        <w:rPr>
          <w:rFonts w:ascii="Arial" w:hAnsi="Arial" w:cs="Arial"/>
          <w:b/>
          <w:sz w:val="22"/>
          <w:szCs w:val="22"/>
        </w:rPr>
      </w:pPr>
      <w:r w:rsidRPr="002551BD">
        <w:rPr>
          <w:rFonts w:ascii="Arial" w:hAnsi="Arial" w:cs="Arial"/>
          <w:b/>
          <w:sz w:val="22"/>
          <w:szCs w:val="22"/>
        </w:rPr>
        <w:t>Voda</w:t>
      </w:r>
    </w:p>
    <w:p w14:paraId="6792D788" w14:textId="77777777" w:rsidR="00901C7D" w:rsidRPr="002551BD" w:rsidRDefault="00901C7D" w:rsidP="00901C7D">
      <w:pPr>
        <w:spacing w:before="120"/>
        <w:ind w:firstLine="426"/>
        <w:rPr>
          <w:rFonts w:ascii="Arial" w:hAnsi="Arial" w:cs="Arial"/>
          <w:bCs/>
          <w:sz w:val="22"/>
          <w:szCs w:val="22"/>
        </w:rPr>
      </w:pPr>
      <w:r w:rsidRPr="002551BD">
        <w:rPr>
          <w:rFonts w:ascii="Arial" w:hAnsi="Arial" w:cs="Arial"/>
          <w:bCs/>
          <w:sz w:val="22"/>
          <w:szCs w:val="22"/>
        </w:rPr>
        <w:t>Maximálna hodinová potreba 1,265 l/s, ročná spotreba 15 824,58 m3/rok</w:t>
      </w:r>
    </w:p>
    <w:p w14:paraId="07636E3A" w14:textId="77777777" w:rsidR="00901C7D" w:rsidRPr="002551BD" w:rsidRDefault="00901C7D" w:rsidP="00901C7D">
      <w:pPr>
        <w:spacing w:before="120"/>
        <w:ind w:firstLine="426"/>
        <w:rPr>
          <w:rFonts w:ascii="Arial" w:hAnsi="Arial" w:cs="Arial"/>
          <w:bCs/>
          <w:sz w:val="22"/>
          <w:szCs w:val="22"/>
        </w:rPr>
      </w:pPr>
    </w:p>
    <w:p w14:paraId="0C88572E" w14:textId="77777777" w:rsidR="00901C7D" w:rsidRPr="002551BD" w:rsidRDefault="00901C7D" w:rsidP="00901C7D">
      <w:pPr>
        <w:pStyle w:val="A-Text11"/>
      </w:pPr>
      <w:r w:rsidRPr="002551BD">
        <w:t>Navrhované je existujúcu prípojku zrekonštruovať a vymeniť za prípojku HDPE d90 SDR11, PN16. Prípojka bude ukončená vo vodomernej šachte fakturačným vodomerom. Ďalej bude pokračovať areálový rozvod vody. Pričom pre každý objekt bude samostatný podružný vodomer a samostatná areálová vetva do jednotlivých bytových domov.</w:t>
      </w:r>
    </w:p>
    <w:p w14:paraId="65852459" w14:textId="77777777" w:rsidR="00901C7D" w:rsidRPr="002551BD" w:rsidRDefault="00901C7D" w:rsidP="00901C7D">
      <w:pPr>
        <w:pStyle w:val="A-Text11"/>
      </w:pPr>
      <w:r w:rsidRPr="002551BD">
        <w:t>Na zalievanie zelene bude na pozemku situovaná studňa, ktorej nameraná priemerná výdatnosť je Q=0,5 l/s. Technológia pre čerpanie vody zo studne je uvažovaná priamo v studni aj s riadiacou jednotkou.</w:t>
      </w:r>
    </w:p>
    <w:p w14:paraId="388E4736" w14:textId="77777777" w:rsidR="00901C7D" w:rsidRPr="002551BD" w:rsidRDefault="00901C7D" w:rsidP="00901C7D">
      <w:pPr>
        <w:spacing w:before="120"/>
        <w:ind w:firstLine="426"/>
        <w:rPr>
          <w:rFonts w:ascii="Arial" w:hAnsi="Arial" w:cs="Arial"/>
          <w:bCs/>
          <w:sz w:val="22"/>
          <w:szCs w:val="22"/>
        </w:rPr>
      </w:pPr>
      <w:r w:rsidRPr="002551BD">
        <w:rPr>
          <w:rFonts w:ascii="Arial" w:hAnsi="Arial" w:cs="Arial"/>
          <w:bCs/>
          <w:sz w:val="22"/>
          <w:szCs w:val="22"/>
        </w:rPr>
        <w:t>Bilancie</w:t>
      </w:r>
    </w:p>
    <w:p w14:paraId="454EB364" w14:textId="77777777" w:rsidR="00901C7D" w:rsidRPr="002551BD" w:rsidRDefault="00901C7D" w:rsidP="00901C7D">
      <w:pPr>
        <w:spacing w:before="120"/>
        <w:ind w:firstLine="426"/>
        <w:rPr>
          <w:rFonts w:ascii="Arial" w:hAnsi="Arial" w:cs="Arial"/>
          <w:bCs/>
          <w:sz w:val="22"/>
          <w:szCs w:val="22"/>
        </w:rPr>
      </w:pPr>
      <w:r w:rsidRPr="002551BD">
        <w:rPr>
          <w:rFonts w:ascii="Arial" w:hAnsi="Arial" w:cs="Arial"/>
          <w:bCs/>
          <w:sz w:val="22"/>
          <w:szCs w:val="22"/>
        </w:rPr>
        <w:t>Počet obyvateľov:</w:t>
      </w:r>
    </w:p>
    <w:p w14:paraId="7744D5D2" w14:textId="77777777" w:rsidR="00901C7D" w:rsidRPr="002551BD" w:rsidRDefault="00901C7D" w:rsidP="002551BD">
      <w:pPr>
        <w:ind w:firstLine="425"/>
        <w:rPr>
          <w:rFonts w:ascii="Arial" w:hAnsi="Arial" w:cs="Arial"/>
          <w:bCs/>
          <w:sz w:val="22"/>
          <w:szCs w:val="22"/>
        </w:rPr>
      </w:pPr>
      <w:r w:rsidRPr="002551BD">
        <w:rPr>
          <w:rFonts w:ascii="Arial" w:hAnsi="Arial" w:cs="Arial"/>
          <w:bCs/>
          <w:sz w:val="22"/>
          <w:szCs w:val="22"/>
        </w:rPr>
        <w:t>1+kk byt= max. 2 osoby.... počet bytov =32................................spolu: 64 osôb</w:t>
      </w:r>
    </w:p>
    <w:p w14:paraId="26CBD8F8" w14:textId="77777777" w:rsidR="00901C7D" w:rsidRPr="002551BD" w:rsidRDefault="00901C7D" w:rsidP="002551BD">
      <w:pPr>
        <w:ind w:firstLine="425"/>
        <w:rPr>
          <w:rFonts w:ascii="Arial" w:hAnsi="Arial" w:cs="Arial"/>
          <w:bCs/>
          <w:sz w:val="22"/>
          <w:szCs w:val="22"/>
        </w:rPr>
      </w:pPr>
      <w:r w:rsidRPr="002551BD">
        <w:rPr>
          <w:rFonts w:ascii="Arial" w:hAnsi="Arial" w:cs="Arial"/>
          <w:bCs/>
          <w:sz w:val="22"/>
          <w:szCs w:val="22"/>
        </w:rPr>
        <w:t>2+kk byt= max. 4 osoby.... počet bytov =30................................spolu: 120 osôb</w:t>
      </w:r>
    </w:p>
    <w:p w14:paraId="754F6959" w14:textId="77777777" w:rsidR="00901C7D" w:rsidRPr="002551BD" w:rsidRDefault="00901C7D" w:rsidP="002551BD">
      <w:pPr>
        <w:ind w:firstLine="425"/>
        <w:rPr>
          <w:rFonts w:ascii="Arial" w:hAnsi="Arial" w:cs="Arial"/>
          <w:bCs/>
          <w:sz w:val="22"/>
          <w:szCs w:val="22"/>
        </w:rPr>
      </w:pPr>
      <w:r w:rsidRPr="002551BD">
        <w:rPr>
          <w:rFonts w:ascii="Arial" w:hAnsi="Arial" w:cs="Arial"/>
          <w:bCs/>
          <w:sz w:val="22"/>
          <w:szCs w:val="22"/>
        </w:rPr>
        <w:t>3+kk byt= max. 5 osoby.... počet bytov =23................................spolu: 115 osôb</w:t>
      </w:r>
    </w:p>
    <w:p w14:paraId="02897193" w14:textId="77777777" w:rsidR="00901C7D" w:rsidRPr="002551BD" w:rsidRDefault="00901C7D" w:rsidP="00901C7D">
      <w:pPr>
        <w:spacing w:before="120"/>
        <w:ind w:firstLine="426"/>
        <w:rPr>
          <w:rFonts w:ascii="Arial" w:hAnsi="Arial" w:cs="Arial"/>
          <w:bCs/>
          <w:sz w:val="22"/>
          <w:szCs w:val="22"/>
        </w:rPr>
      </w:pPr>
      <w:r w:rsidRPr="002551BD">
        <w:rPr>
          <w:rFonts w:ascii="Arial" w:hAnsi="Arial" w:cs="Arial"/>
          <w:bCs/>
          <w:sz w:val="22"/>
          <w:szCs w:val="22"/>
        </w:rPr>
        <w:t>SPOLU:  299 osôb</w:t>
      </w:r>
    </w:p>
    <w:p w14:paraId="61A26CB9" w14:textId="77777777" w:rsidR="00901C7D" w:rsidRPr="002551BD" w:rsidRDefault="00901C7D" w:rsidP="00901C7D">
      <w:pPr>
        <w:spacing w:before="120"/>
        <w:ind w:firstLine="426"/>
        <w:rPr>
          <w:rFonts w:ascii="Arial" w:hAnsi="Arial" w:cs="Arial"/>
          <w:bCs/>
          <w:sz w:val="22"/>
          <w:szCs w:val="22"/>
        </w:rPr>
      </w:pPr>
      <w:r w:rsidRPr="002551BD">
        <w:rPr>
          <w:rFonts w:ascii="Arial" w:hAnsi="Arial" w:cs="Arial"/>
          <w:bCs/>
          <w:sz w:val="22"/>
          <w:szCs w:val="22"/>
        </w:rPr>
        <w:t>Výpočet potreby vody v zmysle vyhlášky 684/2006 z.z.:</w:t>
      </w:r>
    </w:p>
    <w:p w14:paraId="2F31ED2B" w14:textId="77777777" w:rsidR="00901C7D" w:rsidRPr="002551BD" w:rsidRDefault="00901C7D" w:rsidP="00901C7D">
      <w:pPr>
        <w:spacing w:before="240"/>
        <w:ind w:firstLine="425"/>
        <w:rPr>
          <w:rFonts w:ascii="Arial" w:hAnsi="Arial" w:cs="Arial"/>
          <w:bCs/>
          <w:sz w:val="22"/>
          <w:szCs w:val="22"/>
          <w:u w:val="single"/>
        </w:rPr>
      </w:pPr>
      <w:r w:rsidRPr="002551BD">
        <w:rPr>
          <w:rFonts w:ascii="Arial" w:hAnsi="Arial" w:cs="Arial"/>
          <w:bCs/>
          <w:sz w:val="22"/>
          <w:szCs w:val="22"/>
          <w:u w:val="single"/>
        </w:rPr>
        <w:t>1.,  Priemerná denná potreba vody : QP</w:t>
      </w:r>
    </w:p>
    <w:p w14:paraId="29645D0B" w14:textId="77777777" w:rsidR="00901C7D" w:rsidRPr="002551BD" w:rsidRDefault="00901C7D" w:rsidP="00901C7D">
      <w:pPr>
        <w:spacing w:before="120"/>
        <w:rPr>
          <w:rFonts w:ascii="Arial" w:hAnsi="Arial" w:cs="Arial"/>
          <w:bCs/>
          <w:sz w:val="22"/>
          <w:szCs w:val="22"/>
        </w:rPr>
      </w:pPr>
      <w:r w:rsidRPr="002551BD">
        <w:rPr>
          <w:rFonts w:ascii="Arial" w:hAnsi="Arial" w:cs="Arial"/>
          <w:bCs/>
          <w:sz w:val="22"/>
          <w:szCs w:val="22"/>
        </w:rPr>
        <w:t>QP = q x n = 145 x 299 = 43 355 l/deň = 0,502 l/s</w:t>
      </w:r>
    </w:p>
    <w:p w14:paraId="0A524159" w14:textId="77777777" w:rsidR="00901C7D" w:rsidRPr="002551BD" w:rsidRDefault="00901C7D" w:rsidP="00901C7D">
      <w:pPr>
        <w:spacing w:before="120"/>
        <w:rPr>
          <w:rFonts w:ascii="Arial" w:hAnsi="Arial" w:cs="Arial"/>
          <w:bCs/>
          <w:sz w:val="22"/>
          <w:szCs w:val="22"/>
        </w:rPr>
      </w:pPr>
      <w:r w:rsidRPr="002551BD">
        <w:rPr>
          <w:rFonts w:ascii="Arial" w:hAnsi="Arial" w:cs="Arial"/>
          <w:bCs/>
          <w:sz w:val="22"/>
          <w:szCs w:val="22"/>
        </w:rPr>
        <w:t>kde: q =145 l/osoba*deň, je priemerná špecifická potreba vody pre byty ústredným ohrevom)</w:t>
      </w:r>
    </w:p>
    <w:p w14:paraId="10A1985A" w14:textId="77777777" w:rsidR="00901C7D" w:rsidRPr="002551BD" w:rsidRDefault="00901C7D" w:rsidP="00901C7D">
      <w:pPr>
        <w:spacing w:before="120"/>
        <w:rPr>
          <w:rFonts w:ascii="Arial" w:hAnsi="Arial" w:cs="Arial"/>
          <w:bCs/>
          <w:sz w:val="22"/>
          <w:szCs w:val="22"/>
        </w:rPr>
      </w:pPr>
      <w:r w:rsidRPr="002551BD">
        <w:rPr>
          <w:rFonts w:ascii="Arial" w:hAnsi="Arial" w:cs="Arial"/>
          <w:bCs/>
          <w:sz w:val="22"/>
          <w:szCs w:val="22"/>
        </w:rPr>
        <w:t>Priemerná potreba teplej vody- 40%: QPT</w:t>
      </w:r>
    </w:p>
    <w:p w14:paraId="225E5DD5" w14:textId="77777777" w:rsidR="00901C7D" w:rsidRPr="002551BD" w:rsidRDefault="00901C7D" w:rsidP="00901C7D">
      <w:pPr>
        <w:spacing w:before="120"/>
        <w:rPr>
          <w:rFonts w:ascii="Arial" w:hAnsi="Arial" w:cs="Arial"/>
          <w:bCs/>
          <w:sz w:val="22"/>
          <w:szCs w:val="22"/>
        </w:rPr>
      </w:pPr>
      <w:r w:rsidRPr="002551BD">
        <w:rPr>
          <w:rFonts w:ascii="Arial" w:hAnsi="Arial" w:cs="Arial"/>
          <w:bCs/>
          <w:sz w:val="22"/>
          <w:szCs w:val="22"/>
        </w:rPr>
        <w:t>QPT = QP x 0,4 = 43 355 x 0,4 = 17 342 l/deň = 0,201 l/s</w:t>
      </w:r>
    </w:p>
    <w:p w14:paraId="19428382" w14:textId="77777777" w:rsidR="00901C7D" w:rsidRPr="002551BD" w:rsidRDefault="00901C7D" w:rsidP="00901C7D">
      <w:pPr>
        <w:spacing w:before="240"/>
        <w:ind w:firstLine="425"/>
        <w:rPr>
          <w:rFonts w:ascii="Arial" w:hAnsi="Arial" w:cs="Arial"/>
          <w:bCs/>
          <w:sz w:val="22"/>
          <w:szCs w:val="22"/>
          <w:u w:val="single"/>
        </w:rPr>
      </w:pPr>
      <w:r w:rsidRPr="002551BD">
        <w:rPr>
          <w:rFonts w:ascii="Arial" w:hAnsi="Arial" w:cs="Arial"/>
          <w:bCs/>
          <w:sz w:val="22"/>
          <w:szCs w:val="22"/>
          <w:u w:val="single"/>
        </w:rPr>
        <w:t>2., Maximálna denná potreba vody : QM</w:t>
      </w:r>
    </w:p>
    <w:p w14:paraId="27BBBE83" w14:textId="77777777" w:rsidR="00901C7D" w:rsidRPr="002551BD" w:rsidRDefault="00901C7D" w:rsidP="00901C7D">
      <w:pPr>
        <w:spacing w:before="120"/>
        <w:rPr>
          <w:rFonts w:ascii="Arial" w:hAnsi="Arial" w:cs="Arial"/>
          <w:bCs/>
          <w:sz w:val="22"/>
          <w:szCs w:val="22"/>
        </w:rPr>
      </w:pPr>
      <w:r w:rsidRPr="002551BD">
        <w:rPr>
          <w:rFonts w:ascii="Arial" w:hAnsi="Arial" w:cs="Arial"/>
          <w:bCs/>
          <w:sz w:val="22"/>
          <w:szCs w:val="22"/>
        </w:rPr>
        <w:t>QM = QP x kD = 43 355 x 1,2 = 52 026  l/deň = 0,602 l/s</w:t>
      </w:r>
    </w:p>
    <w:p w14:paraId="6888687A" w14:textId="77777777" w:rsidR="00901C7D" w:rsidRPr="002551BD" w:rsidRDefault="00901C7D" w:rsidP="00901C7D">
      <w:pPr>
        <w:spacing w:before="120"/>
        <w:rPr>
          <w:rFonts w:ascii="Arial" w:hAnsi="Arial" w:cs="Arial"/>
          <w:bCs/>
          <w:sz w:val="22"/>
          <w:szCs w:val="22"/>
        </w:rPr>
      </w:pPr>
      <w:r w:rsidRPr="002551BD">
        <w:rPr>
          <w:rFonts w:ascii="Arial" w:hAnsi="Arial" w:cs="Arial"/>
          <w:bCs/>
          <w:sz w:val="22"/>
          <w:szCs w:val="22"/>
        </w:rPr>
        <w:t>kde : kD = 1,2   je súčiniteľ dennej nerovnomernosti (nad 100 000 obyvateľov)</w:t>
      </w:r>
    </w:p>
    <w:p w14:paraId="541CF5B3" w14:textId="77777777" w:rsidR="00901C7D" w:rsidRPr="002551BD" w:rsidRDefault="00901C7D" w:rsidP="00901C7D">
      <w:pPr>
        <w:spacing w:before="240"/>
        <w:ind w:firstLine="425"/>
        <w:rPr>
          <w:rFonts w:ascii="Arial" w:hAnsi="Arial" w:cs="Arial"/>
          <w:bCs/>
          <w:sz w:val="22"/>
          <w:szCs w:val="22"/>
          <w:u w:val="single"/>
        </w:rPr>
      </w:pPr>
      <w:r w:rsidRPr="002551BD">
        <w:rPr>
          <w:rFonts w:ascii="Arial" w:hAnsi="Arial" w:cs="Arial"/>
          <w:bCs/>
          <w:sz w:val="22"/>
          <w:szCs w:val="22"/>
          <w:u w:val="single"/>
        </w:rPr>
        <w:t>3., Maximálna hodinová potreba vody : QH</w:t>
      </w:r>
    </w:p>
    <w:p w14:paraId="760AA4A6" w14:textId="77777777" w:rsidR="00901C7D" w:rsidRPr="002551BD" w:rsidRDefault="00901C7D" w:rsidP="00901C7D">
      <w:pPr>
        <w:spacing w:before="120"/>
        <w:rPr>
          <w:rFonts w:ascii="Arial" w:hAnsi="Arial" w:cs="Arial"/>
          <w:bCs/>
          <w:sz w:val="22"/>
          <w:szCs w:val="22"/>
        </w:rPr>
      </w:pPr>
      <w:r w:rsidRPr="002551BD">
        <w:rPr>
          <w:rFonts w:ascii="Arial" w:hAnsi="Arial" w:cs="Arial"/>
          <w:bCs/>
          <w:sz w:val="22"/>
          <w:szCs w:val="22"/>
        </w:rPr>
        <w:t>QH =(QM x kH) / h = (52 026 x 2,1) / 24 = 4 552  l/hod = 1,265 l/s</w:t>
      </w:r>
    </w:p>
    <w:p w14:paraId="115B5F3B" w14:textId="77777777" w:rsidR="00901C7D" w:rsidRPr="002551BD" w:rsidRDefault="00901C7D" w:rsidP="00901C7D">
      <w:pPr>
        <w:spacing w:before="120"/>
        <w:rPr>
          <w:rFonts w:ascii="Arial" w:hAnsi="Arial" w:cs="Arial"/>
          <w:bCs/>
          <w:sz w:val="22"/>
          <w:szCs w:val="22"/>
        </w:rPr>
      </w:pPr>
      <w:r w:rsidRPr="002551BD">
        <w:rPr>
          <w:rFonts w:ascii="Arial" w:hAnsi="Arial" w:cs="Arial"/>
          <w:bCs/>
          <w:sz w:val="22"/>
          <w:szCs w:val="22"/>
        </w:rPr>
        <w:t>Maximálna hodinová potreba teplej vody- 40%: QPTH</w:t>
      </w:r>
    </w:p>
    <w:p w14:paraId="796115B3" w14:textId="77777777" w:rsidR="00901C7D" w:rsidRPr="002551BD" w:rsidRDefault="00901C7D" w:rsidP="00901C7D">
      <w:pPr>
        <w:spacing w:before="120"/>
        <w:rPr>
          <w:rFonts w:ascii="Arial" w:hAnsi="Arial" w:cs="Arial"/>
          <w:bCs/>
          <w:sz w:val="22"/>
          <w:szCs w:val="22"/>
        </w:rPr>
      </w:pPr>
      <w:r w:rsidRPr="002551BD">
        <w:rPr>
          <w:rFonts w:ascii="Arial" w:hAnsi="Arial" w:cs="Arial"/>
          <w:bCs/>
          <w:sz w:val="22"/>
          <w:szCs w:val="22"/>
        </w:rPr>
        <w:t>QPTH = QH x 0,4 = 4 553 x 0,4 =  1 821  l/hod = 0,506 l/s</w:t>
      </w:r>
    </w:p>
    <w:p w14:paraId="1C8A67DE" w14:textId="77777777" w:rsidR="00901C7D" w:rsidRPr="002551BD" w:rsidRDefault="00901C7D" w:rsidP="00901C7D">
      <w:pPr>
        <w:spacing w:before="120"/>
        <w:rPr>
          <w:rFonts w:ascii="Arial" w:hAnsi="Arial" w:cs="Arial"/>
          <w:bCs/>
          <w:sz w:val="22"/>
          <w:szCs w:val="22"/>
        </w:rPr>
      </w:pPr>
      <w:r w:rsidRPr="002551BD">
        <w:rPr>
          <w:rFonts w:ascii="Arial" w:hAnsi="Arial" w:cs="Arial"/>
          <w:bCs/>
          <w:sz w:val="22"/>
          <w:szCs w:val="22"/>
        </w:rPr>
        <w:t xml:space="preserve">kde : </w:t>
      </w:r>
      <w:r w:rsidRPr="002551BD">
        <w:rPr>
          <w:rFonts w:ascii="Arial" w:hAnsi="Arial" w:cs="Arial"/>
          <w:bCs/>
          <w:sz w:val="22"/>
          <w:szCs w:val="22"/>
        </w:rPr>
        <w:tab/>
        <w:t>kD = 1,2   je súčiniteľ dennej nerovnomernosti</w:t>
      </w:r>
    </w:p>
    <w:p w14:paraId="04BF8299" w14:textId="77777777" w:rsidR="00901C7D" w:rsidRPr="002551BD" w:rsidRDefault="00901C7D" w:rsidP="002551BD">
      <w:pPr>
        <w:rPr>
          <w:rFonts w:ascii="Arial" w:hAnsi="Arial" w:cs="Arial"/>
          <w:bCs/>
          <w:sz w:val="22"/>
          <w:szCs w:val="22"/>
        </w:rPr>
      </w:pPr>
      <w:r w:rsidRPr="002551BD">
        <w:rPr>
          <w:rFonts w:ascii="Arial" w:hAnsi="Arial" w:cs="Arial"/>
          <w:bCs/>
          <w:sz w:val="22"/>
          <w:szCs w:val="22"/>
        </w:rPr>
        <w:t>kH = 2,1   je súčiniteľ hodinovej nerovnomernosti</w:t>
      </w:r>
    </w:p>
    <w:p w14:paraId="4201DDFB" w14:textId="77777777" w:rsidR="00901C7D" w:rsidRPr="002551BD" w:rsidRDefault="00901C7D" w:rsidP="002551BD">
      <w:pPr>
        <w:rPr>
          <w:rFonts w:ascii="Arial" w:hAnsi="Arial" w:cs="Arial"/>
          <w:bCs/>
          <w:sz w:val="22"/>
          <w:szCs w:val="22"/>
        </w:rPr>
      </w:pPr>
      <w:r w:rsidRPr="002551BD">
        <w:rPr>
          <w:rFonts w:ascii="Arial" w:hAnsi="Arial" w:cs="Arial"/>
          <w:bCs/>
          <w:sz w:val="22"/>
          <w:szCs w:val="22"/>
        </w:rPr>
        <w:t>h   = 24    je počet hodín za deň</w:t>
      </w:r>
    </w:p>
    <w:p w14:paraId="5CADBB13" w14:textId="77777777" w:rsidR="00901C7D" w:rsidRPr="002551BD" w:rsidRDefault="00901C7D" w:rsidP="00901C7D">
      <w:pPr>
        <w:spacing w:before="240"/>
        <w:ind w:firstLine="425"/>
        <w:rPr>
          <w:rFonts w:ascii="Arial" w:hAnsi="Arial" w:cs="Arial"/>
          <w:bCs/>
          <w:sz w:val="22"/>
          <w:szCs w:val="22"/>
          <w:u w:val="single"/>
        </w:rPr>
      </w:pPr>
      <w:r w:rsidRPr="002551BD">
        <w:rPr>
          <w:rFonts w:ascii="Arial" w:hAnsi="Arial" w:cs="Arial"/>
          <w:bCs/>
          <w:sz w:val="22"/>
          <w:szCs w:val="22"/>
          <w:u w:val="single"/>
        </w:rPr>
        <w:t>4., Ročná potreba vody: QR</w:t>
      </w:r>
    </w:p>
    <w:p w14:paraId="0FEEC064" w14:textId="77777777" w:rsidR="00901C7D" w:rsidRPr="002551BD" w:rsidRDefault="00901C7D" w:rsidP="00901C7D">
      <w:pPr>
        <w:spacing w:before="120"/>
        <w:rPr>
          <w:rFonts w:ascii="Arial" w:hAnsi="Arial" w:cs="Arial"/>
          <w:bCs/>
          <w:sz w:val="22"/>
          <w:szCs w:val="22"/>
        </w:rPr>
      </w:pPr>
      <w:r w:rsidRPr="002551BD">
        <w:rPr>
          <w:rFonts w:ascii="Arial" w:hAnsi="Arial" w:cs="Arial"/>
          <w:bCs/>
          <w:sz w:val="22"/>
          <w:szCs w:val="22"/>
        </w:rPr>
        <w:t>QR =(QP x d) = (43 355 x 365)= 15 824 575 l/rok = 15 824,58 m3/rok</w:t>
      </w:r>
    </w:p>
    <w:p w14:paraId="555772CD" w14:textId="77777777" w:rsidR="00901C7D" w:rsidRPr="002551BD" w:rsidRDefault="00901C7D" w:rsidP="00901C7D">
      <w:pPr>
        <w:spacing w:before="120"/>
        <w:rPr>
          <w:rFonts w:ascii="Arial" w:hAnsi="Arial" w:cs="Arial"/>
          <w:bCs/>
          <w:sz w:val="22"/>
          <w:szCs w:val="22"/>
        </w:rPr>
      </w:pPr>
      <w:r w:rsidRPr="002551BD">
        <w:rPr>
          <w:rFonts w:ascii="Arial" w:hAnsi="Arial" w:cs="Arial"/>
          <w:bCs/>
          <w:sz w:val="22"/>
          <w:szCs w:val="22"/>
        </w:rPr>
        <w:t xml:space="preserve">kde : </w:t>
      </w:r>
      <w:r w:rsidRPr="002551BD">
        <w:rPr>
          <w:rFonts w:ascii="Arial" w:hAnsi="Arial" w:cs="Arial"/>
          <w:bCs/>
          <w:sz w:val="22"/>
          <w:szCs w:val="22"/>
        </w:rPr>
        <w:tab/>
        <w:t>d= 365 sú pracovné dni alebo dni používania budovy</w:t>
      </w:r>
    </w:p>
    <w:p w14:paraId="10B8F73F" w14:textId="77777777" w:rsidR="00901C7D" w:rsidRPr="002551BD" w:rsidRDefault="00901C7D" w:rsidP="00901C7D">
      <w:pPr>
        <w:pStyle w:val="A-Text11"/>
      </w:pPr>
      <w:r w:rsidRPr="002551BD">
        <w:t>Požiarna nádrž</w:t>
      </w:r>
    </w:p>
    <w:p w14:paraId="22F1E2BD" w14:textId="14CE2BD7" w:rsidR="00901C7D" w:rsidRPr="002551BD" w:rsidRDefault="00901C7D" w:rsidP="00901C7D">
      <w:pPr>
        <w:pStyle w:val="A-Text11"/>
      </w:pPr>
      <w:r w:rsidRPr="002551BD">
        <w:t xml:space="preserve">Pre potreby požiarnej vody bude zhotovená </w:t>
      </w:r>
      <w:r w:rsidR="007C6BAB" w:rsidRPr="002551BD">
        <w:t>železobetónová</w:t>
      </w:r>
      <w:r w:rsidRPr="002551BD">
        <w:t xml:space="preserve"> požiarna nádrž o veľkosti 35 m3. Nádrž bude umiestnená na pozemku investora pod vstupnou rampou do objektu. Nádrž bude dopĺňaná pomocou z rozvodu požiarnej vody cez plavkový ventil.</w:t>
      </w:r>
    </w:p>
    <w:p w14:paraId="720474FB" w14:textId="77777777" w:rsidR="002551BD" w:rsidRDefault="002551BD" w:rsidP="00753B07">
      <w:pPr>
        <w:pStyle w:val="A-Text11"/>
        <w:ind w:firstLine="0"/>
        <w:rPr>
          <w:b/>
          <w:bCs/>
          <w:i/>
          <w:iCs/>
        </w:rPr>
      </w:pPr>
    </w:p>
    <w:p w14:paraId="57A86A79" w14:textId="77777777" w:rsidR="002551BD" w:rsidRDefault="002551BD" w:rsidP="00753B07">
      <w:pPr>
        <w:pStyle w:val="A-Text11"/>
        <w:ind w:firstLine="0"/>
        <w:rPr>
          <w:b/>
          <w:bCs/>
          <w:i/>
          <w:iCs/>
        </w:rPr>
      </w:pPr>
    </w:p>
    <w:p w14:paraId="61B0E664" w14:textId="3008AB82" w:rsidR="00041E58" w:rsidRPr="002551BD" w:rsidRDefault="00041E58" w:rsidP="00753B07">
      <w:pPr>
        <w:pStyle w:val="A-Text11"/>
        <w:ind w:firstLine="0"/>
        <w:rPr>
          <w:b/>
          <w:bCs/>
          <w:i/>
          <w:iCs/>
        </w:rPr>
      </w:pPr>
      <w:r w:rsidRPr="002551BD">
        <w:rPr>
          <w:b/>
          <w:bCs/>
          <w:i/>
          <w:iCs/>
        </w:rPr>
        <w:t>Teplo</w:t>
      </w:r>
    </w:p>
    <w:p w14:paraId="0CEB919B" w14:textId="77777777" w:rsidR="00CC39A6" w:rsidRPr="002551BD" w:rsidRDefault="00CC39A6" w:rsidP="00CC39A6">
      <w:pPr>
        <w:pStyle w:val="A-Text11"/>
      </w:pPr>
      <w:bookmarkStart w:id="232" w:name="_Toc102892236"/>
      <w:bookmarkStart w:id="233" w:name="_Toc156271376"/>
      <w:bookmarkStart w:id="234" w:name="_Toc156293669"/>
      <w:bookmarkStart w:id="235" w:name="_Toc157504749"/>
      <w:bookmarkStart w:id="236" w:name="_Toc159597160"/>
      <w:bookmarkStart w:id="237" w:name="_Toc454864959"/>
      <w:r w:rsidRPr="002551BD">
        <w:t>Pri navrhovaní vykurovacieho systému a výpočte tepelných strát bolo postupované v súlade s platnými normami:</w:t>
      </w:r>
      <w:r w:rsidRPr="002551BD">
        <w:tab/>
      </w:r>
    </w:p>
    <w:p w14:paraId="443DA187" w14:textId="77777777" w:rsidR="00CC39A6" w:rsidRPr="002551BD" w:rsidRDefault="00CC39A6" w:rsidP="002551BD">
      <w:pPr>
        <w:pStyle w:val="A-Text11"/>
        <w:spacing w:before="0" w:line="240" w:lineRule="auto"/>
        <w:ind w:firstLine="425"/>
      </w:pPr>
      <w:r w:rsidRPr="002551BD">
        <w:t>- STN 73 0540-1 Teplotechnické vlastnosti stavebných konštrukcií a budov. Tepelná ochrana budov. Časť 1: Terminológia.</w:t>
      </w:r>
    </w:p>
    <w:p w14:paraId="0B6A970E" w14:textId="77777777" w:rsidR="00CC39A6" w:rsidRPr="002551BD" w:rsidRDefault="00CC39A6" w:rsidP="002551BD">
      <w:pPr>
        <w:pStyle w:val="A-Text11"/>
        <w:spacing w:before="0" w:line="240" w:lineRule="auto"/>
        <w:ind w:firstLine="425"/>
      </w:pPr>
      <w:r w:rsidRPr="002551BD">
        <w:t>- STN 73 0540-2 Teplotechnické vlastnosti stavebných konštrukcií a budov. Tepelná ochrana budov. Časť 2: Funkčné požiadavky.</w:t>
      </w:r>
    </w:p>
    <w:p w14:paraId="1331B3DA" w14:textId="77777777" w:rsidR="00CC39A6" w:rsidRPr="002551BD" w:rsidRDefault="00CC39A6" w:rsidP="002551BD">
      <w:pPr>
        <w:pStyle w:val="A-Text11"/>
        <w:spacing w:before="0" w:line="240" w:lineRule="auto"/>
        <w:ind w:firstLine="425"/>
      </w:pPr>
      <w:r w:rsidRPr="002551BD">
        <w:t>- STN 73 0540-3 Teplotechnické vlastnosti stavebných konštrukcií a budov. Tepelná ochrana budov. Časť 3: Vlastnosti prostredia a stavebných výrobkov.</w:t>
      </w:r>
    </w:p>
    <w:p w14:paraId="74CD7BC6" w14:textId="77777777" w:rsidR="00CC39A6" w:rsidRPr="002551BD" w:rsidRDefault="00CC39A6" w:rsidP="002551BD">
      <w:pPr>
        <w:pStyle w:val="A-Text11"/>
        <w:spacing w:before="0" w:line="240" w:lineRule="auto"/>
        <w:ind w:firstLine="425"/>
      </w:pPr>
      <w:r w:rsidRPr="002551BD">
        <w:t>- STN 73 0540-4 Teplotechnické vlastnosti stavebných konštrukcií a budov. Tepelná ochrana budov. Časť 4: Výpočtové metódy.</w:t>
      </w:r>
    </w:p>
    <w:p w14:paraId="0A124302" w14:textId="77777777" w:rsidR="00CC39A6" w:rsidRPr="002551BD" w:rsidRDefault="00CC39A6" w:rsidP="002551BD">
      <w:pPr>
        <w:pStyle w:val="A-Text11"/>
        <w:spacing w:before="0" w:line="240" w:lineRule="auto"/>
        <w:ind w:firstLine="425"/>
      </w:pPr>
      <w:r w:rsidRPr="002551BD">
        <w:t>- STN EN 12831 Vykurovacie systémy v budovách. Metóda výpočtu projektovaného tepelného príkonu.</w:t>
      </w:r>
    </w:p>
    <w:p w14:paraId="4AD7C170" w14:textId="5224CE70" w:rsidR="008F7CED" w:rsidRPr="002551BD" w:rsidRDefault="00CC39A6" w:rsidP="008F7CED">
      <w:pPr>
        <w:pStyle w:val="A-Text11"/>
      </w:pPr>
      <w:r w:rsidRPr="002551BD">
        <w:t>Tepelné straty budovy boli vypočítané podľa STN EN 12831, pre vonkajšiu výpočtovú teplotu -11°C.</w:t>
      </w:r>
    </w:p>
    <w:p w14:paraId="5D0B1BDD" w14:textId="77777777" w:rsidR="00CC39A6" w:rsidRPr="002551BD" w:rsidRDefault="00CC39A6" w:rsidP="00CC39A6">
      <w:pPr>
        <w:pStyle w:val="A-Text11"/>
      </w:pPr>
      <w:r w:rsidRPr="002551BD">
        <w:t xml:space="preserve"> Pri výpočte tepelných strát a spotreby tepla sa uvažovalo s nasledovnými vlastnosťami prostredia:</w:t>
      </w:r>
    </w:p>
    <w:p w14:paraId="0E38CED8" w14:textId="77777777" w:rsidR="00CC39A6" w:rsidRPr="002551BD" w:rsidRDefault="00CC39A6" w:rsidP="002551BD">
      <w:pPr>
        <w:pStyle w:val="A-Text11"/>
        <w:spacing w:before="0" w:line="240" w:lineRule="auto"/>
        <w:ind w:firstLine="425"/>
      </w:pPr>
      <w:r w:rsidRPr="002551BD">
        <w:t xml:space="preserve">- teplotná oblasť: </w:t>
      </w:r>
      <w:r w:rsidRPr="002551BD">
        <w:tab/>
      </w:r>
      <w:r w:rsidRPr="002551BD">
        <w:tab/>
      </w:r>
      <w:r w:rsidRPr="002551BD">
        <w:tab/>
      </w:r>
      <w:r w:rsidRPr="002551BD">
        <w:tab/>
        <w:t>1.  Bratislava</w:t>
      </w:r>
    </w:p>
    <w:p w14:paraId="3463FAFA" w14:textId="6E1D8A35" w:rsidR="00CC39A6" w:rsidRPr="002551BD" w:rsidRDefault="00CC39A6" w:rsidP="002551BD">
      <w:pPr>
        <w:pStyle w:val="A-Text11"/>
        <w:spacing w:before="0" w:line="240" w:lineRule="auto"/>
        <w:ind w:firstLine="425"/>
      </w:pPr>
      <w:r w:rsidRPr="002551BD">
        <w:t>- veterná oblasť:</w:t>
      </w:r>
      <w:r w:rsidRPr="002551BD">
        <w:tab/>
      </w:r>
      <w:r w:rsidRPr="002551BD">
        <w:tab/>
      </w:r>
      <w:r w:rsidRPr="002551BD">
        <w:tab/>
      </w:r>
      <w:r w:rsidRPr="002551BD">
        <w:tab/>
      </w:r>
      <w:r w:rsidRPr="002551BD">
        <w:tab/>
        <w:t>2.  Bratislava</w:t>
      </w:r>
    </w:p>
    <w:p w14:paraId="7AA01FBC" w14:textId="7E4BF3D5" w:rsidR="00CC39A6" w:rsidRPr="002551BD" w:rsidRDefault="00CC39A6" w:rsidP="002551BD">
      <w:pPr>
        <w:pStyle w:val="A-Text11"/>
        <w:spacing w:before="0" w:line="240" w:lineRule="auto"/>
        <w:ind w:firstLine="425"/>
      </w:pPr>
      <w:r w:rsidRPr="002551BD">
        <w:t xml:space="preserve">- výpočtová vonkajšia teplota: </w:t>
      </w:r>
      <w:r w:rsidRPr="002551BD">
        <w:tab/>
      </w:r>
      <w:r w:rsidRPr="002551BD">
        <w:tab/>
      </w:r>
      <w:r w:rsidRPr="002551BD">
        <w:tab/>
        <w:t>θe = -11°C</w:t>
      </w:r>
    </w:p>
    <w:p w14:paraId="6BEE641C" w14:textId="77777777" w:rsidR="00CC39A6" w:rsidRPr="002551BD" w:rsidRDefault="00CC39A6" w:rsidP="002551BD">
      <w:pPr>
        <w:pStyle w:val="A-Text11"/>
        <w:spacing w:before="0" w:line="240" w:lineRule="auto"/>
        <w:ind w:firstLine="425"/>
      </w:pPr>
      <w:r w:rsidRPr="002551BD">
        <w:t>- nadmorská výška :</w:t>
      </w:r>
      <w:r w:rsidRPr="002551BD">
        <w:tab/>
      </w:r>
      <w:r w:rsidRPr="002551BD">
        <w:tab/>
      </w:r>
      <w:r w:rsidRPr="002551BD">
        <w:tab/>
      </w:r>
      <w:r w:rsidRPr="002551BD">
        <w:tab/>
        <w:t>210 m. n. m.</w:t>
      </w:r>
    </w:p>
    <w:p w14:paraId="186B140B" w14:textId="77777777" w:rsidR="00CC39A6" w:rsidRPr="002551BD" w:rsidRDefault="00CC39A6" w:rsidP="00CC39A6">
      <w:pPr>
        <w:pStyle w:val="A-Text11"/>
      </w:pPr>
      <w:r w:rsidRPr="002551BD">
        <w:t xml:space="preserve">POTREBA TEPLA </w:t>
      </w:r>
    </w:p>
    <w:p w14:paraId="5EECB034" w14:textId="77777777" w:rsidR="00CC39A6" w:rsidRPr="002551BD" w:rsidRDefault="00CC39A6" w:rsidP="002551BD">
      <w:pPr>
        <w:pStyle w:val="A-Text11"/>
        <w:spacing w:line="240" w:lineRule="auto"/>
        <w:ind w:firstLine="425"/>
      </w:pPr>
      <w:r w:rsidRPr="002551BD">
        <w:t>Vykurovanie</w:t>
      </w:r>
      <w:r w:rsidRPr="002551BD">
        <w:tab/>
      </w:r>
      <w:r w:rsidRPr="002551BD">
        <w:tab/>
        <w:t xml:space="preserve"> </w:t>
      </w:r>
      <w:r w:rsidRPr="002551BD">
        <w:tab/>
      </w:r>
      <w:r w:rsidRPr="002551BD">
        <w:tab/>
      </w:r>
      <w:r w:rsidRPr="002551BD">
        <w:tab/>
        <w:t>174 kW</w:t>
      </w:r>
    </w:p>
    <w:p w14:paraId="39309C4C" w14:textId="42D637D4" w:rsidR="00CC39A6" w:rsidRPr="002551BD" w:rsidRDefault="00CC39A6" w:rsidP="002551BD">
      <w:pPr>
        <w:pStyle w:val="A-Text11"/>
        <w:spacing w:line="240" w:lineRule="auto"/>
        <w:ind w:firstLine="425"/>
      </w:pPr>
      <w:r w:rsidRPr="002551BD">
        <w:t>Vzduchotechnika</w:t>
      </w:r>
      <w:r w:rsidRPr="002551BD">
        <w:tab/>
      </w:r>
      <w:r w:rsidRPr="002551BD">
        <w:tab/>
      </w:r>
      <w:r w:rsidRPr="002551BD">
        <w:tab/>
      </w:r>
      <w:r w:rsidRPr="002551BD">
        <w:tab/>
      </w:r>
      <w:r w:rsidRPr="002551BD">
        <w:tab/>
        <w:t>55 kW</w:t>
      </w:r>
    </w:p>
    <w:p w14:paraId="18E8EE8C" w14:textId="77777777" w:rsidR="00CC39A6" w:rsidRPr="002551BD" w:rsidRDefault="00CC39A6" w:rsidP="002551BD">
      <w:pPr>
        <w:pStyle w:val="A-Text11"/>
        <w:spacing w:line="240" w:lineRule="auto"/>
        <w:ind w:firstLine="425"/>
      </w:pPr>
      <w:r w:rsidRPr="002551BD">
        <w:t>Ohrev pitnej vody</w:t>
      </w:r>
      <w:r w:rsidRPr="002551BD">
        <w:tab/>
      </w:r>
      <w:r w:rsidRPr="002551BD">
        <w:tab/>
      </w:r>
      <w:r w:rsidRPr="002551BD">
        <w:tab/>
      </w:r>
      <w:r w:rsidRPr="002551BD">
        <w:tab/>
        <w:t>150 kW</w:t>
      </w:r>
    </w:p>
    <w:p w14:paraId="3B1429A8" w14:textId="2F2886D3" w:rsidR="00CC39A6" w:rsidRPr="002551BD" w:rsidRDefault="00CC39A6" w:rsidP="00CC39A6">
      <w:pPr>
        <w:pStyle w:val="A-Text11"/>
      </w:pPr>
      <w:r w:rsidRPr="002551BD">
        <w:t>SPOLU</w:t>
      </w:r>
      <w:r w:rsidRPr="002551BD">
        <w:tab/>
      </w:r>
      <w:r w:rsidRPr="002551BD">
        <w:tab/>
      </w:r>
      <w:r w:rsidRPr="002551BD">
        <w:tab/>
      </w:r>
      <w:r w:rsidRPr="002551BD">
        <w:tab/>
      </w:r>
      <w:r w:rsidRPr="002551BD">
        <w:tab/>
      </w:r>
      <w:r w:rsidRPr="002551BD">
        <w:tab/>
        <w:t>379 kW</w:t>
      </w:r>
    </w:p>
    <w:p w14:paraId="12C04E2F" w14:textId="3410A81F" w:rsidR="00CC39A6" w:rsidRPr="002551BD" w:rsidRDefault="00CC39A6" w:rsidP="008F7CED">
      <w:pPr>
        <w:pStyle w:val="A-Text11"/>
      </w:pPr>
      <w:r w:rsidRPr="002551BD">
        <w:t>Ročná spotreba tepla</w:t>
      </w:r>
    </w:p>
    <w:p w14:paraId="76842ED9" w14:textId="740EBCCE" w:rsidR="00CC39A6" w:rsidRPr="002551BD" w:rsidRDefault="00CC39A6" w:rsidP="00CC39A6">
      <w:pPr>
        <w:pStyle w:val="A-Text11"/>
      </w:pPr>
      <w:r w:rsidRPr="002551BD">
        <w:t>VYKUROVANIE</w:t>
      </w:r>
      <w:r w:rsidRPr="002551BD">
        <w:tab/>
      </w:r>
      <w:r w:rsidR="008F7CED" w:rsidRPr="002551BD">
        <w:tab/>
      </w:r>
      <w:r w:rsidRPr="002551BD">
        <w:t>Qroč ÚK=</w:t>
      </w:r>
      <w:r w:rsidRPr="002551BD">
        <w:tab/>
        <w:t>331,12</w:t>
      </w:r>
      <w:r w:rsidRPr="002551BD">
        <w:tab/>
        <w:t>MWh/rok</w:t>
      </w:r>
      <w:r w:rsidRPr="002551BD">
        <w:tab/>
        <w:t>1192,0</w:t>
      </w:r>
      <w:r w:rsidRPr="002551BD">
        <w:tab/>
        <w:t>GJ/rok</w:t>
      </w:r>
    </w:p>
    <w:p w14:paraId="48062980" w14:textId="40174028" w:rsidR="00CC39A6" w:rsidRPr="002551BD" w:rsidRDefault="00CC39A6" w:rsidP="002551BD">
      <w:pPr>
        <w:pStyle w:val="A-Text11"/>
        <w:spacing w:before="0" w:line="240" w:lineRule="auto"/>
        <w:ind w:firstLine="425"/>
      </w:pPr>
      <w:r w:rsidRPr="002551BD">
        <w:t>TÚV</w:t>
      </w:r>
      <w:r w:rsidRPr="002551BD">
        <w:tab/>
      </w:r>
      <w:r w:rsidR="008F7CED" w:rsidRPr="002551BD">
        <w:tab/>
      </w:r>
      <w:r w:rsidR="008F7CED" w:rsidRPr="002551BD">
        <w:tab/>
      </w:r>
      <w:r w:rsidRPr="002551BD">
        <w:t>Qroč TÚV=</w:t>
      </w:r>
      <w:r w:rsidRPr="002551BD">
        <w:tab/>
        <w:t>403,78</w:t>
      </w:r>
      <w:r w:rsidRPr="002551BD">
        <w:tab/>
        <w:t>MWh/rok</w:t>
      </w:r>
      <w:r w:rsidRPr="002551BD">
        <w:tab/>
        <w:t>1453,6</w:t>
      </w:r>
      <w:r w:rsidRPr="002551BD">
        <w:tab/>
        <w:t>GJ/rok</w:t>
      </w:r>
    </w:p>
    <w:p w14:paraId="68ABA165" w14:textId="718ACF8E" w:rsidR="00CC39A6" w:rsidRPr="002551BD" w:rsidRDefault="00CC39A6" w:rsidP="002551BD">
      <w:pPr>
        <w:pStyle w:val="A-Text11"/>
        <w:spacing w:before="0" w:line="240" w:lineRule="auto"/>
        <w:ind w:firstLine="425"/>
      </w:pPr>
      <w:r w:rsidRPr="002551BD">
        <w:t>VZT</w:t>
      </w:r>
      <w:r w:rsidRPr="002551BD">
        <w:tab/>
      </w:r>
      <w:r w:rsidR="008F7CED" w:rsidRPr="002551BD">
        <w:tab/>
      </w:r>
      <w:r w:rsidR="008F7CED" w:rsidRPr="002551BD">
        <w:tab/>
      </w:r>
      <w:r w:rsidRPr="002551BD">
        <w:t>Qroč VZT=</w:t>
      </w:r>
      <w:r w:rsidRPr="002551BD">
        <w:tab/>
        <w:t>54,89</w:t>
      </w:r>
      <w:r w:rsidRPr="002551BD">
        <w:tab/>
        <w:t>MWh/rok</w:t>
      </w:r>
      <w:r w:rsidRPr="002551BD">
        <w:tab/>
        <w:t>197,6</w:t>
      </w:r>
      <w:r w:rsidRPr="002551BD">
        <w:tab/>
        <w:t>GJ/rok</w:t>
      </w:r>
      <w:r w:rsidRPr="002551BD">
        <w:tab/>
      </w:r>
      <w:r w:rsidRPr="002551BD">
        <w:tab/>
      </w:r>
    </w:p>
    <w:p w14:paraId="1B5B8539" w14:textId="3AC3FA72" w:rsidR="00CC39A6" w:rsidRPr="002551BD" w:rsidRDefault="00CC39A6" w:rsidP="002551BD">
      <w:pPr>
        <w:pStyle w:val="A-Text11"/>
        <w:spacing w:before="0" w:line="240" w:lineRule="auto"/>
        <w:ind w:firstLine="425"/>
      </w:pPr>
      <w:r w:rsidRPr="002551BD">
        <w:t>SPOLU</w:t>
      </w:r>
      <w:r w:rsidRPr="002551BD">
        <w:tab/>
      </w:r>
      <w:r w:rsidR="008F7CED" w:rsidRPr="002551BD">
        <w:tab/>
      </w:r>
      <w:r w:rsidR="008F7CED" w:rsidRPr="002551BD">
        <w:tab/>
      </w:r>
      <w:r w:rsidRPr="002551BD">
        <w:t>Qroč =</w:t>
      </w:r>
      <w:r w:rsidRPr="002551BD">
        <w:tab/>
      </w:r>
      <w:r w:rsidR="008F7CED" w:rsidRPr="002551BD">
        <w:tab/>
      </w:r>
      <w:r w:rsidRPr="002551BD">
        <w:t>789,78</w:t>
      </w:r>
      <w:r w:rsidRPr="002551BD">
        <w:tab/>
        <w:t>MWh/rok</w:t>
      </w:r>
      <w:r w:rsidRPr="002551BD">
        <w:tab/>
        <w:t>2843,2</w:t>
      </w:r>
      <w:r w:rsidRPr="002551BD">
        <w:tab/>
        <w:t>GJ/rok</w:t>
      </w:r>
    </w:p>
    <w:p w14:paraId="60C0E799" w14:textId="0B6BAE99" w:rsidR="00CC39A6" w:rsidRPr="002551BD" w:rsidRDefault="00CC39A6" w:rsidP="00CC39A6">
      <w:pPr>
        <w:pStyle w:val="A-Text11"/>
      </w:pPr>
      <w:r w:rsidRPr="002551BD">
        <w:t>Ročná spotreba plynu</w:t>
      </w:r>
      <w:r w:rsidRPr="002551BD">
        <w:tab/>
        <w:t>Qp =</w:t>
      </w:r>
      <w:r w:rsidRPr="002551BD">
        <w:tab/>
      </w:r>
      <w:r w:rsidR="008F7CED" w:rsidRPr="002551BD">
        <w:tab/>
      </w:r>
      <w:r w:rsidRPr="002551BD">
        <w:t>86,86</w:t>
      </w:r>
      <w:r w:rsidRPr="002551BD">
        <w:tab/>
        <w:t>tis.m</w:t>
      </w:r>
      <w:r w:rsidRPr="007C6BAB">
        <w:rPr>
          <w:vertAlign w:val="superscript"/>
        </w:rPr>
        <w:t>3</w:t>
      </w:r>
      <w:r w:rsidRPr="002551BD">
        <w:t>/rok</w:t>
      </w:r>
      <w:r w:rsidRPr="002551BD">
        <w:tab/>
      </w:r>
    </w:p>
    <w:p w14:paraId="6381BAE3" w14:textId="77777777" w:rsidR="00CC39A6" w:rsidRPr="002551BD" w:rsidRDefault="00CC39A6" w:rsidP="002551BD">
      <w:pPr>
        <w:pStyle w:val="A-Text11"/>
        <w:spacing w:before="0" w:line="240" w:lineRule="auto"/>
        <w:ind w:firstLine="425"/>
      </w:pPr>
      <w:r w:rsidRPr="002551BD">
        <w:t>Zimná spotreba plynu</w:t>
      </w:r>
      <w:r w:rsidRPr="002551BD">
        <w:tab/>
        <w:t>Qpzim =</w:t>
      </w:r>
      <w:r w:rsidRPr="002551BD">
        <w:tab/>
        <w:t>64,66</w:t>
      </w:r>
      <w:r w:rsidRPr="002551BD">
        <w:tab/>
        <w:t>tis.m</w:t>
      </w:r>
      <w:r w:rsidRPr="007C6BAB">
        <w:rPr>
          <w:vertAlign w:val="superscript"/>
        </w:rPr>
        <w:t>3</w:t>
      </w:r>
      <w:r w:rsidRPr="002551BD">
        <w:t>/rok</w:t>
      </w:r>
      <w:r w:rsidRPr="002551BD">
        <w:tab/>
      </w:r>
    </w:p>
    <w:p w14:paraId="02EB7C4C" w14:textId="77777777" w:rsidR="00CC39A6" w:rsidRPr="002551BD" w:rsidRDefault="00CC39A6" w:rsidP="002551BD">
      <w:pPr>
        <w:pStyle w:val="A-Text11"/>
        <w:spacing w:before="0" w:line="240" w:lineRule="auto"/>
        <w:ind w:firstLine="425"/>
      </w:pPr>
      <w:r w:rsidRPr="002551BD">
        <w:t>Letná spotreba plynu</w:t>
      </w:r>
      <w:r w:rsidRPr="002551BD">
        <w:tab/>
        <w:t>Qpleto =</w:t>
      </w:r>
      <w:r w:rsidRPr="002551BD">
        <w:tab/>
        <w:t>22,20</w:t>
      </w:r>
      <w:r w:rsidRPr="002551BD">
        <w:tab/>
        <w:t>tis.m</w:t>
      </w:r>
      <w:r w:rsidRPr="007C6BAB">
        <w:rPr>
          <w:vertAlign w:val="superscript"/>
        </w:rPr>
        <w:t>3</w:t>
      </w:r>
      <w:r w:rsidRPr="002551BD">
        <w:t>/rok</w:t>
      </w:r>
      <w:r w:rsidRPr="002551BD">
        <w:tab/>
      </w:r>
    </w:p>
    <w:p w14:paraId="1F0C1D51" w14:textId="77777777" w:rsidR="00CC39A6" w:rsidRPr="002551BD" w:rsidRDefault="00CC39A6" w:rsidP="002551BD">
      <w:pPr>
        <w:pStyle w:val="A-Text11"/>
        <w:spacing w:before="0" w:line="240" w:lineRule="auto"/>
        <w:ind w:firstLine="425"/>
      </w:pPr>
      <w:r w:rsidRPr="002551BD">
        <w:t>Účel využitia plynu</w:t>
      </w:r>
      <w:r w:rsidRPr="002551BD">
        <w:tab/>
        <w:t>Technológia</w:t>
      </w:r>
      <w:r w:rsidRPr="002551BD">
        <w:tab/>
        <w:t>51</w:t>
      </w:r>
      <w:r w:rsidRPr="002551BD">
        <w:tab/>
        <w:t>%</w:t>
      </w:r>
      <w:r w:rsidRPr="002551BD">
        <w:tab/>
      </w:r>
      <w:r w:rsidRPr="002551BD">
        <w:tab/>
      </w:r>
    </w:p>
    <w:p w14:paraId="2ECD7EA0" w14:textId="5D9BC761" w:rsidR="00CC39A6" w:rsidRPr="002551BD" w:rsidRDefault="00CC39A6" w:rsidP="00CC39A6">
      <w:pPr>
        <w:pStyle w:val="A-Text11"/>
      </w:pPr>
      <w:r w:rsidRPr="002551BD">
        <w:tab/>
      </w:r>
      <w:r w:rsidR="008F7CED" w:rsidRPr="002551BD">
        <w:tab/>
      </w:r>
      <w:r w:rsidR="008F7CED" w:rsidRPr="002551BD">
        <w:tab/>
      </w:r>
      <w:r w:rsidR="008F7CED" w:rsidRPr="002551BD">
        <w:tab/>
      </w:r>
      <w:r w:rsidRPr="002551BD">
        <w:t>Vykurovanie</w:t>
      </w:r>
      <w:r w:rsidRPr="002551BD">
        <w:tab/>
        <w:t>49</w:t>
      </w:r>
      <w:r w:rsidRPr="002551BD">
        <w:tab/>
        <w:t>%</w:t>
      </w:r>
      <w:r w:rsidRPr="002551BD">
        <w:tab/>
      </w:r>
      <w:r w:rsidRPr="002551BD">
        <w:tab/>
      </w:r>
    </w:p>
    <w:p w14:paraId="657373B6" w14:textId="275DAB67" w:rsidR="00CC39A6" w:rsidRPr="002551BD" w:rsidRDefault="00CC39A6" w:rsidP="008F7CED">
      <w:pPr>
        <w:pStyle w:val="A-Text11"/>
      </w:pPr>
      <w:r w:rsidRPr="002551BD">
        <w:t>Zdroj tepla</w:t>
      </w:r>
    </w:p>
    <w:p w14:paraId="192B02AF" w14:textId="77777777" w:rsidR="00CC39A6" w:rsidRPr="002551BD" w:rsidRDefault="00CC39A6" w:rsidP="00CC39A6">
      <w:pPr>
        <w:pStyle w:val="A-Text11"/>
      </w:pPr>
      <w:r w:rsidRPr="002551BD">
        <w:t>Pre zabezpečenie potreby tepla pre vykurovanie, vzduchotechniku a ohrevu pitnej vody bude slúžiť plynová kotolňa ako hlavný zdroj tepla v kombinácií s tepelnými čerpadlami vzduch voda. Tepelný príkon kotolne bude:</w:t>
      </w:r>
    </w:p>
    <w:p w14:paraId="2212A6D4" w14:textId="77777777" w:rsidR="00CC39A6" w:rsidRPr="002551BD" w:rsidRDefault="00CC39A6" w:rsidP="00CC39A6">
      <w:pPr>
        <w:pStyle w:val="A-Text11"/>
      </w:pPr>
      <w:r w:rsidRPr="002551BD">
        <w:t>Qkot = (0,85*QUK + 0,85*QVZT  +1,0*QTUV)* 1.05</w:t>
      </w:r>
    </w:p>
    <w:p w14:paraId="4096CFC8" w14:textId="77777777" w:rsidR="00CC39A6" w:rsidRPr="002551BD" w:rsidRDefault="00CC39A6" w:rsidP="00CC39A6">
      <w:pPr>
        <w:pStyle w:val="A-Text11"/>
      </w:pPr>
      <w:r w:rsidRPr="002551BD">
        <w:t>Qkot = (148 + 47 + 150)*1,05 = 362 kW</w:t>
      </w:r>
    </w:p>
    <w:p w14:paraId="54DEB63F" w14:textId="77777777" w:rsidR="00CC39A6" w:rsidRPr="002551BD" w:rsidRDefault="00CC39A6" w:rsidP="00CC39A6">
      <w:pPr>
        <w:pStyle w:val="A-Text11"/>
      </w:pPr>
      <w:r w:rsidRPr="002551BD">
        <w:lastRenderedPageBreak/>
        <w:t>Na základe tepelnej bilancie a spočítaných prevádzkových špičiek je navrhovaný výkon inštalovaného plynového tepelného zdroja QZ= 372 kW. V kotolni budú osadené dva stacionárne plynové kondenzačné kotle napr. BUDERUS LOGANO PLUS KB372-200  o menovitom výkone 186kW. Hodinová spotreba plynu pre  jeden kotol je 20,1m</w:t>
      </w:r>
      <w:r w:rsidRPr="007C6BAB">
        <w:rPr>
          <w:vertAlign w:val="superscript"/>
        </w:rPr>
        <w:t>3</w:t>
      </w:r>
      <w:r w:rsidRPr="002551BD">
        <w:t>/h. Spotreba plynu pre oba kotle je 40,2 m</w:t>
      </w:r>
      <w:r w:rsidRPr="007C6BAB">
        <w:rPr>
          <w:vertAlign w:val="superscript"/>
        </w:rPr>
        <w:t>3</w:t>
      </w:r>
      <w:r w:rsidRPr="002551BD">
        <w:t>/h.</w:t>
      </w:r>
    </w:p>
    <w:p w14:paraId="19F43F32" w14:textId="77777777" w:rsidR="00CC39A6" w:rsidRPr="002551BD" w:rsidRDefault="00CC39A6" w:rsidP="00CC39A6">
      <w:pPr>
        <w:pStyle w:val="A-Text11"/>
      </w:pPr>
      <w:r w:rsidRPr="002551BD">
        <w:t>Kotle sú v praxi osvedčené, ich vysoká účinnosť a nízke NO</w:t>
      </w:r>
      <w:r w:rsidRPr="007C6BAB">
        <w:rPr>
          <w:vertAlign w:val="subscript"/>
        </w:rPr>
        <w:t>x</w:t>
      </w:r>
      <w:r w:rsidRPr="002551BD">
        <w:t xml:space="preserve"> spolu s ostatnými prevádzkovými vlastnosťami ich radí k špičkovým výrobkom. Kotle sú v zmysle STN 07 0703 čl.99-102 vybavené všetkými náležitosťami.</w:t>
      </w:r>
    </w:p>
    <w:p w14:paraId="4A2911F1" w14:textId="77777777" w:rsidR="00CC39A6" w:rsidRPr="002551BD" w:rsidRDefault="00CC39A6" w:rsidP="00CC39A6">
      <w:pPr>
        <w:pStyle w:val="A-Text11"/>
      </w:pPr>
      <w:r w:rsidRPr="002551BD">
        <w:t>Kotly budú zapojené do kaskády. Prevádzkovať je možné každý kotol osobitne alebo spoločne kaskádovým radením. Regulácia vykurovacieho systému je zabezpečená profesiou MaR. V MaR je zabezpečené zapisovanie prevádzkových hodín každého z kotlov.</w:t>
      </w:r>
    </w:p>
    <w:p w14:paraId="24A22DE8" w14:textId="77777777" w:rsidR="00CC39A6" w:rsidRPr="002551BD" w:rsidRDefault="00CC39A6" w:rsidP="00CC39A6">
      <w:pPr>
        <w:pStyle w:val="A-Text11"/>
      </w:pPr>
      <w:r w:rsidRPr="002551BD">
        <w:t>Odvod spalín od kondenzačných kotlov bude zabezpečený pomocou kaskádovej spalinovej ceste Buderus pre dva kotle DN250 a  trojvrstvovéhe nerezového komína napr. Schiedel DN250  a bude vyvedený nad strechu objektu min. 1.0 m nad atikou. Prívod vzduchu pre spaľovanie je závislé od okolitého vzduchu v kotolni. Vodorovný úsek dymovodu je spádovaný smerom ku kotlu so sklonom 3°. Odvod spalín od navrhovaného zdroja tepla je riešený v zmysle STN EN 15287-1, Z. z. č. 410/2012 prílohy č. 9.</w:t>
      </w:r>
    </w:p>
    <w:p w14:paraId="7CC7F192" w14:textId="77777777" w:rsidR="00CC39A6" w:rsidRPr="002551BD" w:rsidRDefault="00CC39A6" w:rsidP="00CC39A6">
      <w:pPr>
        <w:pStyle w:val="A-Text11"/>
      </w:pPr>
      <w:r w:rsidRPr="002551BD">
        <w:t>V spodnej časti bude komínové teleso vybavené zberačom kondenzátu. Odvod kondenzátu z kotlov je cez neutralizačnú nádrž  odkiaľ bude kondenzát zaústený do kanalizácie.</w:t>
      </w:r>
    </w:p>
    <w:p w14:paraId="1D8B7B82" w14:textId="0B4585F2" w:rsidR="00CC39A6" w:rsidRPr="002551BD" w:rsidRDefault="00CC39A6" w:rsidP="00CC39A6">
      <w:pPr>
        <w:pStyle w:val="A-Text11"/>
      </w:pPr>
      <w:r w:rsidRPr="002551BD">
        <w:t xml:space="preserve">Kotolňa v zmysle prílohy č.1 k Z. z. č.410/2012 patrí do stredného zdroja znečistenia a v zmysle zák.č.137/2010, § 33 odst.1 písm.a) dáva súhlas na umiestnenie tohoto zdroja Okresný úrad životného prostredia. V kotolni budú osadené dva plynové kondenzačné kotle napr. BUDERUS typ: </w:t>
      </w:r>
    </w:p>
    <w:p w14:paraId="0B0DDB4F" w14:textId="77777777" w:rsidR="00CC39A6" w:rsidRPr="002551BD" w:rsidRDefault="00CC39A6" w:rsidP="00CC39A6">
      <w:pPr>
        <w:pStyle w:val="A-Text11"/>
      </w:pPr>
      <w:r w:rsidRPr="002551BD">
        <w:t>Logano plus KB372  o menovitom výkone 186 kW – 2ks.</w:t>
      </w:r>
    </w:p>
    <w:p w14:paraId="64E446B3" w14:textId="77777777" w:rsidR="00CC39A6" w:rsidRPr="002551BD" w:rsidRDefault="00CC39A6" w:rsidP="00CC39A6">
      <w:pPr>
        <w:pStyle w:val="A-Text11"/>
      </w:pPr>
      <w:r w:rsidRPr="002551BD">
        <w:t>Ako doplnkový zdroj tepla budú slúžiť dve tepelné čerpadlá napr. BUDERUS Logatherm WLW286-38 AR   o menovitom výkone 35kW  pri vonkajšej teplote -7°C a výstupnej teploty vody 50°C. Pri priemernej teplote vonkajšieho vzduchu v Bratislave 4,2°C je výkon tepelného čerpadla 44kW. Systémový výkon podpory vykurovania bude 88kW,</w:t>
      </w:r>
    </w:p>
    <w:p w14:paraId="247929A1" w14:textId="77777777" w:rsidR="00CC39A6" w:rsidRPr="002551BD" w:rsidRDefault="00CC39A6" w:rsidP="00CC39A6">
      <w:pPr>
        <w:pStyle w:val="A-Text11"/>
      </w:pPr>
      <w:r w:rsidRPr="002551BD">
        <w:t>Do vykurovacieho systému budú napojené ako podpora vykurovania a prípravy teplej vody. Vyrobené teplo z tepelných čerpadiel sa bude akumulovať v akumulačnej nádobe odkiaľ sa predhriata voda zohreje na požadovanú teplotu v plynových kondenzačných kotloch. Následne sa vykurovacia voda bude distribuovať do jednotlivých vykurovacích vetiev.</w:t>
      </w:r>
    </w:p>
    <w:p w14:paraId="1F9207A4" w14:textId="77777777" w:rsidR="00CC39A6" w:rsidRPr="002551BD" w:rsidRDefault="00CC39A6" w:rsidP="00CC39A6">
      <w:pPr>
        <w:pStyle w:val="A-Text11"/>
      </w:pPr>
      <w:r w:rsidRPr="002551BD">
        <w:t>Pri návrhu zdrojov znečistenia sa postupovalo v súlade so zákonom 245/2003 Z. z. o integrovanej prevencii a kontrole znečisťovania životného prostredia a o zmene a doplnení niektorých zákonov v znení neskorších predpisov. Bola vybraná technológia obsahujúca podmienky BAT technológie:</w:t>
      </w:r>
    </w:p>
    <w:p w14:paraId="403BE9E2" w14:textId="77777777" w:rsidR="00CC39A6" w:rsidRPr="002551BD" w:rsidRDefault="00CC39A6" w:rsidP="00CC39A6">
      <w:pPr>
        <w:pStyle w:val="A-Text11"/>
      </w:pPr>
      <w:r w:rsidRPr="002551BD">
        <w:t>Najlepšia dostupná technika podľa tohto zákona je najefektívnejší a najpokročilejší stav rozvoja činností a spôsob ich prevádzkovania, ktorý preukazuje praktickú vhodnosť určitej techniky, najmä z hľadiska určovania emisných limitov sledujúcich predchádzanie vzniku emisií v prevádzke, a ak to nie je možné, aspoň celkové zníženie emisií a ich nepriaznivého vplyvu na životné prostredie.</w:t>
      </w:r>
    </w:p>
    <w:p w14:paraId="68CA5918" w14:textId="7D80FB6C" w:rsidR="00CC39A6" w:rsidRPr="002551BD" w:rsidRDefault="00CC39A6" w:rsidP="00CC39A6">
      <w:pPr>
        <w:pStyle w:val="A-Text11"/>
      </w:pPr>
      <w:r w:rsidRPr="002551BD">
        <w:lastRenderedPageBreak/>
        <w:t>Zabezpečovacie zariadenia</w:t>
      </w:r>
    </w:p>
    <w:p w14:paraId="35C8E65B" w14:textId="77777777" w:rsidR="00CC39A6" w:rsidRPr="002551BD" w:rsidRDefault="00CC39A6" w:rsidP="00CC39A6">
      <w:pPr>
        <w:pStyle w:val="A-Text11"/>
      </w:pPr>
      <w:r w:rsidRPr="002551BD">
        <w:t>Zabezpečovacím zariadením budú expanzné nádoby, resp. čerpadlový expanzný automat s odplyňovaním a doplňovaním v kombinácií s poistnými ventilmi.</w:t>
      </w:r>
    </w:p>
    <w:p w14:paraId="058AD038" w14:textId="6B1474A3" w:rsidR="00CC39A6" w:rsidRPr="002551BD" w:rsidRDefault="00CC39A6" w:rsidP="00CC39A6">
      <w:pPr>
        <w:pStyle w:val="A-Text11"/>
      </w:pPr>
      <w:r w:rsidRPr="002551BD">
        <w:t>Ohrev pitnej vody</w:t>
      </w:r>
    </w:p>
    <w:p w14:paraId="39629CBB" w14:textId="77777777" w:rsidR="00CC39A6" w:rsidRPr="002551BD" w:rsidRDefault="00CC39A6" w:rsidP="00CC39A6">
      <w:pPr>
        <w:pStyle w:val="A-Text11"/>
      </w:pPr>
      <w:r w:rsidRPr="002551BD">
        <w:t xml:space="preserve">Ohrev pitnej vody bude zabezpečený pomocou nabíjacieho systému napr. BUDERUS LOGALUX SLP4/3 E, výkon PRI 70/45°C 150kW. Ohriata voda sa bude akumulovať v zásobníku teplej vody  napr. BUDERUS LOGALUX SF 1000 s pohotovostným objemom vody 1000 litrov. </w:t>
      </w:r>
    </w:p>
    <w:p w14:paraId="1723881B" w14:textId="77777777" w:rsidR="00CC39A6" w:rsidRPr="002551BD" w:rsidRDefault="00CC39A6" w:rsidP="00CC39A6">
      <w:pPr>
        <w:pStyle w:val="A-Text11"/>
      </w:pPr>
      <w:r w:rsidRPr="002551BD">
        <w:t xml:space="preserve">    Na vstupe studenej vody bude namontovaný poistný ventil, otvárací pretlak 8bar, tlaková expanzná nádoba napr. REFLEX REFIX DT60/10  o objeme 60 litrov, uzatváracie ventily manometer, spätný ventil a filter. (potrubné armatúry budú v dodávke ZTI)</w:t>
      </w:r>
    </w:p>
    <w:p w14:paraId="4A2E34B1" w14:textId="104C1281" w:rsidR="00CC39A6" w:rsidRPr="002551BD" w:rsidRDefault="00CC39A6" w:rsidP="00CC39A6">
      <w:pPr>
        <w:pStyle w:val="A-Text11"/>
      </w:pPr>
      <w:r w:rsidRPr="002551BD">
        <w:t>Vykurovací systém</w:t>
      </w:r>
    </w:p>
    <w:p w14:paraId="69A84C88" w14:textId="77777777" w:rsidR="00CC39A6" w:rsidRPr="002551BD" w:rsidRDefault="00CC39A6" w:rsidP="00CC39A6">
      <w:pPr>
        <w:pStyle w:val="A-Text11"/>
      </w:pPr>
      <w:r w:rsidRPr="002551BD">
        <w:t>Vykurovací systém bude teplovodný s teplotným spadom 60°/40°C. Objekt bude vykurovaný pomocou lavičkových vykurovacích konvektorov osadenými na podlahe.</w:t>
      </w:r>
    </w:p>
    <w:p w14:paraId="788CDC43" w14:textId="77777777" w:rsidR="00CC39A6" w:rsidRPr="002551BD" w:rsidRDefault="00CC39A6" w:rsidP="00CC39A6">
      <w:pPr>
        <w:pStyle w:val="A-Text11"/>
      </w:pPr>
      <w:r w:rsidRPr="002551BD">
        <w:t xml:space="preserve">Pre vykurovanie  je vykurovacia voda regulovaná ekvitermicky v závislosti od vonkajšej teploty. Pre napojenie ohrievačov vzduchotechnických jednotiek a pre ohrev pitnej vody je použitá vykurovacia voda s konštantnou teplotou vody. </w:t>
      </w:r>
    </w:p>
    <w:p w14:paraId="071785D4" w14:textId="271C718C" w:rsidR="0066312D" w:rsidRPr="002551BD" w:rsidRDefault="00CC39A6" w:rsidP="00CC39A6">
      <w:pPr>
        <w:pStyle w:val="A-Text11"/>
      </w:pPr>
      <w:r w:rsidRPr="002551BD">
        <w:t>Od zdroja tepla k VZT jednotkám budú rozvody tepla vedene pod stropom riešeného podlažia. Vykurovací rozvod pre vykurovacie telesa bude vedený pod stropom príslušného podlažia a ďalej bude prechádzať do podlahy k daným vykurovacím telesám. Pre rozvod vykurovacej vody v kotolni a pod stropom budú použite oceľové čierne zvárane rúry. Potrubie vedené v podlahe bude z plasthlinových rúr. Všetky potrubia budú proti stratám tepla opatrené tepelnou izoláciou požadovanej hrúbky.</w:t>
      </w:r>
    </w:p>
    <w:p w14:paraId="072B5E92" w14:textId="2C75CC0A" w:rsidR="00427992" w:rsidRPr="002551BD" w:rsidRDefault="00427992" w:rsidP="008F7CED">
      <w:pPr>
        <w:spacing w:before="120"/>
        <w:rPr>
          <w:rFonts w:ascii="Arial" w:hAnsi="Arial" w:cs="Arial"/>
          <w:b/>
          <w:i/>
          <w:iCs/>
          <w:sz w:val="22"/>
          <w:szCs w:val="22"/>
        </w:rPr>
      </w:pPr>
      <w:r w:rsidRPr="002551BD">
        <w:rPr>
          <w:rFonts w:ascii="Arial" w:hAnsi="Arial" w:cs="Arial"/>
          <w:b/>
          <w:i/>
          <w:iCs/>
          <w:sz w:val="22"/>
          <w:szCs w:val="22"/>
        </w:rPr>
        <w:t>Plyn</w:t>
      </w:r>
    </w:p>
    <w:p w14:paraId="2ACC6084" w14:textId="78DF7DBB" w:rsidR="0066312D" w:rsidRPr="002551BD" w:rsidRDefault="0066312D" w:rsidP="00427992">
      <w:pPr>
        <w:spacing w:before="120"/>
        <w:ind w:firstLine="426"/>
        <w:rPr>
          <w:rFonts w:ascii="Arial" w:hAnsi="Arial" w:cs="Arial"/>
          <w:bCs/>
          <w:i/>
          <w:iCs/>
          <w:sz w:val="22"/>
          <w:szCs w:val="22"/>
        </w:rPr>
      </w:pPr>
      <w:r w:rsidRPr="002551BD">
        <w:rPr>
          <w:rFonts w:ascii="Arial" w:hAnsi="Arial" w:cs="Arial"/>
          <w:bCs/>
          <w:i/>
          <w:iCs/>
          <w:sz w:val="22"/>
          <w:szCs w:val="22"/>
        </w:rPr>
        <w:t>Inštalovaná spotreba 40,2  m</w:t>
      </w:r>
      <w:r w:rsidRPr="001B1B10">
        <w:rPr>
          <w:rFonts w:ascii="Arial" w:hAnsi="Arial" w:cs="Arial"/>
          <w:bCs/>
          <w:i/>
          <w:iCs/>
          <w:sz w:val="22"/>
          <w:szCs w:val="22"/>
          <w:vertAlign w:val="superscript"/>
        </w:rPr>
        <w:t>3</w:t>
      </w:r>
      <w:r w:rsidRPr="002551BD">
        <w:rPr>
          <w:rFonts w:ascii="Arial" w:hAnsi="Arial" w:cs="Arial"/>
          <w:bCs/>
          <w:i/>
          <w:iCs/>
          <w:sz w:val="22"/>
          <w:szCs w:val="22"/>
        </w:rPr>
        <w:t>/h, ročná spotreba 86 860 m</w:t>
      </w:r>
      <w:r w:rsidRPr="001B1B10">
        <w:rPr>
          <w:rFonts w:ascii="Arial" w:hAnsi="Arial" w:cs="Arial"/>
          <w:bCs/>
          <w:i/>
          <w:iCs/>
          <w:sz w:val="22"/>
          <w:szCs w:val="22"/>
          <w:vertAlign w:val="superscript"/>
        </w:rPr>
        <w:t>3</w:t>
      </w:r>
      <w:r w:rsidRPr="002551BD">
        <w:rPr>
          <w:rFonts w:ascii="Arial" w:hAnsi="Arial" w:cs="Arial"/>
          <w:bCs/>
          <w:i/>
          <w:iCs/>
          <w:sz w:val="22"/>
          <w:szCs w:val="22"/>
        </w:rPr>
        <w:t>/rok (z toho leto 26 449 m</w:t>
      </w:r>
      <w:r w:rsidRPr="001B1B10">
        <w:rPr>
          <w:rFonts w:ascii="Arial" w:hAnsi="Arial" w:cs="Arial"/>
          <w:bCs/>
          <w:i/>
          <w:iCs/>
          <w:sz w:val="22"/>
          <w:szCs w:val="22"/>
          <w:vertAlign w:val="superscript"/>
        </w:rPr>
        <w:t>3</w:t>
      </w:r>
      <w:r w:rsidRPr="002551BD">
        <w:rPr>
          <w:rFonts w:ascii="Arial" w:hAnsi="Arial" w:cs="Arial"/>
          <w:bCs/>
          <w:i/>
          <w:iCs/>
          <w:sz w:val="22"/>
          <w:szCs w:val="22"/>
        </w:rPr>
        <w:t>).</w:t>
      </w:r>
    </w:p>
    <w:p w14:paraId="4C7FBF1E" w14:textId="77777777" w:rsidR="00427992" w:rsidRPr="002551BD" w:rsidRDefault="00427992" w:rsidP="00427992">
      <w:pPr>
        <w:pStyle w:val="A-Text11"/>
      </w:pPr>
      <w:r w:rsidRPr="002551BD">
        <w:t>V súčasnosti je v blízkosti stavebnej parcely v Terchovskej ulici vedený STL distribučný plynovod, D 110, PN 90 kPa, ktorý je v správe SPP – distribúcia a.s.</w:t>
      </w:r>
    </w:p>
    <w:p w14:paraId="27E2264B" w14:textId="4677F92F" w:rsidR="00427992" w:rsidRPr="002551BD" w:rsidRDefault="00427992" w:rsidP="008D34AE">
      <w:pPr>
        <w:pStyle w:val="A-Text11"/>
        <w:rPr>
          <w:i/>
          <w:iCs/>
        </w:rPr>
      </w:pPr>
      <w:bookmarkStart w:id="238" w:name="_Toc85415816"/>
      <w:r w:rsidRPr="002551BD">
        <w:rPr>
          <w:i/>
          <w:iCs/>
        </w:rPr>
        <w:t>Navrhované riešenie</w:t>
      </w:r>
      <w:bookmarkEnd w:id="238"/>
    </w:p>
    <w:bookmarkEnd w:id="232"/>
    <w:bookmarkEnd w:id="233"/>
    <w:bookmarkEnd w:id="234"/>
    <w:bookmarkEnd w:id="235"/>
    <w:bookmarkEnd w:id="236"/>
    <w:bookmarkEnd w:id="237"/>
    <w:p w14:paraId="4B685121" w14:textId="0509719B" w:rsidR="00A5460A" w:rsidRPr="002551BD" w:rsidRDefault="00A5460A" w:rsidP="00A5460A">
      <w:pPr>
        <w:pStyle w:val="A-Text11"/>
      </w:pPr>
      <w:r w:rsidRPr="002551BD">
        <w:t>Pre zabezpečenie požadovaných odberov zemného plynu je navrhnutá plynofikácia riešeného územia pripojením na existujúci distribučný plynovod D 110, PN 90 kPa vedený v Terchovskej ulici. Za odbočkou z exist. plynovodu sa vybuduje pripojovací STL plynovod D 32 v d</w:t>
      </w:r>
      <w:r w:rsidR="007452D0" w:rsidRPr="002551BD">
        <w:t>ĺ</w:t>
      </w:r>
      <w:r w:rsidRPr="002551BD">
        <w:t xml:space="preserve">žke cca 25 m privedený do skrine regulačného a meracieho zariadenia (RaMZ) umiestnenej v stene vjazdovej rampy do podzemných garáží (pri obj. SO01 B6). Pripojovací plynovod bude ukončený nadzemným hlavným uzáverom plynu (HUP) v skrini RaMZ. Trasovanie pripojovacieho plynovodu je navrhnuté križovaním Terchovskej ulice, v zelenej ploche a chodníku riešeného územia. Skriňa RaMZ bude prístupná z verejného priestranstva. Za HUP sa inštaluje regulátor tlaku z 90 kPa na 2 kPa a  fakturačný plynomer (dodávka SPP). Regulátor tlaku je vybavený vstavaným bezpečnostným rychlouzáverom a poistným ventilom. Vetranie vnútorného priestoru skrine RaMZ bude prirodzené, zabezpečené cez voľné otvory v plechových uzamykateľných dverách. </w:t>
      </w:r>
    </w:p>
    <w:p w14:paraId="3557001B" w14:textId="7BFD46C3" w:rsidR="00A5460A" w:rsidRPr="002551BD" w:rsidRDefault="00A5460A" w:rsidP="00A5460A">
      <w:pPr>
        <w:pStyle w:val="A-Text11"/>
      </w:pPr>
      <w:r w:rsidRPr="002551BD">
        <w:lastRenderedPageBreak/>
        <w:t>Za výstupom z RaMZ pokračuje plynový rozvod   DN 65 o tlaku 2 kPa horizontálnym vedením pod stropom garážových priestorov do  kotolne umiestnenej na 1.pp. Pred vstupom plynu do kotolne sa na prívodnom potrubí inštaluje ručný uzáver plynu.  V kotolni sa z prívodného akumulačného potrubia ku každému kotlu privedenú samostatné prípojky ukončené ručným uzáverom. Odvzdušnenie konca akumulačného potrubia a odvzdušnenia prívodov ku kotlom sa spoločným potrubím vyvedie mimo kotolňu do vonkajšej atmosféry.</w:t>
      </w:r>
    </w:p>
    <w:p w14:paraId="4CA61A09" w14:textId="71497A68" w:rsidR="008D34AE" w:rsidRPr="002551BD" w:rsidRDefault="008D34AE" w:rsidP="008D34AE">
      <w:pPr>
        <w:pStyle w:val="A-Text11"/>
        <w:rPr>
          <w:i/>
          <w:iCs/>
        </w:rPr>
      </w:pPr>
      <w:r w:rsidRPr="002551BD">
        <w:rPr>
          <w:i/>
          <w:iCs/>
        </w:rPr>
        <w:t>Technologické požiadavky na spotreby plynu</w:t>
      </w:r>
    </w:p>
    <w:p w14:paraId="4D91BE8F" w14:textId="77777777" w:rsidR="00A5460A" w:rsidRPr="002551BD" w:rsidRDefault="00A5460A" w:rsidP="00A5460A">
      <w:pPr>
        <w:pStyle w:val="A-Text11"/>
      </w:pPr>
      <w:r w:rsidRPr="002551BD">
        <w:t>V rámci navrhovanej výstavby je zemný plyn potrebné zabezpečiť pre plynofikáciu centrálnej kotolne s dvomi stacionárnymi plynovými kondenzačnými kotlami Buderus Logano PLUS KB372-200, výkon á :186 kW, spotreba plynu á : 20,1 m3/h.</w:t>
      </w:r>
    </w:p>
    <w:p w14:paraId="6B485FC5" w14:textId="77777777" w:rsidR="00A5460A" w:rsidRPr="002551BD" w:rsidRDefault="00A5460A" w:rsidP="00A5460A">
      <w:pPr>
        <w:pStyle w:val="A-Text11"/>
      </w:pPr>
      <w:r w:rsidRPr="002551BD">
        <w:t>Bilancia spotrieb zemného plynu:</w:t>
      </w:r>
    </w:p>
    <w:p w14:paraId="528EF104" w14:textId="77777777" w:rsidR="00A5460A" w:rsidRPr="002551BD" w:rsidRDefault="00A5460A" w:rsidP="002551BD">
      <w:pPr>
        <w:pStyle w:val="A-Text11"/>
        <w:spacing w:before="0" w:line="240" w:lineRule="auto"/>
        <w:ind w:firstLine="425"/>
      </w:pPr>
      <w:r w:rsidRPr="002551BD">
        <w:t>Inštalovaná spotreba</w:t>
      </w:r>
      <w:r w:rsidRPr="002551BD">
        <w:tab/>
      </w:r>
      <w:r w:rsidRPr="002551BD">
        <w:tab/>
        <w:t>40,2  m</w:t>
      </w:r>
      <w:r w:rsidRPr="001B1B10">
        <w:rPr>
          <w:vertAlign w:val="superscript"/>
        </w:rPr>
        <w:t>3</w:t>
      </w:r>
      <w:r w:rsidRPr="002551BD">
        <w:t>/h</w:t>
      </w:r>
    </w:p>
    <w:p w14:paraId="50C10862" w14:textId="2527F5FE" w:rsidR="00A5460A" w:rsidRPr="002551BD" w:rsidRDefault="00A5460A" w:rsidP="002551BD">
      <w:pPr>
        <w:pStyle w:val="A-Text11"/>
        <w:spacing w:before="0" w:line="240" w:lineRule="auto"/>
        <w:ind w:firstLine="425"/>
      </w:pPr>
      <w:r w:rsidRPr="002551BD">
        <w:t>Ročná spotreba</w:t>
      </w:r>
      <w:r w:rsidRPr="002551BD">
        <w:tab/>
      </w:r>
      <w:r w:rsidRPr="002551BD">
        <w:tab/>
      </w:r>
      <w:r w:rsidRPr="002551BD">
        <w:tab/>
        <w:t>86 860 m</w:t>
      </w:r>
      <w:r w:rsidRPr="001B1B10">
        <w:rPr>
          <w:vertAlign w:val="superscript"/>
        </w:rPr>
        <w:t>3</w:t>
      </w:r>
      <w:r w:rsidRPr="002551BD">
        <w:t xml:space="preserve">/rok  </w:t>
      </w:r>
    </w:p>
    <w:p w14:paraId="186B80F4" w14:textId="77777777" w:rsidR="00A5460A" w:rsidRPr="002551BD" w:rsidRDefault="00A5460A" w:rsidP="002551BD">
      <w:pPr>
        <w:pStyle w:val="A-Text11"/>
        <w:spacing w:before="0" w:line="240" w:lineRule="auto"/>
        <w:ind w:firstLine="425"/>
      </w:pPr>
      <w:r w:rsidRPr="002551BD">
        <w:t>z toho leto</w:t>
      </w:r>
      <w:r w:rsidRPr="002551BD">
        <w:tab/>
      </w:r>
      <w:r w:rsidRPr="002551BD">
        <w:tab/>
      </w:r>
      <w:r w:rsidRPr="002551BD">
        <w:tab/>
        <w:t>26 449 m</w:t>
      </w:r>
      <w:r w:rsidRPr="001B1B10">
        <w:rPr>
          <w:vertAlign w:val="superscript"/>
        </w:rPr>
        <w:t>3</w:t>
      </w:r>
      <w:r w:rsidRPr="002551BD">
        <w:t xml:space="preserve">  </w:t>
      </w:r>
    </w:p>
    <w:p w14:paraId="2AE9DDDF" w14:textId="0BF7BE35" w:rsidR="00A5460A" w:rsidRPr="002551BD" w:rsidRDefault="00A5460A" w:rsidP="00A5460A">
      <w:pPr>
        <w:pStyle w:val="A-Text11"/>
      </w:pPr>
      <w:r w:rsidRPr="002551BD">
        <w:t>Navrhovaná kotolňa bude slúžiť pre vykurovanie a prípravu TÚV. Celkovým inštalovaným výkonom 372 kW je kotolňa v zmysle STN 07 0703 zaradená do III. kategórie.</w:t>
      </w:r>
    </w:p>
    <w:p w14:paraId="20D884D2" w14:textId="77777777" w:rsidR="00E65CA9" w:rsidRPr="004A7717" w:rsidRDefault="00E65CA9" w:rsidP="008C6F96">
      <w:pPr>
        <w:pStyle w:val="3rovenadpis"/>
      </w:pPr>
      <w:bookmarkStart w:id="239" w:name="_Toc395894090"/>
      <w:bookmarkStart w:id="240" w:name="_Toc403849682"/>
      <w:bookmarkStart w:id="241" w:name="_Toc417141523"/>
      <w:bookmarkStart w:id="242" w:name="_Toc417142359"/>
      <w:bookmarkStart w:id="243" w:name="_Toc417493791"/>
      <w:bookmarkStart w:id="244" w:name="_Toc418874725"/>
      <w:bookmarkStart w:id="245" w:name="_Toc495992971"/>
      <w:bookmarkStart w:id="246" w:name="_Toc93916836"/>
      <w:r w:rsidRPr="004A7717">
        <w:t>Nároky na pracovné sily</w:t>
      </w:r>
      <w:bookmarkEnd w:id="239"/>
      <w:bookmarkEnd w:id="240"/>
      <w:bookmarkEnd w:id="241"/>
      <w:bookmarkEnd w:id="242"/>
      <w:bookmarkEnd w:id="243"/>
      <w:bookmarkEnd w:id="244"/>
      <w:bookmarkEnd w:id="245"/>
      <w:bookmarkEnd w:id="246"/>
    </w:p>
    <w:bookmarkEnd w:id="229"/>
    <w:bookmarkEnd w:id="230"/>
    <w:bookmarkEnd w:id="231"/>
    <w:p w14:paraId="31AFCFD5" w14:textId="77777777" w:rsidR="00014924" w:rsidRPr="00112D7E" w:rsidRDefault="00014924" w:rsidP="00014924">
      <w:pPr>
        <w:spacing w:before="120"/>
        <w:jc w:val="both"/>
        <w:rPr>
          <w:rFonts w:ascii="Arial" w:hAnsi="Arial" w:cs="Arial"/>
          <w:b/>
          <w:i/>
          <w:sz w:val="22"/>
          <w:szCs w:val="22"/>
        </w:rPr>
      </w:pPr>
      <w:r w:rsidRPr="00112D7E">
        <w:rPr>
          <w:rFonts w:ascii="Arial" w:hAnsi="Arial" w:cs="Arial"/>
          <w:b/>
          <w:i/>
          <w:sz w:val="22"/>
          <w:szCs w:val="22"/>
        </w:rPr>
        <w:t>V etape výstavby</w:t>
      </w:r>
    </w:p>
    <w:p w14:paraId="40C4E36D" w14:textId="06AFB71C" w:rsidR="00014924" w:rsidRPr="00112D7E" w:rsidRDefault="00014924" w:rsidP="00D6743E">
      <w:pPr>
        <w:spacing w:before="120"/>
        <w:jc w:val="both"/>
        <w:rPr>
          <w:rFonts w:ascii="Arial" w:hAnsi="Arial" w:cs="Arial"/>
          <w:sz w:val="22"/>
          <w:szCs w:val="22"/>
        </w:rPr>
      </w:pPr>
      <w:r w:rsidRPr="00112D7E">
        <w:rPr>
          <w:rFonts w:ascii="Arial" w:hAnsi="Arial" w:cs="Arial"/>
          <w:sz w:val="22"/>
          <w:szCs w:val="22"/>
        </w:rPr>
        <w:t xml:space="preserve">Celkom sa predpokladá nasadenie </w:t>
      </w:r>
      <w:r w:rsidRPr="000E0BC7">
        <w:rPr>
          <w:rFonts w:ascii="Arial" w:hAnsi="Arial" w:cs="Arial"/>
          <w:sz w:val="22"/>
          <w:szCs w:val="22"/>
        </w:rPr>
        <w:t xml:space="preserve">asi </w:t>
      </w:r>
      <w:r w:rsidR="002211F3" w:rsidRPr="000E0BC7">
        <w:rPr>
          <w:rFonts w:ascii="Arial" w:hAnsi="Arial" w:cs="Arial"/>
          <w:sz w:val="22"/>
          <w:szCs w:val="22"/>
        </w:rPr>
        <w:t>70</w:t>
      </w:r>
      <w:r w:rsidRPr="000E0BC7">
        <w:rPr>
          <w:rFonts w:ascii="Arial" w:hAnsi="Arial" w:cs="Arial"/>
          <w:sz w:val="22"/>
          <w:szCs w:val="22"/>
        </w:rPr>
        <w:t xml:space="preserve"> pracovníkov naraz.  Skutočne nasadené kapacity upresní </w:t>
      </w:r>
      <w:r w:rsidR="001B1B10" w:rsidRPr="000E0BC7">
        <w:rPr>
          <w:rFonts w:ascii="Arial" w:hAnsi="Arial" w:cs="Arial"/>
          <w:sz w:val="22"/>
          <w:szCs w:val="22"/>
        </w:rPr>
        <w:t>ďalší</w:t>
      </w:r>
      <w:r w:rsidRPr="000E0BC7">
        <w:rPr>
          <w:rFonts w:ascii="Arial" w:hAnsi="Arial" w:cs="Arial"/>
          <w:sz w:val="22"/>
          <w:szCs w:val="22"/>
        </w:rPr>
        <w:t xml:space="preserve"> stupeň projektovej prípravy resp</w:t>
      </w:r>
      <w:r w:rsidRPr="00112D7E">
        <w:rPr>
          <w:rFonts w:ascii="Arial" w:hAnsi="Arial" w:cs="Arial"/>
          <w:sz w:val="22"/>
          <w:szCs w:val="22"/>
        </w:rPr>
        <w:t xml:space="preserve">. vyšší dodávateľ stavby, do zahájenia prác, zohľadňujúc predpokladaný postup výstavby (etapizáciu) a kapacitné možnosti navrhovaného staveniska.  </w:t>
      </w:r>
    </w:p>
    <w:p w14:paraId="0D67014C" w14:textId="77777777" w:rsidR="00014924" w:rsidRPr="0063219C" w:rsidRDefault="00014924" w:rsidP="00D6743E">
      <w:pPr>
        <w:spacing w:before="120"/>
        <w:jc w:val="both"/>
        <w:rPr>
          <w:rFonts w:ascii="Arial" w:hAnsi="Arial" w:cs="Arial"/>
          <w:b/>
          <w:i/>
          <w:sz w:val="22"/>
          <w:szCs w:val="22"/>
          <w:lang w:eastAsia="en-US"/>
        </w:rPr>
      </w:pPr>
      <w:r w:rsidRPr="0063219C">
        <w:rPr>
          <w:rFonts w:ascii="Arial" w:hAnsi="Arial" w:cs="Arial"/>
          <w:b/>
          <w:i/>
          <w:sz w:val="22"/>
          <w:szCs w:val="22"/>
          <w:lang w:eastAsia="en-US"/>
        </w:rPr>
        <w:t>Počas prevádzky</w:t>
      </w:r>
    </w:p>
    <w:p w14:paraId="43A966D3" w14:textId="7286725C" w:rsidR="00014924" w:rsidRPr="00C53773" w:rsidRDefault="00E92ADA" w:rsidP="00D6743E">
      <w:pPr>
        <w:pStyle w:val="Odsekzoznamu"/>
        <w:autoSpaceDE w:val="0"/>
        <w:autoSpaceDN w:val="0"/>
        <w:adjustRightInd w:val="0"/>
        <w:spacing w:before="120"/>
        <w:ind w:left="0"/>
        <w:rPr>
          <w:rFonts w:ascii="Arial" w:eastAsia="CenturyGothic" w:hAnsi="Arial" w:cs="Arial"/>
          <w:bCs/>
          <w:i/>
          <w:sz w:val="22"/>
          <w:szCs w:val="22"/>
        </w:rPr>
      </w:pPr>
      <w:r w:rsidRPr="00500698">
        <w:rPr>
          <w:rFonts w:ascii="Arial" w:hAnsi="Arial" w:cs="Arial"/>
          <w:sz w:val="22"/>
          <w:szCs w:val="22"/>
        </w:rPr>
        <w:t xml:space="preserve">Predpokladaný počet obyvateľov je </w:t>
      </w:r>
      <w:r w:rsidR="00500698" w:rsidRPr="00500698">
        <w:rPr>
          <w:rFonts w:ascii="Arial" w:hAnsi="Arial" w:cs="Arial"/>
          <w:sz w:val="22"/>
          <w:szCs w:val="22"/>
        </w:rPr>
        <w:t>299.</w:t>
      </w:r>
      <w:r w:rsidR="00C53773" w:rsidRPr="00C53773">
        <w:rPr>
          <w:rFonts w:ascii="Arial" w:hAnsi="Arial" w:cs="Arial"/>
          <w:sz w:val="22"/>
          <w:szCs w:val="22"/>
        </w:rPr>
        <w:t xml:space="preserve"> P</w:t>
      </w:r>
      <w:r w:rsidRPr="00C53773">
        <w:rPr>
          <w:rFonts w:ascii="Arial" w:hAnsi="Arial" w:cs="Arial"/>
          <w:sz w:val="22"/>
          <w:szCs w:val="22"/>
        </w:rPr>
        <w:t>očet návštevníkov a zamestnancov bude známy pod</w:t>
      </w:r>
      <w:r w:rsidR="00500698">
        <w:rPr>
          <w:rFonts w:ascii="Arial" w:hAnsi="Arial" w:cs="Arial"/>
          <w:sz w:val="22"/>
          <w:szCs w:val="22"/>
        </w:rPr>
        <w:t>ľ</w:t>
      </w:r>
      <w:r w:rsidRPr="00C53773">
        <w:rPr>
          <w:rFonts w:ascii="Arial" w:hAnsi="Arial" w:cs="Arial"/>
          <w:sz w:val="22"/>
          <w:szCs w:val="22"/>
        </w:rPr>
        <w:t xml:space="preserve">a typu prevádzok v neskorších fázach projektu. </w:t>
      </w:r>
    </w:p>
    <w:p w14:paraId="36FA89C7" w14:textId="77777777" w:rsidR="00E65CA9" w:rsidRPr="004A7717" w:rsidRDefault="00E65CA9" w:rsidP="00D6743E">
      <w:pPr>
        <w:pStyle w:val="Nadpis2"/>
      </w:pPr>
      <w:r w:rsidRPr="004A7717">
        <w:tab/>
      </w:r>
      <w:bookmarkStart w:id="247" w:name="_Toc80536555"/>
      <w:bookmarkStart w:id="248" w:name="_Toc132078705"/>
      <w:bookmarkStart w:id="249" w:name="_Toc495992972"/>
      <w:bookmarkStart w:id="250" w:name="_Toc93916837"/>
      <w:r w:rsidRPr="004A7717">
        <w:t>Údaje o výstupoch</w:t>
      </w:r>
      <w:bookmarkEnd w:id="247"/>
      <w:bookmarkEnd w:id="248"/>
      <w:bookmarkEnd w:id="249"/>
      <w:bookmarkEnd w:id="250"/>
      <w:r w:rsidRPr="004A7717">
        <w:t xml:space="preserve"> </w:t>
      </w:r>
    </w:p>
    <w:p w14:paraId="448465F8" w14:textId="703227C0" w:rsidR="00E65CA9" w:rsidRPr="004A7717" w:rsidRDefault="00E65CA9" w:rsidP="00D6743E">
      <w:pPr>
        <w:pStyle w:val="3rovenadpis"/>
        <w:spacing w:before="120" w:after="0"/>
      </w:pPr>
      <w:bookmarkStart w:id="251" w:name="_Toc132078708"/>
      <w:bookmarkStart w:id="252" w:name="_Toc495992973"/>
      <w:bookmarkStart w:id="253" w:name="_Toc93916838"/>
      <w:r w:rsidRPr="004A7717">
        <w:t>Počas výstavby</w:t>
      </w:r>
      <w:bookmarkEnd w:id="251"/>
      <w:bookmarkEnd w:id="252"/>
      <w:bookmarkEnd w:id="253"/>
    </w:p>
    <w:p w14:paraId="2648AA4B" w14:textId="77777777" w:rsidR="00E65CA9" w:rsidRPr="00C40392" w:rsidRDefault="00E65CA9" w:rsidP="00D6743E">
      <w:pPr>
        <w:pStyle w:val="A-Text11"/>
        <w:spacing w:line="240" w:lineRule="auto"/>
      </w:pPr>
      <w:r w:rsidRPr="00C40392">
        <w:t xml:space="preserve">Ďalší vývoj územia v prípade </w:t>
      </w:r>
      <w:r w:rsidRPr="00C40392">
        <w:rPr>
          <w:i/>
          <w:u w:val="single"/>
        </w:rPr>
        <w:t>nulového variantu</w:t>
      </w:r>
      <w:r w:rsidRPr="00C40392">
        <w:t xml:space="preserve"> nemožno odvodzovať zo súčasného stavu. Aj v takomto prípade by časom boli stavebné práce na  výstavbe objektov v súlade s územným plánom.    </w:t>
      </w:r>
    </w:p>
    <w:p w14:paraId="58C6ECA8" w14:textId="77777777" w:rsidR="007A3DF7" w:rsidRPr="008F23AC" w:rsidRDefault="007A3DF7" w:rsidP="0063219C">
      <w:pPr>
        <w:pStyle w:val="A-Text11"/>
      </w:pPr>
      <w:r w:rsidRPr="008F23AC">
        <w:t xml:space="preserve">Počas stavebných činností  podľa obidvoch navrhovaných  </w:t>
      </w:r>
      <w:r w:rsidRPr="008F23AC">
        <w:rPr>
          <w:bCs/>
        </w:rPr>
        <w:t>variantov</w:t>
      </w:r>
      <w:r w:rsidRPr="008F23AC">
        <w:t xml:space="preserve"> sa zvýši hluková hladina. Hodnotenie nárastu hlukovej hladiny je závislé od organizácie výstavby, rozsahu nasadenia stavebnej techniky a dĺžky činnosti. Zároveň do toho vstupuje aj poloha vykonávanej stavebnej činnosti v riešenom území. Presné určenie nárastu hlukovej hladiny je tak možné po spracovaní harmonogramu organizácie práce.</w:t>
      </w:r>
    </w:p>
    <w:p w14:paraId="6271DE5E" w14:textId="77777777" w:rsidR="007A3DF7" w:rsidRPr="008F23AC" w:rsidRDefault="007A3DF7" w:rsidP="0063219C">
      <w:pPr>
        <w:pStyle w:val="A-Text11"/>
      </w:pPr>
      <w:r w:rsidRPr="008F23AC">
        <w:t>Časť prác bude vykonávaná ťažkou mechanizáciou, ako sú buldozéry, bagre, nákladné automobily a  za pomoci žeriavu. Na zhotovenie malých konštrukcií sa použijú ručné náradia a príručné náradia. Mechanizmy – resp. náradie, ktoré sa bude používať, sú búracie kladivá, uhlové brúsky, vŕtačky, rezačky na betón atď.</w:t>
      </w:r>
    </w:p>
    <w:p w14:paraId="456CA739" w14:textId="56D9414F" w:rsidR="007A3DF7" w:rsidRPr="008F23AC" w:rsidRDefault="007A3DF7" w:rsidP="0063219C">
      <w:pPr>
        <w:spacing w:before="120" w:line="276" w:lineRule="auto"/>
        <w:ind w:right="-2"/>
        <w:jc w:val="both"/>
        <w:rPr>
          <w:rFonts w:ascii="Arial" w:hAnsi="Arial" w:cs="Arial"/>
          <w:sz w:val="22"/>
          <w:szCs w:val="22"/>
        </w:rPr>
      </w:pPr>
      <w:r w:rsidRPr="008F23AC">
        <w:rPr>
          <w:rFonts w:ascii="Arial" w:hAnsi="Arial" w:cs="Arial"/>
          <w:sz w:val="22"/>
          <w:szCs w:val="22"/>
        </w:rPr>
        <w:t>Pre stavebnú činnosť možno uvažovať s orientačnými hodnotami jednotlivých strojov:</w:t>
      </w:r>
    </w:p>
    <w:p w14:paraId="7457FED6" w14:textId="77777777" w:rsidR="007A3DF7" w:rsidRPr="008F23AC" w:rsidRDefault="007A3DF7" w:rsidP="0095439F">
      <w:pPr>
        <w:pStyle w:val="Odsekzoznamu"/>
        <w:numPr>
          <w:ilvl w:val="0"/>
          <w:numId w:val="22"/>
        </w:numPr>
        <w:spacing w:line="276" w:lineRule="auto"/>
        <w:ind w:left="714" w:hanging="357"/>
        <w:jc w:val="left"/>
        <w:rPr>
          <w:rFonts w:ascii="Arial" w:eastAsia="Lucida Sans Unicode" w:hAnsi="Arial" w:cs="Arial"/>
          <w:bCs/>
          <w:i/>
          <w:iCs/>
          <w:sz w:val="22"/>
          <w:szCs w:val="22"/>
        </w:rPr>
      </w:pPr>
      <w:r w:rsidRPr="008F23AC">
        <w:rPr>
          <w:rFonts w:ascii="Arial" w:eastAsia="Lucida Sans Unicode" w:hAnsi="Arial" w:cs="Arial"/>
          <w:bCs/>
          <w:i/>
          <w:iCs/>
          <w:sz w:val="22"/>
          <w:szCs w:val="22"/>
        </w:rPr>
        <w:t xml:space="preserve">Kompresor </w:t>
      </w:r>
      <w:r w:rsidRPr="008F23AC">
        <w:rPr>
          <w:rFonts w:ascii="Arial" w:eastAsia="Lucida Sans Unicode" w:hAnsi="Arial" w:cs="Arial"/>
          <w:bCs/>
          <w:i/>
          <w:iCs/>
          <w:sz w:val="22"/>
          <w:szCs w:val="22"/>
        </w:rPr>
        <w:tab/>
      </w:r>
      <w:r w:rsidRPr="008F23AC">
        <w:rPr>
          <w:rFonts w:ascii="Arial" w:eastAsia="Lucida Sans Unicode" w:hAnsi="Arial" w:cs="Arial"/>
          <w:bCs/>
          <w:i/>
          <w:iCs/>
          <w:sz w:val="22"/>
          <w:szCs w:val="22"/>
        </w:rPr>
        <w:tab/>
        <w:t>hladina akustického tlaku hluku v 7m</w:t>
      </w:r>
      <w:r w:rsidRPr="008F23AC">
        <w:rPr>
          <w:rFonts w:ascii="Arial" w:eastAsia="Lucida Sans Unicode" w:hAnsi="Arial" w:cs="Arial"/>
          <w:bCs/>
          <w:i/>
          <w:iCs/>
          <w:sz w:val="22"/>
          <w:szCs w:val="22"/>
        </w:rPr>
        <w:tab/>
        <w:t>L</w:t>
      </w:r>
      <w:r w:rsidRPr="008F23AC">
        <w:rPr>
          <w:rFonts w:ascii="Arial" w:eastAsia="Lucida Sans Unicode" w:hAnsi="Arial" w:cs="Arial"/>
          <w:bCs/>
          <w:i/>
          <w:iCs/>
          <w:sz w:val="22"/>
          <w:szCs w:val="22"/>
          <w:vertAlign w:val="subscript"/>
        </w:rPr>
        <w:t xml:space="preserve">PA(7m) </w:t>
      </w:r>
      <w:r w:rsidRPr="008F23AC">
        <w:rPr>
          <w:rFonts w:ascii="Arial" w:eastAsia="Lucida Sans Unicode" w:hAnsi="Arial" w:cs="Arial"/>
          <w:bCs/>
          <w:i/>
          <w:iCs/>
          <w:sz w:val="22"/>
          <w:szCs w:val="22"/>
          <w:vertAlign w:val="subscript"/>
        </w:rPr>
        <w:tab/>
        <w:t xml:space="preserve"> </w:t>
      </w:r>
      <w:r w:rsidRPr="008F23AC">
        <w:rPr>
          <w:rFonts w:ascii="Arial" w:eastAsia="Lucida Sans Unicode" w:hAnsi="Arial" w:cs="Arial"/>
          <w:bCs/>
          <w:i/>
          <w:iCs/>
          <w:sz w:val="22"/>
          <w:szCs w:val="22"/>
        </w:rPr>
        <w:t>=   74,0 dB</w:t>
      </w:r>
    </w:p>
    <w:p w14:paraId="6ED83C5E" w14:textId="77777777" w:rsidR="007A3DF7" w:rsidRPr="008F23AC" w:rsidRDefault="007A3DF7" w:rsidP="0095439F">
      <w:pPr>
        <w:pStyle w:val="Odsekzoznamu"/>
        <w:numPr>
          <w:ilvl w:val="0"/>
          <w:numId w:val="22"/>
        </w:numPr>
        <w:spacing w:line="276" w:lineRule="auto"/>
        <w:ind w:left="714" w:hanging="357"/>
        <w:jc w:val="left"/>
        <w:rPr>
          <w:rFonts w:ascii="Arial" w:eastAsia="Lucida Sans Unicode" w:hAnsi="Arial" w:cs="Arial"/>
          <w:bCs/>
          <w:i/>
          <w:iCs/>
          <w:sz w:val="22"/>
          <w:szCs w:val="22"/>
        </w:rPr>
      </w:pPr>
      <w:r w:rsidRPr="008F23AC">
        <w:rPr>
          <w:rFonts w:ascii="Arial" w:eastAsia="Lucida Sans Unicode" w:hAnsi="Arial" w:cs="Arial"/>
          <w:bCs/>
          <w:i/>
          <w:iCs/>
          <w:sz w:val="22"/>
          <w:szCs w:val="22"/>
        </w:rPr>
        <w:t xml:space="preserve">Elektro centrála </w:t>
      </w:r>
      <w:r w:rsidRPr="008F23AC">
        <w:rPr>
          <w:rFonts w:ascii="Arial" w:eastAsia="Lucida Sans Unicode" w:hAnsi="Arial" w:cs="Arial"/>
          <w:bCs/>
          <w:i/>
          <w:iCs/>
          <w:sz w:val="22"/>
          <w:szCs w:val="22"/>
        </w:rPr>
        <w:tab/>
        <w:t>hladina akustického tlaku hluku v 7m</w:t>
      </w:r>
      <w:r w:rsidRPr="008F23AC">
        <w:rPr>
          <w:rFonts w:ascii="Arial" w:eastAsia="Lucida Sans Unicode" w:hAnsi="Arial" w:cs="Arial"/>
          <w:bCs/>
          <w:i/>
          <w:iCs/>
          <w:sz w:val="22"/>
          <w:szCs w:val="22"/>
        </w:rPr>
        <w:tab/>
        <w:t>L</w:t>
      </w:r>
      <w:r w:rsidRPr="008F23AC">
        <w:rPr>
          <w:rFonts w:ascii="Arial" w:eastAsia="Lucida Sans Unicode" w:hAnsi="Arial" w:cs="Arial"/>
          <w:bCs/>
          <w:i/>
          <w:iCs/>
          <w:sz w:val="22"/>
          <w:szCs w:val="22"/>
          <w:vertAlign w:val="subscript"/>
        </w:rPr>
        <w:t xml:space="preserve">PA(7m) </w:t>
      </w:r>
      <w:r w:rsidRPr="008F23AC">
        <w:rPr>
          <w:rFonts w:ascii="Arial" w:eastAsia="Lucida Sans Unicode" w:hAnsi="Arial" w:cs="Arial"/>
          <w:bCs/>
          <w:i/>
          <w:iCs/>
          <w:sz w:val="22"/>
          <w:szCs w:val="22"/>
          <w:vertAlign w:val="subscript"/>
        </w:rPr>
        <w:tab/>
        <w:t xml:space="preserve"> </w:t>
      </w:r>
      <w:r w:rsidRPr="008F23AC">
        <w:rPr>
          <w:rFonts w:ascii="Arial" w:eastAsia="Lucida Sans Unicode" w:hAnsi="Arial" w:cs="Arial"/>
          <w:bCs/>
          <w:i/>
          <w:iCs/>
          <w:sz w:val="22"/>
          <w:szCs w:val="22"/>
        </w:rPr>
        <w:t>=    70,0 dB</w:t>
      </w:r>
    </w:p>
    <w:p w14:paraId="7890E040" w14:textId="77777777" w:rsidR="007A3DF7" w:rsidRPr="008F23AC" w:rsidRDefault="007A3DF7" w:rsidP="0095439F">
      <w:pPr>
        <w:pStyle w:val="Odsekzoznamu"/>
        <w:numPr>
          <w:ilvl w:val="0"/>
          <w:numId w:val="22"/>
        </w:numPr>
        <w:spacing w:line="276" w:lineRule="auto"/>
        <w:ind w:left="714" w:hanging="357"/>
        <w:jc w:val="left"/>
        <w:rPr>
          <w:rFonts w:ascii="Arial" w:eastAsia="Lucida Sans Unicode" w:hAnsi="Arial" w:cs="Arial"/>
          <w:bCs/>
          <w:i/>
          <w:iCs/>
          <w:sz w:val="22"/>
          <w:szCs w:val="22"/>
        </w:rPr>
      </w:pPr>
      <w:r w:rsidRPr="008F23AC">
        <w:rPr>
          <w:rFonts w:ascii="Arial" w:eastAsia="Lucida Sans Unicode" w:hAnsi="Arial" w:cs="Arial"/>
          <w:bCs/>
          <w:i/>
          <w:iCs/>
          <w:sz w:val="22"/>
          <w:szCs w:val="22"/>
        </w:rPr>
        <w:lastRenderedPageBreak/>
        <w:t xml:space="preserve">Vrtná súprava </w:t>
      </w:r>
      <w:r w:rsidRPr="008F23AC">
        <w:rPr>
          <w:rFonts w:ascii="Arial" w:eastAsia="Lucida Sans Unicode" w:hAnsi="Arial" w:cs="Arial"/>
          <w:bCs/>
          <w:i/>
          <w:iCs/>
          <w:sz w:val="22"/>
          <w:szCs w:val="22"/>
        </w:rPr>
        <w:tab/>
        <w:t>hladina akustického tlaku hluku v 7m</w:t>
      </w:r>
      <w:r w:rsidRPr="008F23AC">
        <w:rPr>
          <w:rFonts w:ascii="Arial" w:eastAsia="Lucida Sans Unicode" w:hAnsi="Arial" w:cs="Arial"/>
          <w:bCs/>
          <w:i/>
          <w:iCs/>
          <w:sz w:val="22"/>
          <w:szCs w:val="22"/>
        </w:rPr>
        <w:tab/>
        <w:t>L</w:t>
      </w:r>
      <w:r w:rsidRPr="008F23AC">
        <w:rPr>
          <w:rFonts w:ascii="Arial" w:eastAsia="Lucida Sans Unicode" w:hAnsi="Arial" w:cs="Arial"/>
          <w:bCs/>
          <w:i/>
          <w:iCs/>
          <w:sz w:val="22"/>
          <w:szCs w:val="22"/>
          <w:vertAlign w:val="subscript"/>
        </w:rPr>
        <w:t xml:space="preserve">PA(7m) </w:t>
      </w:r>
      <w:r w:rsidRPr="008F23AC">
        <w:rPr>
          <w:rFonts w:ascii="Arial" w:eastAsia="Lucida Sans Unicode" w:hAnsi="Arial" w:cs="Arial"/>
          <w:bCs/>
          <w:i/>
          <w:iCs/>
          <w:sz w:val="22"/>
          <w:szCs w:val="22"/>
          <w:vertAlign w:val="subscript"/>
        </w:rPr>
        <w:tab/>
        <w:t xml:space="preserve"> </w:t>
      </w:r>
      <w:r w:rsidRPr="008F23AC">
        <w:rPr>
          <w:rFonts w:ascii="Arial" w:eastAsia="Lucida Sans Unicode" w:hAnsi="Arial" w:cs="Arial"/>
          <w:bCs/>
          <w:i/>
          <w:iCs/>
          <w:sz w:val="22"/>
          <w:szCs w:val="22"/>
        </w:rPr>
        <w:t>=   69,0 dB</w:t>
      </w:r>
    </w:p>
    <w:p w14:paraId="68F7EC10" w14:textId="77777777" w:rsidR="007A3DF7" w:rsidRPr="008F23AC" w:rsidRDefault="007A3DF7" w:rsidP="0095439F">
      <w:pPr>
        <w:pStyle w:val="Odsekzoznamu"/>
        <w:numPr>
          <w:ilvl w:val="0"/>
          <w:numId w:val="22"/>
        </w:numPr>
        <w:spacing w:line="276" w:lineRule="auto"/>
        <w:ind w:left="714" w:hanging="357"/>
        <w:jc w:val="left"/>
        <w:rPr>
          <w:rFonts w:ascii="Arial" w:eastAsia="Lucida Sans Unicode" w:hAnsi="Arial" w:cs="Arial"/>
          <w:bCs/>
          <w:i/>
          <w:iCs/>
          <w:sz w:val="22"/>
          <w:szCs w:val="22"/>
        </w:rPr>
      </w:pPr>
      <w:r w:rsidRPr="008F23AC">
        <w:rPr>
          <w:rFonts w:ascii="Arial" w:eastAsia="Lucida Sans Unicode" w:hAnsi="Arial" w:cs="Arial"/>
          <w:bCs/>
          <w:i/>
          <w:iCs/>
          <w:sz w:val="22"/>
          <w:szCs w:val="22"/>
        </w:rPr>
        <w:t xml:space="preserve">Rýpadlo lyžicové </w:t>
      </w:r>
      <w:r w:rsidRPr="008F23AC">
        <w:rPr>
          <w:rFonts w:ascii="Arial" w:eastAsia="Lucida Sans Unicode" w:hAnsi="Arial" w:cs="Arial"/>
          <w:bCs/>
          <w:i/>
          <w:iCs/>
          <w:sz w:val="22"/>
          <w:szCs w:val="22"/>
        </w:rPr>
        <w:tab/>
        <w:t>hladina akustického tlaku hluku v 10m</w:t>
      </w:r>
      <w:r w:rsidRPr="008F23AC">
        <w:rPr>
          <w:rFonts w:ascii="Arial" w:eastAsia="Lucida Sans Unicode" w:hAnsi="Arial" w:cs="Arial"/>
          <w:bCs/>
          <w:i/>
          <w:iCs/>
          <w:sz w:val="22"/>
          <w:szCs w:val="22"/>
        </w:rPr>
        <w:tab/>
        <w:t>L</w:t>
      </w:r>
      <w:r w:rsidRPr="008F23AC">
        <w:rPr>
          <w:rFonts w:ascii="Arial" w:eastAsia="Lucida Sans Unicode" w:hAnsi="Arial" w:cs="Arial"/>
          <w:bCs/>
          <w:i/>
          <w:iCs/>
          <w:sz w:val="22"/>
          <w:szCs w:val="22"/>
          <w:vertAlign w:val="subscript"/>
        </w:rPr>
        <w:t xml:space="preserve">PA(10m) </w:t>
      </w:r>
      <w:r w:rsidRPr="008F23AC">
        <w:rPr>
          <w:rFonts w:ascii="Arial" w:eastAsia="Lucida Sans Unicode" w:hAnsi="Arial" w:cs="Arial"/>
          <w:bCs/>
          <w:i/>
          <w:iCs/>
          <w:sz w:val="22"/>
          <w:szCs w:val="22"/>
        </w:rPr>
        <w:t>=   72,0 dB</w:t>
      </w:r>
    </w:p>
    <w:p w14:paraId="0A28028C" w14:textId="77777777" w:rsidR="007A3DF7" w:rsidRPr="008F23AC" w:rsidRDefault="007A3DF7" w:rsidP="0095439F">
      <w:pPr>
        <w:pStyle w:val="Odsekzoznamu"/>
        <w:numPr>
          <w:ilvl w:val="0"/>
          <w:numId w:val="22"/>
        </w:numPr>
        <w:spacing w:line="276" w:lineRule="auto"/>
        <w:ind w:left="714" w:hanging="357"/>
        <w:jc w:val="left"/>
        <w:rPr>
          <w:rFonts w:ascii="Arial" w:eastAsia="Lucida Sans Unicode" w:hAnsi="Arial" w:cs="Arial"/>
          <w:bCs/>
          <w:i/>
          <w:iCs/>
          <w:sz w:val="22"/>
          <w:szCs w:val="22"/>
        </w:rPr>
      </w:pPr>
      <w:r w:rsidRPr="008F23AC">
        <w:rPr>
          <w:rFonts w:ascii="Arial" w:eastAsia="Lucida Sans Unicode" w:hAnsi="Arial" w:cs="Arial"/>
          <w:bCs/>
          <w:i/>
          <w:iCs/>
          <w:sz w:val="22"/>
          <w:szCs w:val="22"/>
        </w:rPr>
        <w:t xml:space="preserve">Nákladné vozidlá  </w:t>
      </w:r>
      <w:r w:rsidRPr="008F23AC">
        <w:rPr>
          <w:rFonts w:ascii="Arial" w:eastAsia="Lucida Sans Unicode" w:hAnsi="Arial" w:cs="Arial"/>
          <w:bCs/>
          <w:i/>
          <w:iCs/>
          <w:sz w:val="22"/>
          <w:szCs w:val="22"/>
        </w:rPr>
        <w:tab/>
        <w:t>hladina akustického tlaku hluku v 10m</w:t>
      </w:r>
      <w:r w:rsidRPr="008F23AC">
        <w:rPr>
          <w:rFonts w:ascii="Arial" w:eastAsia="Lucida Sans Unicode" w:hAnsi="Arial" w:cs="Arial"/>
          <w:bCs/>
          <w:i/>
          <w:iCs/>
          <w:sz w:val="22"/>
          <w:szCs w:val="22"/>
        </w:rPr>
        <w:tab/>
        <w:t>L</w:t>
      </w:r>
      <w:r w:rsidRPr="008F23AC">
        <w:rPr>
          <w:rFonts w:ascii="Arial" w:eastAsia="Lucida Sans Unicode" w:hAnsi="Arial" w:cs="Arial"/>
          <w:bCs/>
          <w:i/>
          <w:iCs/>
          <w:sz w:val="22"/>
          <w:szCs w:val="22"/>
          <w:vertAlign w:val="subscript"/>
        </w:rPr>
        <w:t xml:space="preserve">PA(10m) </w:t>
      </w:r>
      <w:r w:rsidRPr="008F23AC">
        <w:rPr>
          <w:rFonts w:ascii="Arial" w:eastAsia="Lucida Sans Unicode" w:hAnsi="Arial" w:cs="Arial"/>
          <w:bCs/>
          <w:i/>
          <w:iCs/>
          <w:sz w:val="22"/>
          <w:szCs w:val="22"/>
        </w:rPr>
        <w:t>=   79,0 dB</w:t>
      </w:r>
    </w:p>
    <w:p w14:paraId="7A8042F2" w14:textId="77777777" w:rsidR="00372D54" w:rsidRPr="008F23AC" w:rsidRDefault="00372D54" w:rsidP="0063219C">
      <w:pPr>
        <w:pStyle w:val="A-Text11"/>
      </w:pPr>
      <w:r w:rsidRPr="008F23AC">
        <w:t xml:space="preserve">Počas výstavby vlastných objektov vzniknú odpady. V zmysle zákona o odpadoch je pôvodcom ten, na koho je vydané stavebné alebo demolačné povolenie. Pôvodca ďalej zodpovedá za správne zaradenie odpadu a za odovzdanie odpadu osobe oprávnenej nakladať s odpadom v zmysle zákona č. 79/2015 Z.z. o odpadoch a teda tento odpad zhodnocovať pri svojej činnosti, alebo odpad takto nevyužitý ponúkne na zhodnotenie inému. </w:t>
      </w:r>
    </w:p>
    <w:p w14:paraId="2949C6F2" w14:textId="77777777" w:rsidR="00372D54" w:rsidRPr="00C40392" w:rsidRDefault="00372D54" w:rsidP="0063219C">
      <w:pPr>
        <w:pStyle w:val="A-Text11"/>
      </w:pPr>
      <w:r w:rsidRPr="00C40392">
        <w:t xml:space="preserve">Pre nakladanie s odpadom platí zákon č. 79/2015 Z. z. o odpadoch a o zmene a doplnení niektorých zákonov, ako aj vyhláška č. 371/2015  Z. z. ktorou sa vykonávajú niektoré ustanovenia zákona o odpadoch a vyhláška 365/2015 Z. z., ktorou sa ustanovuje Katalóg odpadov. </w:t>
      </w:r>
    </w:p>
    <w:p w14:paraId="05CEF770" w14:textId="33C5C5EF" w:rsidR="009851A2" w:rsidRPr="00C40392" w:rsidRDefault="009851A2" w:rsidP="0063219C">
      <w:pPr>
        <w:pStyle w:val="A-Text11"/>
      </w:pPr>
      <w:r w:rsidRPr="00C40392">
        <w:t>V súvislosti  s výstavbou objektov dokume</w:t>
      </w:r>
      <w:r w:rsidR="007452D0">
        <w:t>n</w:t>
      </w:r>
      <w:r w:rsidRPr="00C40392">
        <w:t xml:space="preserve">tácia predpokladá  vznik týchto odpadov:   </w:t>
      </w:r>
    </w:p>
    <w:p w14:paraId="6FF7452C" w14:textId="08D52822" w:rsidR="009851A2" w:rsidRPr="00531067" w:rsidRDefault="009851A2" w:rsidP="009851A2">
      <w:pPr>
        <w:widowControl/>
        <w:spacing w:before="120"/>
        <w:jc w:val="both"/>
        <w:rPr>
          <w:rFonts w:ascii="Arial" w:hAnsi="Arial" w:cs="Arial"/>
          <w:bCs/>
          <w:i/>
          <w:sz w:val="18"/>
          <w:szCs w:val="18"/>
          <w:lang w:eastAsia="en-US"/>
        </w:rPr>
      </w:pPr>
      <w:r w:rsidRPr="00531067">
        <w:rPr>
          <w:rFonts w:ascii="Arial" w:hAnsi="Arial" w:cs="Arial"/>
          <w:bCs/>
          <w:i/>
          <w:sz w:val="18"/>
          <w:szCs w:val="18"/>
          <w:lang w:eastAsia="en-US"/>
        </w:rPr>
        <w:t xml:space="preserve">Tab. č. </w:t>
      </w:r>
      <w:r w:rsidR="003E186C" w:rsidRPr="00531067">
        <w:rPr>
          <w:rFonts w:ascii="Arial" w:hAnsi="Arial" w:cs="Arial"/>
          <w:bCs/>
          <w:i/>
          <w:sz w:val="18"/>
          <w:szCs w:val="18"/>
          <w:lang w:eastAsia="en-US"/>
        </w:rPr>
        <w:t>IV.2.1.1</w:t>
      </w:r>
      <w:r w:rsidRPr="00531067">
        <w:rPr>
          <w:rFonts w:ascii="Arial" w:hAnsi="Arial" w:cs="Arial"/>
          <w:bCs/>
          <w:i/>
          <w:sz w:val="18"/>
          <w:szCs w:val="18"/>
          <w:lang w:eastAsia="en-US"/>
        </w:rPr>
        <w:t xml:space="preserve">: Predpokladané odpady z výstavby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4540"/>
        <w:gridCol w:w="1276"/>
        <w:gridCol w:w="1559"/>
        <w:gridCol w:w="1417"/>
      </w:tblGrid>
      <w:tr w:rsidR="00531067" w:rsidRPr="00531067" w14:paraId="0AB11B4F" w14:textId="77777777" w:rsidTr="000A6EFC">
        <w:trPr>
          <w:jc w:val="center"/>
        </w:trPr>
        <w:tc>
          <w:tcPr>
            <w:tcW w:w="1409" w:type="dxa"/>
          </w:tcPr>
          <w:p w14:paraId="7C259FBE" w14:textId="77777777" w:rsidR="009851A2" w:rsidRPr="00531067" w:rsidRDefault="009851A2" w:rsidP="000A6EFC">
            <w:pPr>
              <w:rPr>
                <w:rFonts w:ascii="Arial" w:hAnsi="Arial" w:cs="Arial"/>
                <w:b/>
                <w:sz w:val="22"/>
                <w:szCs w:val="22"/>
              </w:rPr>
            </w:pPr>
            <w:r w:rsidRPr="00531067">
              <w:rPr>
                <w:rFonts w:ascii="Arial" w:hAnsi="Arial" w:cs="Arial"/>
                <w:b/>
                <w:sz w:val="22"/>
                <w:szCs w:val="22"/>
                <w:lang w:eastAsia="en-US"/>
              </w:rPr>
              <w:t>Číslo druhu odpadu</w:t>
            </w:r>
          </w:p>
        </w:tc>
        <w:tc>
          <w:tcPr>
            <w:tcW w:w="4540" w:type="dxa"/>
          </w:tcPr>
          <w:p w14:paraId="4A6E387B" w14:textId="77777777" w:rsidR="009851A2" w:rsidRPr="00531067" w:rsidRDefault="009851A2" w:rsidP="000A6EFC">
            <w:pPr>
              <w:rPr>
                <w:rFonts w:ascii="Arial" w:hAnsi="Arial" w:cs="Arial"/>
                <w:b/>
                <w:sz w:val="22"/>
                <w:szCs w:val="22"/>
              </w:rPr>
            </w:pPr>
            <w:r w:rsidRPr="00531067">
              <w:rPr>
                <w:rFonts w:ascii="Arial" w:hAnsi="Arial" w:cs="Arial"/>
                <w:b/>
                <w:sz w:val="22"/>
                <w:szCs w:val="22"/>
                <w:lang w:eastAsia="en-US"/>
              </w:rPr>
              <w:t>Názov skupiny, podskupiny a druhu odpadu</w:t>
            </w:r>
          </w:p>
        </w:tc>
        <w:tc>
          <w:tcPr>
            <w:tcW w:w="1276" w:type="dxa"/>
          </w:tcPr>
          <w:p w14:paraId="0179954A" w14:textId="77777777" w:rsidR="009851A2" w:rsidRPr="00531067" w:rsidRDefault="009851A2" w:rsidP="000A6EFC">
            <w:pPr>
              <w:rPr>
                <w:rFonts w:ascii="Arial" w:hAnsi="Arial" w:cs="Arial"/>
                <w:b/>
                <w:sz w:val="22"/>
                <w:szCs w:val="22"/>
              </w:rPr>
            </w:pPr>
            <w:r w:rsidRPr="00531067">
              <w:rPr>
                <w:rFonts w:ascii="Arial" w:hAnsi="Arial" w:cs="Arial"/>
                <w:b/>
                <w:sz w:val="22"/>
                <w:szCs w:val="22"/>
                <w:lang w:eastAsia="en-US"/>
              </w:rPr>
              <w:t>Kategória odpadu</w:t>
            </w:r>
          </w:p>
        </w:tc>
        <w:tc>
          <w:tcPr>
            <w:tcW w:w="1559" w:type="dxa"/>
          </w:tcPr>
          <w:p w14:paraId="3060D9C0" w14:textId="77777777" w:rsidR="009851A2" w:rsidRPr="00531067" w:rsidRDefault="009851A2" w:rsidP="005802AF">
            <w:pPr>
              <w:jc w:val="center"/>
              <w:rPr>
                <w:rFonts w:ascii="Arial" w:hAnsi="Arial" w:cs="Arial"/>
                <w:b/>
                <w:sz w:val="22"/>
                <w:szCs w:val="22"/>
              </w:rPr>
            </w:pPr>
            <w:r w:rsidRPr="00531067">
              <w:rPr>
                <w:rFonts w:ascii="Arial" w:hAnsi="Arial" w:cs="Arial"/>
                <w:b/>
                <w:sz w:val="22"/>
                <w:szCs w:val="22"/>
                <w:lang w:eastAsia="en-US"/>
              </w:rPr>
              <w:t>Predpoklad. množstvo v t.</w:t>
            </w:r>
          </w:p>
        </w:tc>
        <w:tc>
          <w:tcPr>
            <w:tcW w:w="1417" w:type="dxa"/>
          </w:tcPr>
          <w:p w14:paraId="0E8E787D" w14:textId="77777777" w:rsidR="009851A2" w:rsidRPr="00531067" w:rsidRDefault="009851A2" w:rsidP="005802AF">
            <w:pPr>
              <w:jc w:val="center"/>
              <w:rPr>
                <w:rFonts w:ascii="Arial" w:hAnsi="Arial" w:cs="Arial"/>
                <w:b/>
                <w:sz w:val="22"/>
                <w:szCs w:val="22"/>
                <w:lang w:eastAsia="en-US"/>
              </w:rPr>
            </w:pPr>
            <w:r w:rsidRPr="00531067">
              <w:rPr>
                <w:rFonts w:ascii="Arial" w:hAnsi="Arial" w:cs="Arial"/>
                <w:b/>
                <w:sz w:val="22"/>
                <w:szCs w:val="22"/>
                <w:lang w:eastAsia="en-US"/>
              </w:rPr>
              <w:t>Nakladanie s odpadom</w:t>
            </w:r>
          </w:p>
        </w:tc>
      </w:tr>
      <w:tr w:rsidR="00531067" w:rsidRPr="00531067" w14:paraId="46976646" w14:textId="77777777" w:rsidTr="000A6EFC">
        <w:trPr>
          <w:jc w:val="center"/>
        </w:trPr>
        <w:tc>
          <w:tcPr>
            <w:tcW w:w="1409" w:type="dxa"/>
          </w:tcPr>
          <w:p w14:paraId="477150E5"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17 01</w:t>
            </w:r>
          </w:p>
        </w:tc>
        <w:tc>
          <w:tcPr>
            <w:tcW w:w="4540" w:type="dxa"/>
          </w:tcPr>
          <w:p w14:paraId="6139434F"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BETÓN, TEHLY, KERAMIKA</w:t>
            </w:r>
          </w:p>
        </w:tc>
        <w:tc>
          <w:tcPr>
            <w:tcW w:w="1276" w:type="dxa"/>
          </w:tcPr>
          <w:p w14:paraId="6CD8153F" w14:textId="77777777" w:rsidR="009851A2" w:rsidRPr="00531067" w:rsidRDefault="009851A2" w:rsidP="000A6EFC">
            <w:pPr>
              <w:rPr>
                <w:rFonts w:ascii="Arial" w:hAnsi="Arial" w:cs="Arial"/>
                <w:sz w:val="22"/>
                <w:szCs w:val="22"/>
              </w:rPr>
            </w:pPr>
          </w:p>
        </w:tc>
        <w:tc>
          <w:tcPr>
            <w:tcW w:w="1559" w:type="dxa"/>
          </w:tcPr>
          <w:p w14:paraId="38B41324" w14:textId="77777777" w:rsidR="009851A2" w:rsidRPr="00531067" w:rsidRDefault="009851A2" w:rsidP="000A6EFC">
            <w:pPr>
              <w:rPr>
                <w:rFonts w:ascii="Arial" w:hAnsi="Arial" w:cs="Arial"/>
                <w:sz w:val="22"/>
                <w:szCs w:val="22"/>
              </w:rPr>
            </w:pPr>
          </w:p>
        </w:tc>
        <w:tc>
          <w:tcPr>
            <w:tcW w:w="1417" w:type="dxa"/>
          </w:tcPr>
          <w:p w14:paraId="6F4F0C4A" w14:textId="77777777" w:rsidR="009851A2" w:rsidRPr="00531067" w:rsidRDefault="009851A2" w:rsidP="005802AF">
            <w:pPr>
              <w:jc w:val="center"/>
              <w:rPr>
                <w:rFonts w:ascii="Arial" w:hAnsi="Arial" w:cs="Arial"/>
                <w:sz w:val="22"/>
                <w:szCs w:val="22"/>
              </w:rPr>
            </w:pPr>
          </w:p>
        </w:tc>
      </w:tr>
      <w:tr w:rsidR="00531067" w:rsidRPr="00531067" w14:paraId="39B0CAFC" w14:textId="77777777" w:rsidTr="000A6EFC">
        <w:trPr>
          <w:jc w:val="center"/>
        </w:trPr>
        <w:tc>
          <w:tcPr>
            <w:tcW w:w="1409" w:type="dxa"/>
          </w:tcPr>
          <w:p w14:paraId="393B5AC8"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17 01 01</w:t>
            </w:r>
          </w:p>
        </w:tc>
        <w:tc>
          <w:tcPr>
            <w:tcW w:w="4540" w:type="dxa"/>
          </w:tcPr>
          <w:p w14:paraId="35166BD8"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Betón</w:t>
            </w:r>
          </w:p>
        </w:tc>
        <w:tc>
          <w:tcPr>
            <w:tcW w:w="1276" w:type="dxa"/>
          </w:tcPr>
          <w:p w14:paraId="3834185C"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O</w:t>
            </w:r>
          </w:p>
        </w:tc>
        <w:tc>
          <w:tcPr>
            <w:tcW w:w="1559" w:type="dxa"/>
          </w:tcPr>
          <w:p w14:paraId="41974190" w14:textId="0AEC8B86" w:rsidR="009851A2" w:rsidRPr="00531067" w:rsidRDefault="00CE0870" w:rsidP="005802AF">
            <w:pPr>
              <w:ind w:right="310"/>
              <w:jc w:val="right"/>
              <w:rPr>
                <w:rFonts w:ascii="Arial" w:hAnsi="Arial" w:cs="Arial"/>
                <w:sz w:val="22"/>
                <w:szCs w:val="22"/>
              </w:rPr>
            </w:pPr>
            <w:r w:rsidRPr="00531067">
              <w:rPr>
                <w:rFonts w:ascii="Arial" w:hAnsi="Arial" w:cs="Arial"/>
                <w:sz w:val="22"/>
                <w:szCs w:val="22"/>
              </w:rPr>
              <w:t>10</w:t>
            </w:r>
            <w:r w:rsidR="009851A2" w:rsidRPr="00531067">
              <w:rPr>
                <w:rFonts w:ascii="Arial" w:hAnsi="Arial" w:cs="Arial"/>
                <w:sz w:val="22"/>
                <w:szCs w:val="22"/>
              </w:rPr>
              <w:t>,00</w:t>
            </w:r>
          </w:p>
        </w:tc>
        <w:tc>
          <w:tcPr>
            <w:tcW w:w="1417" w:type="dxa"/>
          </w:tcPr>
          <w:p w14:paraId="62BAF75E" w14:textId="77777777" w:rsidR="009851A2" w:rsidRPr="00531067" w:rsidRDefault="009851A2" w:rsidP="005802AF">
            <w:pPr>
              <w:jc w:val="center"/>
              <w:rPr>
                <w:rFonts w:ascii="Arial" w:hAnsi="Arial" w:cs="Arial"/>
                <w:sz w:val="22"/>
                <w:szCs w:val="22"/>
              </w:rPr>
            </w:pPr>
            <w:r w:rsidRPr="00531067">
              <w:rPr>
                <w:rFonts w:ascii="Arial" w:hAnsi="Arial" w:cs="Arial"/>
                <w:sz w:val="22"/>
                <w:szCs w:val="22"/>
              </w:rPr>
              <w:t>R5</w:t>
            </w:r>
          </w:p>
        </w:tc>
      </w:tr>
      <w:tr w:rsidR="00531067" w:rsidRPr="00531067" w14:paraId="19814535" w14:textId="77777777" w:rsidTr="000A6EFC">
        <w:trPr>
          <w:jc w:val="center"/>
        </w:trPr>
        <w:tc>
          <w:tcPr>
            <w:tcW w:w="1409" w:type="dxa"/>
          </w:tcPr>
          <w:p w14:paraId="4E67E65C" w14:textId="77777777" w:rsidR="009851A2" w:rsidRPr="00531067" w:rsidRDefault="009851A2" w:rsidP="000A6EFC">
            <w:pPr>
              <w:rPr>
                <w:rFonts w:ascii="Arial" w:hAnsi="Arial" w:cs="Arial"/>
                <w:sz w:val="22"/>
                <w:szCs w:val="22"/>
                <w:lang w:eastAsia="en-US"/>
              </w:rPr>
            </w:pPr>
            <w:r w:rsidRPr="00531067">
              <w:rPr>
                <w:rFonts w:ascii="Arial" w:hAnsi="Arial" w:cs="Arial"/>
                <w:sz w:val="22"/>
                <w:szCs w:val="22"/>
                <w:lang w:eastAsia="en-US"/>
              </w:rPr>
              <w:t>17 01 07</w:t>
            </w:r>
          </w:p>
        </w:tc>
        <w:tc>
          <w:tcPr>
            <w:tcW w:w="4540" w:type="dxa"/>
          </w:tcPr>
          <w:p w14:paraId="02FD35D6" w14:textId="77777777" w:rsidR="009851A2" w:rsidRPr="00531067" w:rsidRDefault="009851A2" w:rsidP="000A6EFC">
            <w:pPr>
              <w:rPr>
                <w:rFonts w:ascii="Arial" w:hAnsi="Arial" w:cs="Arial"/>
                <w:sz w:val="22"/>
                <w:szCs w:val="22"/>
                <w:lang w:eastAsia="en-US"/>
              </w:rPr>
            </w:pPr>
            <w:r w:rsidRPr="00531067">
              <w:rPr>
                <w:rFonts w:ascii="Arial" w:hAnsi="Arial" w:cs="Arial"/>
                <w:sz w:val="22"/>
                <w:szCs w:val="22"/>
                <w:lang w:eastAsia="en-US"/>
              </w:rPr>
              <w:t>Zmesi betónu, tehál, obkladačiek, dlaždíc a keramiky iné ako uvedené v 17 01 06</w:t>
            </w:r>
          </w:p>
        </w:tc>
        <w:tc>
          <w:tcPr>
            <w:tcW w:w="1276" w:type="dxa"/>
          </w:tcPr>
          <w:p w14:paraId="4707011F" w14:textId="77777777" w:rsidR="009851A2" w:rsidRPr="00531067" w:rsidRDefault="009851A2" w:rsidP="000A6EFC">
            <w:pPr>
              <w:rPr>
                <w:rFonts w:ascii="Arial" w:hAnsi="Arial" w:cs="Arial"/>
                <w:sz w:val="22"/>
                <w:szCs w:val="22"/>
                <w:lang w:eastAsia="en-US"/>
              </w:rPr>
            </w:pPr>
            <w:r w:rsidRPr="00531067">
              <w:rPr>
                <w:rFonts w:ascii="Arial" w:hAnsi="Arial" w:cs="Arial"/>
                <w:sz w:val="22"/>
                <w:szCs w:val="22"/>
                <w:lang w:eastAsia="en-US"/>
              </w:rPr>
              <w:t>O</w:t>
            </w:r>
          </w:p>
        </w:tc>
        <w:tc>
          <w:tcPr>
            <w:tcW w:w="1559" w:type="dxa"/>
          </w:tcPr>
          <w:p w14:paraId="72C2ECCF" w14:textId="1BD01322" w:rsidR="009851A2" w:rsidRPr="00531067" w:rsidRDefault="00CE0870" w:rsidP="005802AF">
            <w:pPr>
              <w:ind w:right="310"/>
              <w:jc w:val="right"/>
              <w:rPr>
                <w:rFonts w:ascii="Arial" w:hAnsi="Arial" w:cs="Arial"/>
                <w:sz w:val="22"/>
                <w:szCs w:val="22"/>
              </w:rPr>
            </w:pPr>
            <w:r w:rsidRPr="00531067">
              <w:rPr>
                <w:rFonts w:ascii="Arial" w:hAnsi="Arial" w:cs="Arial"/>
                <w:sz w:val="22"/>
                <w:szCs w:val="22"/>
              </w:rPr>
              <w:t>5</w:t>
            </w:r>
            <w:r w:rsidR="009851A2" w:rsidRPr="00531067">
              <w:rPr>
                <w:rFonts w:ascii="Arial" w:hAnsi="Arial" w:cs="Arial"/>
                <w:sz w:val="22"/>
                <w:szCs w:val="22"/>
              </w:rPr>
              <w:t>,00</w:t>
            </w:r>
          </w:p>
        </w:tc>
        <w:tc>
          <w:tcPr>
            <w:tcW w:w="1417" w:type="dxa"/>
          </w:tcPr>
          <w:p w14:paraId="3B03BD48" w14:textId="77777777" w:rsidR="009851A2" w:rsidRPr="00531067" w:rsidRDefault="009851A2" w:rsidP="005802AF">
            <w:pPr>
              <w:jc w:val="center"/>
              <w:rPr>
                <w:rFonts w:ascii="Arial" w:hAnsi="Arial" w:cs="Arial"/>
                <w:sz w:val="22"/>
                <w:szCs w:val="22"/>
              </w:rPr>
            </w:pPr>
            <w:r w:rsidRPr="00531067">
              <w:rPr>
                <w:rFonts w:ascii="Arial" w:hAnsi="Arial" w:cs="Arial"/>
                <w:sz w:val="22"/>
                <w:szCs w:val="22"/>
              </w:rPr>
              <w:t>R5</w:t>
            </w:r>
          </w:p>
        </w:tc>
      </w:tr>
      <w:tr w:rsidR="00531067" w:rsidRPr="00531067" w14:paraId="6C128CF4" w14:textId="77777777" w:rsidTr="000A6EFC">
        <w:trPr>
          <w:jc w:val="center"/>
        </w:trPr>
        <w:tc>
          <w:tcPr>
            <w:tcW w:w="1409" w:type="dxa"/>
          </w:tcPr>
          <w:p w14:paraId="0F48B1C3"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17 02</w:t>
            </w:r>
          </w:p>
        </w:tc>
        <w:tc>
          <w:tcPr>
            <w:tcW w:w="4540" w:type="dxa"/>
          </w:tcPr>
          <w:p w14:paraId="72D83F75"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DREVO, SKLO A PLASTY</w:t>
            </w:r>
          </w:p>
        </w:tc>
        <w:tc>
          <w:tcPr>
            <w:tcW w:w="1276" w:type="dxa"/>
          </w:tcPr>
          <w:p w14:paraId="6D075F7E" w14:textId="77777777" w:rsidR="009851A2" w:rsidRPr="00531067" w:rsidRDefault="009851A2" w:rsidP="000A6EFC">
            <w:pPr>
              <w:rPr>
                <w:rFonts w:ascii="Arial" w:hAnsi="Arial" w:cs="Arial"/>
                <w:sz w:val="22"/>
                <w:szCs w:val="22"/>
              </w:rPr>
            </w:pPr>
          </w:p>
        </w:tc>
        <w:tc>
          <w:tcPr>
            <w:tcW w:w="1559" w:type="dxa"/>
          </w:tcPr>
          <w:p w14:paraId="4EE74581" w14:textId="77777777" w:rsidR="009851A2" w:rsidRPr="00531067" w:rsidRDefault="009851A2" w:rsidP="005802AF">
            <w:pPr>
              <w:jc w:val="right"/>
              <w:rPr>
                <w:rFonts w:ascii="Arial" w:hAnsi="Arial" w:cs="Arial"/>
                <w:sz w:val="22"/>
                <w:szCs w:val="22"/>
              </w:rPr>
            </w:pPr>
          </w:p>
        </w:tc>
        <w:tc>
          <w:tcPr>
            <w:tcW w:w="1417" w:type="dxa"/>
          </w:tcPr>
          <w:p w14:paraId="196252E3" w14:textId="77777777" w:rsidR="009851A2" w:rsidRPr="00531067" w:rsidRDefault="009851A2" w:rsidP="005802AF">
            <w:pPr>
              <w:jc w:val="center"/>
              <w:rPr>
                <w:rFonts w:ascii="Arial" w:hAnsi="Arial" w:cs="Arial"/>
                <w:sz w:val="22"/>
                <w:szCs w:val="22"/>
              </w:rPr>
            </w:pPr>
          </w:p>
        </w:tc>
      </w:tr>
      <w:tr w:rsidR="00531067" w:rsidRPr="00531067" w14:paraId="04F5B6DC" w14:textId="77777777" w:rsidTr="000A6EFC">
        <w:trPr>
          <w:jc w:val="center"/>
        </w:trPr>
        <w:tc>
          <w:tcPr>
            <w:tcW w:w="1409" w:type="dxa"/>
          </w:tcPr>
          <w:p w14:paraId="1EB65937"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17 02 01</w:t>
            </w:r>
          </w:p>
        </w:tc>
        <w:tc>
          <w:tcPr>
            <w:tcW w:w="4540" w:type="dxa"/>
          </w:tcPr>
          <w:p w14:paraId="54894E19"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Drevo</w:t>
            </w:r>
          </w:p>
        </w:tc>
        <w:tc>
          <w:tcPr>
            <w:tcW w:w="1276" w:type="dxa"/>
          </w:tcPr>
          <w:p w14:paraId="3285FAFC"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O</w:t>
            </w:r>
          </w:p>
        </w:tc>
        <w:tc>
          <w:tcPr>
            <w:tcW w:w="1559" w:type="dxa"/>
          </w:tcPr>
          <w:p w14:paraId="58FA7095" w14:textId="6F1A8984" w:rsidR="009851A2" w:rsidRPr="00531067" w:rsidRDefault="009851A2" w:rsidP="005802AF">
            <w:pPr>
              <w:ind w:right="310"/>
              <w:jc w:val="right"/>
              <w:rPr>
                <w:rFonts w:ascii="Arial" w:hAnsi="Arial" w:cs="Arial"/>
                <w:sz w:val="22"/>
                <w:szCs w:val="22"/>
              </w:rPr>
            </w:pPr>
            <w:r w:rsidRPr="00531067">
              <w:rPr>
                <w:rFonts w:ascii="Arial" w:hAnsi="Arial" w:cs="Arial"/>
                <w:sz w:val="22"/>
                <w:szCs w:val="22"/>
              </w:rPr>
              <w:t>7,00</w:t>
            </w:r>
          </w:p>
        </w:tc>
        <w:tc>
          <w:tcPr>
            <w:tcW w:w="1417" w:type="dxa"/>
          </w:tcPr>
          <w:p w14:paraId="1ABDF892" w14:textId="77777777" w:rsidR="009851A2" w:rsidRPr="00531067" w:rsidRDefault="009851A2" w:rsidP="005802AF">
            <w:pPr>
              <w:jc w:val="center"/>
              <w:rPr>
                <w:rFonts w:ascii="Arial" w:hAnsi="Arial" w:cs="Arial"/>
                <w:sz w:val="22"/>
                <w:szCs w:val="22"/>
              </w:rPr>
            </w:pPr>
            <w:r w:rsidRPr="00531067">
              <w:rPr>
                <w:rFonts w:ascii="Arial" w:hAnsi="Arial" w:cs="Arial"/>
                <w:sz w:val="22"/>
                <w:szCs w:val="22"/>
              </w:rPr>
              <w:t>R1</w:t>
            </w:r>
          </w:p>
        </w:tc>
      </w:tr>
      <w:tr w:rsidR="00531067" w:rsidRPr="00531067" w14:paraId="6DBFB673" w14:textId="77777777" w:rsidTr="000A6EFC">
        <w:trPr>
          <w:jc w:val="center"/>
        </w:trPr>
        <w:tc>
          <w:tcPr>
            <w:tcW w:w="1409" w:type="dxa"/>
          </w:tcPr>
          <w:p w14:paraId="6174C3C7"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17 02 03</w:t>
            </w:r>
          </w:p>
        </w:tc>
        <w:tc>
          <w:tcPr>
            <w:tcW w:w="4540" w:type="dxa"/>
          </w:tcPr>
          <w:p w14:paraId="5787896D"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Plasty</w:t>
            </w:r>
          </w:p>
        </w:tc>
        <w:tc>
          <w:tcPr>
            <w:tcW w:w="1276" w:type="dxa"/>
          </w:tcPr>
          <w:p w14:paraId="05AFF62A"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O</w:t>
            </w:r>
          </w:p>
        </w:tc>
        <w:tc>
          <w:tcPr>
            <w:tcW w:w="1559" w:type="dxa"/>
          </w:tcPr>
          <w:p w14:paraId="4A835B62" w14:textId="77777777" w:rsidR="009851A2" w:rsidRPr="00531067" w:rsidRDefault="009851A2" w:rsidP="005802AF">
            <w:pPr>
              <w:ind w:right="310"/>
              <w:jc w:val="right"/>
              <w:rPr>
                <w:rFonts w:ascii="Arial" w:hAnsi="Arial" w:cs="Arial"/>
                <w:sz w:val="22"/>
                <w:szCs w:val="22"/>
              </w:rPr>
            </w:pPr>
            <w:r w:rsidRPr="00531067">
              <w:rPr>
                <w:rFonts w:ascii="Arial" w:hAnsi="Arial" w:cs="Arial"/>
                <w:sz w:val="22"/>
                <w:szCs w:val="22"/>
              </w:rPr>
              <w:t>0,20</w:t>
            </w:r>
          </w:p>
        </w:tc>
        <w:tc>
          <w:tcPr>
            <w:tcW w:w="1417" w:type="dxa"/>
          </w:tcPr>
          <w:p w14:paraId="2C55AC4C" w14:textId="77777777" w:rsidR="009851A2" w:rsidRPr="00531067" w:rsidRDefault="009851A2" w:rsidP="005802AF">
            <w:pPr>
              <w:jc w:val="center"/>
              <w:rPr>
                <w:rFonts w:ascii="Arial" w:hAnsi="Arial" w:cs="Arial"/>
                <w:sz w:val="22"/>
                <w:szCs w:val="22"/>
              </w:rPr>
            </w:pPr>
            <w:r w:rsidRPr="00531067">
              <w:rPr>
                <w:rFonts w:ascii="Arial" w:hAnsi="Arial" w:cs="Arial"/>
                <w:sz w:val="22"/>
                <w:szCs w:val="22"/>
              </w:rPr>
              <w:t>R3</w:t>
            </w:r>
          </w:p>
        </w:tc>
      </w:tr>
      <w:tr w:rsidR="00531067" w:rsidRPr="00531067" w14:paraId="6A91D6FF" w14:textId="77777777" w:rsidTr="000A6EFC">
        <w:trPr>
          <w:jc w:val="center"/>
        </w:trPr>
        <w:tc>
          <w:tcPr>
            <w:tcW w:w="1409" w:type="dxa"/>
          </w:tcPr>
          <w:p w14:paraId="6EC7479F"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17 04</w:t>
            </w:r>
          </w:p>
        </w:tc>
        <w:tc>
          <w:tcPr>
            <w:tcW w:w="4540" w:type="dxa"/>
          </w:tcPr>
          <w:p w14:paraId="6E1383B0"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KOVY</w:t>
            </w:r>
          </w:p>
        </w:tc>
        <w:tc>
          <w:tcPr>
            <w:tcW w:w="1276" w:type="dxa"/>
          </w:tcPr>
          <w:p w14:paraId="7DAFEA8C" w14:textId="77777777" w:rsidR="009851A2" w:rsidRPr="00531067" w:rsidRDefault="009851A2" w:rsidP="000A6EFC">
            <w:pPr>
              <w:rPr>
                <w:rFonts w:ascii="Arial" w:hAnsi="Arial" w:cs="Arial"/>
                <w:sz w:val="22"/>
                <w:szCs w:val="22"/>
              </w:rPr>
            </w:pPr>
          </w:p>
        </w:tc>
        <w:tc>
          <w:tcPr>
            <w:tcW w:w="1559" w:type="dxa"/>
          </w:tcPr>
          <w:p w14:paraId="60C6078D" w14:textId="77777777" w:rsidR="009851A2" w:rsidRPr="00531067" w:rsidRDefault="009851A2" w:rsidP="005802AF">
            <w:pPr>
              <w:jc w:val="right"/>
              <w:rPr>
                <w:rFonts w:ascii="Arial" w:hAnsi="Arial" w:cs="Arial"/>
                <w:sz w:val="22"/>
                <w:szCs w:val="22"/>
              </w:rPr>
            </w:pPr>
          </w:p>
        </w:tc>
        <w:tc>
          <w:tcPr>
            <w:tcW w:w="1417" w:type="dxa"/>
          </w:tcPr>
          <w:p w14:paraId="281C8E75" w14:textId="77777777" w:rsidR="009851A2" w:rsidRPr="00531067" w:rsidRDefault="009851A2" w:rsidP="005802AF">
            <w:pPr>
              <w:jc w:val="center"/>
              <w:rPr>
                <w:rFonts w:ascii="Arial" w:hAnsi="Arial" w:cs="Arial"/>
                <w:sz w:val="22"/>
                <w:szCs w:val="22"/>
              </w:rPr>
            </w:pPr>
          </w:p>
        </w:tc>
      </w:tr>
      <w:tr w:rsidR="00531067" w:rsidRPr="00531067" w14:paraId="6081C41B" w14:textId="77777777" w:rsidTr="000A6EFC">
        <w:trPr>
          <w:jc w:val="center"/>
        </w:trPr>
        <w:tc>
          <w:tcPr>
            <w:tcW w:w="1409" w:type="dxa"/>
          </w:tcPr>
          <w:p w14:paraId="77F1F330"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17 04 05</w:t>
            </w:r>
          </w:p>
        </w:tc>
        <w:tc>
          <w:tcPr>
            <w:tcW w:w="4540" w:type="dxa"/>
          </w:tcPr>
          <w:p w14:paraId="180B70A0"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Železo, oceľ</w:t>
            </w:r>
          </w:p>
        </w:tc>
        <w:tc>
          <w:tcPr>
            <w:tcW w:w="1276" w:type="dxa"/>
          </w:tcPr>
          <w:p w14:paraId="09EC6B17"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O</w:t>
            </w:r>
          </w:p>
        </w:tc>
        <w:tc>
          <w:tcPr>
            <w:tcW w:w="1559" w:type="dxa"/>
          </w:tcPr>
          <w:p w14:paraId="4DD51757" w14:textId="5DE5466E" w:rsidR="009851A2" w:rsidRPr="00531067" w:rsidRDefault="00CE0870" w:rsidP="005802AF">
            <w:pPr>
              <w:ind w:right="310"/>
              <w:jc w:val="right"/>
              <w:rPr>
                <w:rFonts w:ascii="Arial" w:hAnsi="Arial" w:cs="Arial"/>
                <w:sz w:val="22"/>
                <w:szCs w:val="22"/>
              </w:rPr>
            </w:pPr>
            <w:r w:rsidRPr="00531067">
              <w:rPr>
                <w:rFonts w:ascii="Arial" w:hAnsi="Arial" w:cs="Arial"/>
                <w:sz w:val="22"/>
                <w:szCs w:val="22"/>
              </w:rPr>
              <w:t>1</w:t>
            </w:r>
            <w:r w:rsidR="009851A2" w:rsidRPr="00531067">
              <w:rPr>
                <w:rFonts w:ascii="Arial" w:hAnsi="Arial" w:cs="Arial"/>
                <w:sz w:val="22"/>
                <w:szCs w:val="22"/>
              </w:rPr>
              <w:t>,00</w:t>
            </w:r>
          </w:p>
        </w:tc>
        <w:tc>
          <w:tcPr>
            <w:tcW w:w="1417" w:type="dxa"/>
          </w:tcPr>
          <w:p w14:paraId="02ED311C" w14:textId="77777777" w:rsidR="009851A2" w:rsidRPr="00531067" w:rsidRDefault="009851A2" w:rsidP="005802AF">
            <w:pPr>
              <w:jc w:val="center"/>
              <w:rPr>
                <w:rFonts w:ascii="Arial" w:hAnsi="Arial" w:cs="Arial"/>
                <w:sz w:val="22"/>
                <w:szCs w:val="22"/>
              </w:rPr>
            </w:pPr>
            <w:r w:rsidRPr="00531067">
              <w:rPr>
                <w:rFonts w:ascii="Arial" w:hAnsi="Arial" w:cs="Arial"/>
                <w:sz w:val="22"/>
                <w:szCs w:val="22"/>
              </w:rPr>
              <w:t>R4</w:t>
            </w:r>
          </w:p>
        </w:tc>
      </w:tr>
      <w:tr w:rsidR="00531067" w:rsidRPr="00531067" w14:paraId="0DF3D4EF" w14:textId="77777777" w:rsidTr="000A6EFC">
        <w:trPr>
          <w:jc w:val="center"/>
        </w:trPr>
        <w:tc>
          <w:tcPr>
            <w:tcW w:w="1409" w:type="dxa"/>
          </w:tcPr>
          <w:p w14:paraId="6D4D1DD8"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17 04 11</w:t>
            </w:r>
          </w:p>
        </w:tc>
        <w:tc>
          <w:tcPr>
            <w:tcW w:w="4540" w:type="dxa"/>
          </w:tcPr>
          <w:p w14:paraId="427ED6BD"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Káble iné ako uvedené v 17 04 10</w:t>
            </w:r>
          </w:p>
        </w:tc>
        <w:tc>
          <w:tcPr>
            <w:tcW w:w="1276" w:type="dxa"/>
          </w:tcPr>
          <w:p w14:paraId="1700E076"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O</w:t>
            </w:r>
          </w:p>
        </w:tc>
        <w:tc>
          <w:tcPr>
            <w:tcW w:w="1559" w:type="dxa"/>
          </w:tcPr>
          <w:p w14:paraId="17AFD381" w14:textId="16349A59" w:rsidR="009851A2" w:rsidRPr="00531067" w:rsidRDefault="00CE0870" w:rsidP="005802AF">
            <w:pPr>
              <w:ind w:right="310"/>
              <w:jc w:val="right"/>
              <w:rPr>
                <w:rFonts w:ascii="Arial" w:hAnsi="Arial" w:cs="Arial"/>
                <w:sz w:val="22"/>
                <w:szCs w:val="22"/>
              </w:rPr>
            </w:pPr>
            <w:r w:rsidRPr="00531067">
              <w:rPr>
                <w:rFonts w:ascii="Arial" w:hAnsi="Arial" w:cs="Arial"/>
                <w:sz w:val="22"/>
                <w:szCs w:val="22"/>
              </w:rPr>
              <w:t>0</w:t>
            </w:r>
            <w:r w:rsidR="009851A2" w:rsidRPr="00531067">
              <w:rPr>
                <w:rFonts w:ascii="Arial" w:hAnsi="Arial" w:cs="Arial"/>
                <w:sz w:val="22"/>
                <w:szCs w:val="22"/>
              </w:rPr>
              <w:t>,</w:t>
            </w:r>
            <w:r w:rsidRPr="00531067">
              <w:rPr>
                <w:rFonts w:ascii="Arial" w:hAnsi="Arial" w:cs="Arial"/>
                <w:sz w:val="22"/>
                <w:szCs w:val="22"/>
              </w:rPr>
              <w:t>3</w:t>
            </w:r>
            <w:r w:rsidR="009851A2" w:rsidRPr="00531067">
              <w:rPr>
                <w:rFonts w:ascii="Arial" w:hAnsi="Arial" w:cs="Arial"/>
                <w:sz w:val="22"/>
                <w:szCs w:val="22"/>
              </w:rPr>
              <w:t>0</w:t>
            </w:r>
          </w:p>
        </w:tc>
        <w:tc>
          <w:tcPr>
            <w:tcW w:w="1417" w:type="dxa"/>
          </w:tcPr>
          <w:p w14:paraId="4F51BE06" w14:textId="77777777" w:rsidR="009851A2" w:rsidRPr="00531067" w:rsidRDefault="009851A2" w:rsidP="005802AF">
            <w:pPr>
              <w:jc w:val="center"/>
              <w:rPr>
                <w:rFonts w:ascii="Arial" w:hAnsi="Arial" w:cs="Arial"/>
                <w:sz w:val="22"/>
                <w:szCs w:val="22"/>
              </w:rPr>
            </w:pPr>
            <w:r w:rsidRPr="00531067">
              <w:rPr>
                <w:rFonts w:ascii="Arial" w:hAnsi="Arial" w:cs="Arial"/>
                <w:sz w:val="22"/>
                <w:szCs w:val="22"/>
              </w:rPr>
              <w:t>R4</w:t>
            </w:r>
          </w:p>
        </w:tc>
      </w:tr>
      <w:tr w:rsidR="00531067" w:rsidRPr="00531067" w14:paraId="233FCD8C" w14:textId="77777777" w:rsidTr="000A6EFC">
        <w:trPr>
          <w:jc w:val="center"/>
        </w:trPr>
        <w:tc>
          <w:tcPr>
            <w:tcW w:w="1409" w:type="dxa"/>
          </w:tcPr>
          <w:p w14:paraId="5E3C85C0"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17 06</w:t>
            </w:r>
          </w:p>
        </w:tc>
        <w:tc>
          <w:tcPr>
            <w:tcW w:w="4540" w:type="dxa"/>
          </w:tcPr>
          <w:p w14:paraId="52E4080A"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IZOLAČNÉ MATERIÁLY</w:t>
            </w:r>
          </w:p>
        </w:tc>
        <w:tc>
          <w:tcPr>
            <w:tcW w:w="1276" w:type="dxa"/>
          </w:tcPr>
          <w:p w14:paraId="11155A0D" w14:textId="77777777" w:rsidR="009851A2" w:rsidRPr="00531067" w:rsidRDefault="009851A2" w:rsidP="000A6EFC">
            <w:pPr>
              <w:rPr>
                <w:rFonts w:ascii="Arial" w:hAnsi="Arial" w:cs="Arial"/>
                <w:sz w:val="22"/>
                <w:szCs w:val="22"/>
              </w:rPr>
            </w:pPr>
          </w:p>
        </w:tc>
        <w:tc>
          <w:tcPr>
            <w:tcW w:w="1559" w:type="dxa"/>
          </w:tcPr>
          <w:p w14:paraId="7B2C6635" w14:textId="77777777" w:rsidR="009851A2" w:rsidRPr="00531067" w:rsidRDefault="009851A2" w:rsidP="005802AF">
            <w:pPr>
              <w:jc w:val="right"/>
              <w:rPr>
                <w:rFonts w:ascii="Arial" w:hAnsi="Arial" w:cs="Arial"/>
                <w:sz w:val="22"/>
                <w:szCs w:val="22"/>
              </w:rPr>
            </w:pPr>
          </w:p>
        </w:tc>
        <w:tc>
          <w:tcPr>
            <w:tcW w:w="1417" w:type="dxa"/>
          </w:tcPr>
          <w:p w14:paraId="7159F603" w14:textId="77777777" w:rsidR="009851A2" w:rsidRPr="00531067" w:rsidRDefault="009851A2" w:rsidP="005802AF">
            <w:pPr>
              <w:jc w:val="center"/>
              <w:rPr>
                <w:rFonts w:ascii="Arial" w:hAnsi="Arial" w:cs="Arial"/>
                <w:sz w:val="22"/>
                <w:szCs w:val="22"/>
              </w:rPr>
            </w:pPr>
          </w:p>
        </w:tc>
      </w:tr>
      <w:tr w:rsidR="00531067" w:rsidRPr="00531067" w14:paraId="356B23C1" w14:textId="77777777" w:rsidTr="000A6EFC">
        <w:trPr>
          <w:jc w:val="center"/>
        </w:trPr>
        <w:tc>
          <w:tcPr>
            <w:tcW w:w="1409" w:type="dxa"/>
          </w:tcPr>
          <w:p w14:paraId="61BD4275"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17 06 04</w:t>
            </w:r>
          </w:p>
        </w:tc>
        <w:tc>
          <w:tcPr>
            <w:tcW w:w="4540" w:type="dxa"/>
          </w:tcPr>
          <w:p w14:paraId="34AB7119"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Izolačné materiály iné ako 17 06 03</w:t>
            </w:r>
          </w:p>
        </w:tc>
        <w:tc>
          <w:tcPr>
            <w:tcW w:w="1276" w:type="dxa"/>
          </w:tcPr>
          <w:p w14:paraId="301EA9D2" w14:textId="77777777" w:rsidR="009851A2" w:rsidRPr="00531067" w:rsidRDefault="009851A2" w:rsidP="000A6EFC">
            <w:pPr>
              <w:rPr>
                <w:rFonts w:ascii="Arial" w:hAnsi="Arial" w:cs="Arial"/>
                <w:sz w:val="22"/>
                <w:szCs w:val="22"/>
              </w:rPr>
            </w:pPr>
            <w:r w:rsidRPr="00531067">
              <w:rPr>
                <w:rFonts w:ascii="Arial" w:hAnsi="Arial" w:cs="Arial"/>
                <w:sz w:val="22"/>
                <w:szCs w:val="22"/>
                <w:lang w:eastAsia="en-US"/>
              </w:rPr>
              <w:t>O</w:t>
            </w:r>
          </w:p>
        </w:tc>
        <w:tc>
          <w:tcPr>
            <w:tcW w:w="1559" w:type="dxa"/>
          </w:tcPr>
          <w:p w14:paraId="236599AF" w14:textId="77777777" w:rsidR="009851A2" w:rsidRPr="00531067" w:rsidRDefault="009851A2" w:rsidP="005802AF">
            <w:pPr>
              <w:ind w:right="310"/>
              <w:jc w:val="right"/>
              <w:rPr>
                <w:rFonts w:ascii="Arial" w:hAnsi="Arial" w:cs="Arial"/>
                <w:sz w:val="22"/>
                <w:szCs w:val="22"/>
                <w:vertAlign w:val="superscript"/>
              </w:rPr>
            </w:pPr>
            <w:r w:rsidRPr="00531067">
              <w:rPr>
                <w:rFonts w:ascii="Arial" w:hAnsi="Arial" w:cs="Arial"/>
                <w:sz w:val="22"/>
                <w:szCs w:val="22"/>
              </w:rPr>
              <w:t>1,00</w:t>
            </w:r>
          </w:p>
        </w:tc>
        <w:tc>
          <w:tcPr>
            <w:tcW w:w="1417" w:type="dxa"/>
          </w:tcPr>
          <w:p w14:paraId="0BC5917D" w14:textId="41A6702C" w:rsidR="009851A2" w:rsidRPr="00531067" w:rsidRDefault="00FE11D0" w:rsidP="005802AF">
            <w:pPr>
              <w:jc w:val="center"/>
              <w:rPr>
                <w:rFonts w:ascii="Arial" w:hAnsi="Arial" w:cs="Arial"/>
                <w:sz w:val="22"/>
                <w:szCs w:val="22"/>
              </w:rPr>
            </w:pPr>
            <w:r w:rsidRPr="00531067">
              <w:rPr>
                <w:rFonts w:ascii="Arial" w:hAnsi="Arial" w:cs="Arial"/>
                <w:sz w:val="22"/>
                <w:szCs w:val="22"/>
              </w:rPr>
              <w:t>R4</w:t>
            </w:r>
          </w:p>
        </w:tc>
      </w:tr>
      <w:tr w:rsidR="00531067" w:rsidRPr="00531067" w14:paraId="466301A2" w14:textId="77777777" w:rsidTr="000A6EFC">
        <w:trPr>
          <w:jc w:val="center"/>
        </w:trPr>
        <w:tc>
          <w:tcPr>
            <w:tcW w:w="1409" w:type="dxa"/>
          </w:tcPr>
          <w:p w14:paraId="6A47778E" w14:textId="77777777" w:rsidR="009851A2" w:rsidRPr="00531067" w:rsidRDefault="009851A2" w:rsidP="000A6EFC">
            <w:pPr>
              <w:rPr>
                <w:rFonts w:ascii="Arial" w:hAnsi="Arial" w:cs="Arial"/>
                <w:sz w:val="22"/>
                <w:szCs w:val="22"/>
                <w:lang w:eastAsia="en-US"/>
              </w:rPr>
            </w:pPr>
            <w:r w:rsidRPr="00531067">
              <w:rPr>
                <w:rFonts w:ascii="Arial" w:hAnsi="Arial" w:cs="Arial"/>
                <w:sz w:val="22"/>
                <w:szCs w:val="22"/>
                <w:lang w:eastAsia="en-US"/>
              </w:rPr>
              <w:t>17 08</w:t>
            </w:r>
          </w:p>
        </w:tc>
        <w:tc>
          <w:tcPr>
            <w:tcW w:w="4540" w:type="dxa"/>
          </w:tcPr>
          <w:p w14:paraId="52C277A0" w14:textId="77777777" w:rsidR="009851A2" w:rsidRPr="00531067" w:rsidRDefault="009851A2" w:rsidP="000A6EFC">
            <w:pPr>
              <w:rPr>
                <w:rFonts w:ascii="Arial" w:hAnsi="Arial" w:cs="Arial"/>
                <w:sz w:val="22"/>
                <w:szCs w:val="22"/>
                <w:lang w:eastAsia="en-US"/>
              </w:rPr>
            </w:pPr>
            <w:r w:rsidRPr="00531067">
              <w:rPr>
                <w:rFonts w:ascii="Arial" w:hAnsi="Arial" w:cs="Arial"/>
                <w:sz w:val="22"/>
                <w:szCs w:val="22"/>
                <w:lang w:eastAsia="en-US"/>
              </w:rPr>
              <w:t>STAVEBNÝ MATERIÁL NA BÁZE SADRY</w:t>
            </w:r>
          </w:p>
        </w:tc>
        <w:tc>
          <w:tcPr>
            <w:tcW w:w="1276" w:type="dxa"/>
          </w:tcPr>
          <w:p w14:paraId="09740454" w14:textId="77777777" w:rsidR="009851A2" w:rsidRPr="00531067" w:rsidRDefault="009851A2" w:rsidP="000A6EFC">
            <w:pPr>
              <w:rPr>
                <w:rFonts w:ascii="Arial" w:hAnsi="Arial" w:cs="Arial"/>
                <w:sz w:val="22"/>
                <w:szCs w:val="22"/>
                <w:lang w:eastAsia="en-US"/>
              </w:rPr>
            </w:pPr>
          </w:p>
        </w:tc>
        <w:tc>
          <w:tcPr>
            <w:tcW w:w="1559" w:type="dxa"/>
          </w:tcPr>
          <w:p w14:paraId="42D6BDC4" w14:textId="77777777" w:rsidR="009851A2" w:rsidRPr="00531067" w:rsidRDefault="009851A2" w:rsidP="005802AF">
            <w:pPr>
              <w:jc w:val="right"/>
              <w:rPr>
                <w:rFonts w:ascii="Arial" w:hAnsi="Arial" w:cs="Arial"/>
                <w:sz w:val="22"/>
                <w:szCs w:val="22"/>
              </w:rPr>
            </w:pPr>
          </w:p>
        </w:tc>
        <w:tc>
          <w:tcPr>
            <w:tcW w:w="1417" w:type="dxa"/>
          </w:tcPr>
          <w:p w14:paraId="433AEB55" w14:textId="77777777" w:rsidR="009851A2" w:rsidRPr="00531067" w:rsidRDefault="009851A2" w:rsidP="005802AF">
            <w:pPr>
              <w:jc w:val="center"/>
              <w:rPr>
                <w:rFonts w:ascii="Arial" w:hAnsi="Arial" w:cs="Arial"/>
                <w:sz w:val="22"/>
                <w:szCs w:val="22"/>
              </w:rPr>
            </w:pPr>
          </w:p>
        </w:tc>
      </w:tr>
      <w:tr w:rsidR="00531067" w:rsidRPr="00531067" w14:paraId="2D9DDFC6" w14:textId="77777777" w:rsidTr="000A6EFC">
        <w:trPr>
          <w:jc w:val="center"/>
        </w:trPr>
        <w:tc>
          <w:tcPr>
            <w:tcW w:w="1409" w:type="dxa"/>
          </w:tcPr>
          <w:p w14:paraId="5F4270F4" w14:textId="77777777" w:rsidR="009851A2" w:rsidRPr="00531067" w:rsidRDefault="009851A2" w:rsidP="000A6EFC">
            <w:pPr>
              <w:rPr>
                <w:rFonts w:ascii="Arial" w:hAnsi="Arial" w:cs="Arial"/>
                <w:sz w:val="22"/>
                <w:szCs w:val="22"/>
                <w:lang w:eastAsia="en-US"/>
              </w:rPr>
            </w:pPr>
            <w:r w:rsidRPr="00531067">
              <w:rPr>
                <w:rFonts w:ascii="Arial" w:hAnsi="Arial" w:cs="Arial"/>
                <w:sz w:val="22"/>
                <w:szCs w:val="22"/>
                <w:lang w:eastAsia="en-US"/>
              </w:rPr>
              <w:t>170802</w:t>
            </w:r>
          </w:p>
        </w:tc>
        <w:tc>
          <w:tcPr>
            <w:tcW w:w="4540" w:type="dxa"/>
          </w:tcPr>
          <w:p w14:paraId="12F416F6" w14:textId="77777777" w:rsidR="009851A2" w:rsidRPr="00531067" w:rsidRDefault="009851A2" w:rsidP="005802AF">
            <w:pPr>
              <w:ind w:right="310"/>
              <w:rPr>
                <w:rFonts w:ascii="Arial" w:hAnsi="Arial" w:cs="Arial"/>
                <w:sz w:val="22"/>
                <w:szCs w:val="22"/>
                <w:lang w:eastAsia="en-US"/>
              </w:rPr>
            </w:pPr>
            <w:r w:rsidRPr="00531067">
              <w:rPr>
                <w:rFonts w:ascii="Arial" w:hAnsi="Arial" w:cs="Arial"/>
                <w:sz w:val="22"/>
                <w:szCs w:val="22"/>
                <w:lang w:eastAsia="en-US"/>
              </w:rPr>
              <w:t>Stavebné materiály  na báze sadry iné ako 170801</w:t>
            </w:r>
          </w:p>
        </w:tc>
        <w:tc>
          <w:tcPr>
            <w:tcW w:w="1276" w:type="dxa"/>
          </w:tcPr>
          <w:p w14:paraId="3921986F" w14:textId="77777777" w:rsidR="009851A2" w:rsidRPr="00531067" w:rsidRDefault="009851A2" w:rsidP="005802AF">
            <w:pPr>
              <w:ind w:right="310"/>
              <w:rPr>
                <w:rFonts w:ascii="Arial" w:hAnsi="Arial" w:cs="Arial"/>
                <w:sz w:val="22"/>
                <w:szCs w:val="22"/>
                <w:lang w:eastAsia="en-US"/>
              </w:rPr>
            </w:pPr>
            <w:r w:rsidRPr="00531067">
              <w:rPr>
                <w:rFonts w:ascii="Arial" w:hAnsi="Arial" w:cs="Arial"/>
                <w:sz w:val="22"/>
                <w:szCs w:val="22"/>
                <w:lang w:eastAsia="en-US"/>
              </w:rPr>
              <w:t>O</w:t>
            </w:r>
          </w:p>
        </w:tc>
        <w:tc>
          <w:tcPr>
            <w:tcW w:w="1559" w:type="dxa"/>
          </w:tcPr>
          <w:p w14:paraId="58E1B596" w14:textId="4AE05956" w:rsidR="009851A2" w:rsidRPr="00531067" w:rsidRDefault="00CE0870" w:rsidP="005802AF">
            <w:pPr>
              <w:ind w:right="310"/>
              <w:jc w:val="right"/>
              <w:rPr>
                <w:rFonts w:ascii="Arial" w:hAnsi="Arial" w:cs="Arial"/>
                <w:sz w:val="22"/>
                <w:szCs w:val="22"/>
              </w:rPr>
            </w:pPr>
            <w:r w:rsidRPr="00531067">
              <w:rPr>
                <w:rFonts w:ascii="Arial" w:hAnsi="Arial" w:cs="Arial"/>
                <w:sz w:val="22"/>
                <w:szCs w:val="22"/>
              </w:rPr>
              <w:t>1</w:t>
            </w:r>
            <w:r w:rsidR="009851A2" w:rsidRPr="00531067">
              <w:rPr>
                <w:rFonts w:ascii="Arial" w:hAnsi="Arial" w:cs="Arial"/>
                <w:sz w:val="22"/>
                <w:szCs w:val="22"/>
              </w:rPr>
              <w:t>,00</w:t>
            </w:r>
          </w:p>
        </w:tc>
        <w:tc>
          <w:tcPr>
            <w:tcW w:w="1417" w:type="dxa"/>
          </w:tcPr>
          <w:p w14:paraId="66001E78" w14:textId="2D593968" w:rsidR="009851A2" w:rsidRPr="00531067" w:rsidRDefault="0089039D" w:rsidP="005802AF">
            <w:pPr>
              <w:jc w:val="center"/>
              <w:rPr>
                <w:rFonts w:ascii="Arial" w:hAnsi="Arial" w:cs="Arial"/>
                <w:sz w:val="22"/>
                <w:szCs w:val="22"/>
              </w:rPr>
            </w:pPr>
            <w:r>
              <w:rPr>
                <w:rFonts w:ascii="Arial" w:hAnsi="Arial" w:cs="Arial"/>
                <w:sz w:val="22"/>
                <w:szCs w:val="22"/>
              </w:rPr>
              <w:t>R5</w:t>
            </w:r>
          </w:p>
        </w:tc>
      </w:tr>
      <w:tr w:rsidR="009904EA" w:rsidRPr="00531067" w14:paraId="654A79D1" w14:textId="77777777" w:rsidTr="00C3553A">
        <w:trPr>
          <w:jc w:val="center"/>
        </w:trPr>
        <w:tc>
          <w:tcPr>
            <w:tcW w:w="1409" w:type="dxa"/>
          </w:tcPr>
          <w:p w14:paraId="0F6E2EE5" w14:textId="77777777" w:rsidR="009904EA" w:rsidRPr="00531067" w:rsidRDefault="009904EA" w:rsidP="00C3553A">
            <w:pPr>
              <w:rPr>
                <w:rFonts w:ascii="Arial" w:hAnsi="Arial" w:cs="Arial"/>
                <w:sz w:val="22"/>
                <w:szCs w:val="22"/>
                <w:lang w:eastAsia="en-US"/>
              </w:rPr>
            </w:pPr>
            <w:r w:rsidRPr="00531067">
              <w:rPr>
                <w:rFonts w:ascii="Arial" w:hAnsi="Arial" w:cs="Arial"/>
              </w:rPr>
              <w:t>20 03 01</w:t>
            </w:r>
          </w:p>
        </w:tc>
        <w:tc>
          <w:tcPr>
            <w:tcW w:w="4540" w:type="dxa"/>
          </w:tcPr>
          <w:p w14:paraId="1109C6F5" w14:textId="77777777" w:rsidR="009904EA" w:rsidRPr="00531067" w:rsidRDefault="009904EA" w:rsidP="00C3553A">
            <w:pPr>
              <w:rPr>
                <w:rFonts w:ascii="Arial" w:hAnsi="Arial" w:cs="Arial"/>
                <w:sz w:val="22"/>
                <w:szCs w:val="22"/>
                <w:lang w:eastAsia="en-US"/>
              </w:rPr>
            </w:pPr>
            <w:r w:rsidRPr="00531067">
              <w:rPr>
                <w:rFonts w:ascii="Arial" w:hAnsi="Arial" w:cs="Arial"/>
              </w:rPr>
              <w:t xml:space="preserve">Zmesový komunálny odpad </w:t>
            </w:r>
          </w:p>
        </w:tc>
        <w:tc>
          <w:tcPr>
            <w:tcW w:w="1276" w:type="dxa"/>
          </w:tcPr>
          <w:p w14:paraId="3F226E95" w14:textId="77777777" w:rsidR="009904EA" w:rsidRPr="00531067" w:rsidRDefault="009904EA" w:rsidP="00C3553A">
            <w:pPr>
              <w:rPr>
                <w:rFonts w:ascii="Arial" w:hAnsi="Arial" w:cs="Arial"/>
                <w:sz w:val="22"/>
                <w:szCs w:val="22"/>
                <w:lang w:eastAsia="en-US"/>
              </w:rPr>
            </w:pPr>
            <w:r w:rsidRPr="00531067">
              <w:rPr>
                <w:rFonts w:ascii="Arial" w:hAnsi="Arial" w:cs="Arial"/>
                <w:sz w:val="22"/>
                <w:szCs w:val="22"/>
                <w:lang w:eastAsia="en-US"/>
              </w:rPr>
              <w:t>O</w:t>
            </w:r>
          </w:p>
        </w:tc>
        <w:tc>
          <w:tcPr>
            <w:tcW w:w="1559" w:type="dxa"/>
          </w:tcPr>
          <w:p w14:paraId="26F93235" w14:textId="77777777" w:rsidR="009904EA" w:rsidRPr="00531067" w:rsidRDefault="009904EA" w:rsidP="00C3553A">
            <w:pPr>
              <w:ind w:right="310"/>
              <w:jc w:val="right"/>
              <w:rPr>
                <w:rFonts w:ascii="Arial" w:hAnsi="Arial" w:cs="Arial"/>
                <w:sz w:val="22"/>
                <w:szCs w:val="22"/>
              </w:rPr>
            </w:pPr>
            <w:r w:rsidRPr="00531067">
              <w:rPr>
                <w:rFonts w:ascii="Arial" w:hAnsi="Arial" w:cs="Arial"/>
                <w:sz w:val="22"/>
                <w:szCs w:val="22"/>
              </w:rPr>
              <w:t>0,30</w:t>
            </w:r>
          </w:p>
        </w:tc>
        <w:tc>
          <w:tcPr>
            <w:tcW w:w="1417" w:type="dxa"/>
          </w:tcPr>
          <w:p w14:paraId="4107DA32" w14:textId="77777777" w:rsidR="009904EA" w:rsidRPr="00531067" w:rsidRDefault="009904EA" w:rsidP="00C3553A">
            <w:pPr>
              <w:jc w:val="center"/>
              <w:rPr>
                <w:rFonts w:ascii="Arial" w:hAnsi="Arial" w:cs="Arial"/>
                <w:sz w:val="22"/>
                <w:szCs w:val="22"/>
              </w:rPr>
            </w:pPr>
            <w:r w:rsidRPr="00531067">
              <w:rPr>
                <w:rFonts w:ascii="Arial" w:hAnsi="Arial" w:cs="Arial"/>
                <w:sz w:val="22"/>
                <w:szCs w:val="22"/>
              </w:rPr>
              <w:t>R1</w:t>
            </w:r>
          </w:p>
        </w:tc>
      </w:tr>
      <w:tr w:rsidR="00531067" w:rsidRPr="00531067" w14:paraId="709C0347" w14:textId="77777777" w:rsidTr="000A6EFC">
        <w:trPr>
          <w:jc w:val="center"/>
        </w:trPr>
        <w:tc>
          <w:tcPr>
            <w:tcW w:w="7225" w:type="dxa"/>
            <w:gridSpan w:val="3"/>
          </w:tcPr>
          <w:p w14:paraId="1C9E8447" w14:textId="77777777" w:rsidR="009851A2" w:rsidRPr="00531067" w:rsidRDefault="009851A2" w:rsidP="005802AF">
            <w:pPr>
              <w:ind w:right="310"/>
              <w:rPr>
                <w:rFonts w:ascii="Arial" w:hAnsi="Arial" w:cs="Arial"/>
                <w:b/>
                <w:sz w:val="22"/>
                <w:szCs w:val="22"/>
                <w:lang w:eastAsia="en-US"/>
              </w:rPr>
            </w:pPr>
            <w:r w:rsidRPr="00531067">
              <w:rPr>
                <w:rFonts w:ascii="Arial" w:hAnsi="Arial" w:cs="Arial"/>
                <w:b/>
                <w:sz w:val="22"/>
                <w:szCs w:val="22"/>
                <w:lang w:eastAsia="en-US"/>
              </w:rPr>
              <w:t>Odpady spolu:</w:t>
            </w:r>
          </w:p>
        </w:tc>
        <w:tc>
          <w:tcPr>
            <w:tcW w:w="1559" w:type="dxa"/>
          </w:tcPr>
          <w:p w14:paraId="08454700" w14:textId="593CC723" w:rsidR="009851A2" w:rsidRPr="00531067" w:rsidRDefault="00531067" w:rsidP="005802AF">
            <w:pPr>
              <w:ind w:right="310"/>
              <w:jc w:val="right"/>
              <w:rPr>
                <w:rFonts w:ascii="Arial" w:hAnsi="Arial" w:cs="Arial"/>
                <w:b/>
                <w:sz w:val="22"/>
                <w:szCs w:val="22"/>
                <w:lang w:eastAsia="en-US"/>
              </w:rPr>
            </w:pPr>
            <w:r w:rsidRPr="00531067">
              <w:rPr>
                <w:rFonts w:ascii="Arial" w:hAnsi="Arial" w:cs="Arial"/>
                <w:b/>
                <w:sz w:val="22"/>
                <w:szCs w:val="22"/>
                <w:lang w:eastAsia="en-US"/>
              </w:rPr>
              <w:t>25</w:t>
            </w:r>
            <w:r w:rsidR="009851A2" w:rsidRPr="00531067">
              <w:rPr>
                <w:rFonts w:ascii="Arial" w:hAnsi="Arial" w:cs="Arial"/>
                <w:b/>
                <w:sz w:val="22"/>
                <w:szCs w:val="22"/>
                <w:lang w:eastAsia="en-US"/>
              </w:rPr>
              <w:t>,</w:t>
            </w:r>
            <w:r w:rsidRPr="00531067">
              <w:rPr>
                <w:rFonts w:ascii="Arial" w:hAnsi="Arial" w:cs="Arial"/>
                <w:b/>
                <w:sz w:val="22"/>
                <w:szCs w:val="22"/>
                <w:lang w:eastAsia="en-US"/>
              </w:rPr>
              <w:t>8</w:t>
            </w:r>
            <w:r w:rsidR="009851A2" w:rsidRPr="00531067">
              <w:rPr>
                <w:rFonts w:ascii="Arial" w:hAnsi="Arial" w:cs="Arial"/>
                <w:b/>
                <w:sz w:val="22"/>
                <w:szCs w:val="22"/>
                <w:lang w:eastAsia="en-US"/>
              </w:rPr>
              <w:t>0</w:t>
            </w:r>
          </w:p>
        </w:tc>
        <w:tc>
          <w:tcPr>
            <w:tcW w:w="1417" w:type="dxa"/>
          </w:tcPr>
          <w:p w14:paraId="64C18F1C" w14:textId="77777777" w:rsidR="009851A2" w:rsidRPr="00531067" w:rsidRDefault="009851A2" w:rsidP="000A6EFC">
            <w:pPr>
              <w:rPr>
                <w:rFonts w:ascii="Arial" w:hAnsi="Arial" w:cs="Arial"/>
                <w:b/>
                <w:sz w:val="22"/>
                <w:szCs w:val="22"/>
                <w:lang w:eastAsia="en-US"/>
              </w:rPr>
            </w:pPr>
          </w:p>
        </w:tc>
      </w:tr>
    </w:tbl>
    <w:p w14:paraId="214842B8" w14:textId="0BB066A1" w:rsidR="001B273D" w:rsidRPr="0063276B" w:rsidRDefault="001B273D" w:rsidP="005145B5">
      <w:pPr>
        <w:widowControl/>
        <w:spacing w:before="120"/>
        <w:jc w:val="both"/>
        <w:rPr>
          <w:rFonts w:ascii="Arial" w:hAnsi="Arial" w:cs="Arial"/>
          <w:i/>
          <w:szCs w:val="24"/>
          <w:lang w:eastAsia="en-US"/>
        </w:rPr>
      </w:pPr>
      <w:r w:rsidRPr="0063276B">
        <w:rPr>
          <w:rFonts w:ascii="Arial" w:hAnsi="Arial" w:cs="Arial"/>
          <w:i/>
          <w:szCs w:val="24"/>
          <w:lang w:eastAsia="en-US"/>
        </w:rPr>
        <w:t>Poznámka  – O – ostatný odpad (nie nebezpečný), N – nebezpečný odpad</w:t>
      </w:r>
    </w:p>
    <w:p w14:paraId="6C3463D5" w14:textId="77777777" w:rsidR="001B273D" w:rsidRPr="0063276B" w:rsidRDefault="001B273D" w:rsidP="001B273D">
      <w:pPr>
        <w:widowControl/>
        <w:jc w:val="both"/>
        <w:rPr>
          <w:rFonts w:ascii="Arial" w:hAnsi="Arial" w:cs="Arial"/>
          <w:i/>
          <w:szCs w:val="24"/>
          <w:lang w:eastAsia="en-US"/>
        </w:rPr>
      </w:pPr>
      <w:r w:rsidRPr="0063276B">
        <w:rPr>
          <w:rFonts w:ascii="Arial" w:hAnsi="Arial" w:cs="Arial"/>
          <w:i/>
          <w:szCs w:val="24"/>
          <w:lang w:eastAsia="en-US"/>
        </w:rPr>
        <w:t>Poznámka  – zhodnocovanie, resp. zneškodňovanie:</w:t>
      </w:r>
    </w:p>
    <w:p w14:paraId="30E6DE29" w14:textId="77777777" w:rsidR="001B273D" w:rsidRPr="0063276B" w:rsidRDefault="001B273D" w:rsidP="0095439F">
      <w:pPr>
        <w:pStyle w:val="Odsekzoznamu"/>
        <w:numPr>
          <w:ilvl w:val="0"/>
          <w:numId w:val="17"/>
        </w:numPr>
        <w:spacing w:after="120"/>
        <w:ind w:left="709" w:hanging="283"/>
        <w:rPr>
          <w:rFonts w:ascii="Arial" w:hAnsi="Arial" w:cs="Arial"/>
          <w:b/>
          <w:i/>
        </w:rPr>
      </w:pPr>
      <w:r w:rsidRPr="0063276B">
        <w:rPr>
          <w:rFonts w:ascii="Arial" w:hAnsi="Arial" w:cs="Arial"/>
          <w:i/>
        </w:rPr>
        <w:t>R1</w:t>
      </w:r>
      <w:r w:rsidRPr="0063276B">
        <w:rPr>
          <w:rFonts w:ascii="Arial" w:hAnsi="Arial" w:cs="Arial"/>
          <w:i/>
        </w:rPr>
        <w:tab/>
        <w:t>- využitie najmä ako palivo alebo na získanie energie iným spôsobom</w:t>
      </w:r>
    </w:p>
    <w:p w14:paraId="23E5A76F" w14:textId="77777777" w:rsidR="001B273D" w:rsidRPr="0063276B" w:rsidRDefault="001B273D" w:rsidP="0095439F">
      <w:pPr>
        <w:pStyle w:val="Odsekzoznamu"/>
        <w:numPr>
          <w:ilvl w:val="0"/>
          <w:numId w:val="17"/>
        </w:numPr>
        <w:spacing w:after="120"/>
        <w:ind w:left="709" w:hanging="283"/>
        <w:rPr>
          <w:rFonts w:ascii="Arial" w:hAnsi="Arial" w:cs="Arial"/>
          <w:b/>
          <w:i/>
        </w:rPr>
      </w:pPr>
      <w:r w:rsidRPr="0063276B">
        <w:rPr>
          <w:rFonts w:ascii="Arial" w:hAnsi="Arial" w:cs="Arial"/>
          <w:i/>
        </w:rPr>
        <w:t>R3</w:t>
      </w:r>
      <w:r w:rsidRPr="0063276B">
        <w:rPr>
          <w:rFonts w:ascii="Arial" w:hAnsi="Arial" w:cs="Arial"/>
          <w:i/>
        </w:rPr>
        <w:tab/>
        <w:t>- recyklácia alebo spätné získavanie organických látok</w:t>
      </w:r>
    </w:p>
    <w:p w14:paraId="3C550D50" w14:textId="77777777" w:rsidR="001B273D" w:rsidRPr="0063276B" w:rsidRDefault="001B273D" w:rsidP="0095439F">
      <w:pPr>
        <w:pStyle w:val="Odsekzoznamu"/>
        <w:numPr>
          <w:ilvl w:val="0"/>
          <w:numId w:val="17"/>
        </w:numPr>
        <w:spacing w:after="120"/>
        <w:ind w:left="709" w:hanging="283"/>
        <w:rPr>
          <w:rFonts w:ascii="Arial" w:hAnsi="Arial" w:cs="Arial"/>
          <w:b/>
          <w:i/>
        </w:rPr>
      </w:pPr>
      <w:r w:rsidRPr="0063276B">
        <w:rPr>
          <w:rFonts w:ascii="Arial" w:hAnsi="Arial" w:cs="Arial"/>
          <w:i/>
        </w:rPr>
        <w:t>R4</w:t>
      </w:r>
      <w:r w:rsidRPr="0063276B">
        <w:rPr>
          <w:rFonts w:ascii="Arial" w:hAnsi="Arial" w:cs="Arial"/>
          <w:i/>
        </w:rPr>
        <w:tab/>
        <w:t>- Recyklácia alebo spätné získavanie kovov a kovových zlúčenín</w:t>
      </w:r>
    </w:p>
    <w:p w14:paraId="25EC948D" w14:textId="77777777" w:rsidR="001B273D" w:rsidRPr="0063276B" w:rsidRDefault="001B273D" w:rsidP="0095439F">
      <w:pPr>
        <w:pStyle w:val="Odsekzoznamu"/>
        <w:numPr>
          <w:ilvl w:val="0"/>
          <w:numId w:val="17"/>
        </w:numPr>
        <w:spacing w:after="120"/>
        <w:ind w:left="709" w:hanging="283"/>
        <w:rPr>
          <w:rFonts w:ascii="Arial" w:hAnsi="Arial" w:cs="Arial"/>
          <w:b/>
          <w:i/>
        </w:rPr>
      </w:pPr>
      <w:r w:rsidRPr="0063276B">
        <w:rPr>
          <w:rFonts w:ascii="Arial" w:hAnsi="Arial" w:cs="Arial"/>
          <w:i/>
        </w:rPr>
        <w:t>R5</w:t>
      </w:r>
      <w:r w:rsidRPr="0063276B">
        <w:rPr>
          <w:rFonts w:ascii="Arial" w:hAnsi="Arial" w:cs="Arial"/>
          <w:i/>
        </w:rPr>
        <w:tab/>
        <w:t>- Recyklácia alebo spätné získavanie iných anorganických látok</w:t>
      </w:r>
    </w:p>
    <w:p w14:paraId="000B9A93" w14:textId="77777777" w:rsidR="001B273D" w:rsidRPr="0063276B" w:rsidRDefault="001B273D" w:rsidP="0095439F">
      <w:pPr>
        <w:pStyle w:val="Odsekzoznamu"/>
        <w:numPr>
          <w:ilvl w:val="0"/>
          <w:numId w:val="17"/>
        </w:numPr>
        <w:spacing w:after="120"/>
        <w:ind w:left="709" w:hanging="283"/>
        <w:rPr>
          <w:rFonts w:ascii="Arial" w:hAnsi="Arial" w:cs="Arial"/>
          <w:b/>
          <w:i/>
        </w:rPr>
      </w:pPr>
      <w:r w:rsidRPr="0063276B">
        <w:rPr>
          <w:rFonts w:ascii="Arial" w:hAnsi="Arial" w:cs="Arial"/>
          <w:i/>
        </w:rPr>
        <w:t>D1</w:t>
      </w:r>
      <w:r w:rsidRPr="0063276B">
        <w:rPr>
          <w:rFonts w:ascii="Arial" w:hAnsi="Arial" w:cs="Arial"/>
          <w:i/>
        </w:rPr>
        <w:tab/>
        <w:t>- uloženie do zeme alebo na povrchu (napr. skládka odpadov)</w:t>
      </w:r>
    </w:p>
    <w:p w14:paraId="5835B977" w14:textId="77777777" w:rsidR="001B273D" w:rsidRPr="0063276B" w:rsidRDefault="001B273D" w:rsidP="0095439F">
      <w:pPr>
        <w:pStyle w:val="Odsekzoznamu"/>
        <w:numPr>
          <w:ilvl w:val="0"/>
          <w:numId w:val="17"/>
        </w:numPr>
        <w:spacing w:after="120"/>
        <w:ind w:left="709" w:hanging="283"/>
        <w:rPr>
          <w:rFonts w:ascii="Arial" w:hAnsi="Arial" w:cs="Arial"/>
          <w:b/>
          <w:i/>
        </w:rPr>
      </w:pPr>
      <w:r w:rsidRPr="0063276B">
        <w:rPr>
          <w:rFonts w:ascii="Arial" w:hAnsi="Arial" w:cs="Arial"/>
          <w:i/>
        </w:rPr>
        <w:t>D5</w:t>
      </w:r>
      <w:r w:rsidRPr="0063276B">
        <w:rPr>
          <w:rFonts w:ascii="Arial" w:hAnsi="Arial" w:cs="Arial"/>
          <w:i/>
        </w:rPr>
        <w:tab/>
        <w:t xml:space="preserve">- špeciálne vybudované skládky odpadov </w:t>
      </w:r>
    </w:p>
    <w:p w14:paraId="2018EFB0" w14:textId="77777777" w:rsidR="001B273D" w:rsidRPr="0063276B" w:rsidRDefault="001B273D" w:rsidP="0095439F">
      <w:pPr>
        <w:pStyle w:val="Odsekzoznamu"/>
        <w:numPr>
          <w:ilvl w:val="0"/>
          <w:numId w:val="17"/>
        </w:numPr>
        <w:spacing w:after="120"/>
        <w:ind w:left="709" w:hanging="283"/>
        <w:rPr>
          <w:rFonts w:ascii="Arial" w:hAnsi="Arial" w:cs="Arial"/>
          <w:b/>
          <w:i/>
        </w:rPr>
      </w:pPr>
      <w:r w:rsidRPr="0063276B">
        <w:rPr>
          <w:rFonts w:ascii="Arial" w:hAnsi="Arial" w:cs="Arial"/>
          <w:i/>
        </w:rPr>
        <w:t>D10</w:t>
      </w:r>
      <w:r w:rsidRPr="0063276B">
        <w:rPr>
          <w:rFonts w:ascii="Arial" w:hAnsi="Arial" w:cs="Arial"/>
          <w:i/>
        </w:rPr>
        <w:tab/>
        <w:t>- spaľovanie na pevnine</w:t>
      </w:r>
    </w:p>
    <w:p w14:paraId="77AFF1CD" w14:textId="77777777" w:rsidR="001B273D" w:rsidRPr="0063276B" w:rsidRDefault="001B273D" w:rsidP="0095439F">
      <w:pPr>
        <w:pStyle w:val="Odsekzoznamu"/>
        <w:numPr>
          <w:ilvl w:val="0"/>
          <w:numId w:val="17"/>
        </w:numPr>
        <w:spacing w:after="120"/>
        <w:ind w:left="709" w:hanging="283"/>
        <w:rPr>
          <w:rFonts w:ascii="Arial" w:hAnsi="Arial" w:cs="Arial"/>
          <w:b/>
          <w:i/>
        </w:rPr>
      </w:pPr>
      <w:r w:rsidRPr="0063276B">
        <w:rPr>
          <w:rFonts w:ascii="Arial" w:hAnsi="Arial" w:cs="Arial"/>
          <w:i/>
        </w:rPr>
        <w:t>D14</w:t>
      </w:r>
      <w:r w:rsidRPr="0063276B">
        <w:rPr>
          <w:rFonts w:ascii="Arial" w:hAnsi="Arial" w:cs="Arial"/>
          <w:i/>
        </w:rPr>
        <w:tab/>
        <w:t xml:space="preserve"> - Uloženie do ďalších obalov pred použitím niektorej z činností D1 až 12</w:t>
      </w:r>
    </w:p>
    <w:p w14:paraId="685F9F7F" w14:textId="0D34A7BB" w:rsidR="009851A2" w:rsidRPr="0063276B" w:rsidRDefault="009851A2" w:rsidP="0063219C">
      <w:pPr>
        <w:pStyle w:val="A-Text11"/>
      </w:pPr>
      <w:r w:rsidRPr="0063276B">
        <w:t xml:space="preserve">Vznik nebezpečných odpadov t.j. stavebných sutí typu N počas výstavby  objektov polyfunkčného komplexu </w:t>
      </w:r>
      <w:r w:rsidR="004C690B" w:rsidRPr="0063276B">
        <w:t xml:space="preserve">sa </w:t>
      </w:r>
      <w:r w:rsidRPr="0063276B">
        <w:t>nepredpokladá.</w:t>
      </w:r>
    </w:p>
    <w:p w14:paraId="79218122" w14:textId="77777777" w:rsidR="007F5380" w:rsidRPr="0063276B" w:rsidRDefault="007F5380" w:rsidP="0063219C">
      <w:pPr>
        <w:pStyle w:val="A-Text11"/>
      </w:pPr>
      <w:r w:rsidRPr="0063276B">
        <w:t xml:space="preserve">Uprednostnené bude materiálové zhodnocovanie stavebných odpadov vznikajúcich počas výstavby (17 01 07) napr. prostredníctvom mobilného drviaceho zariadenia. Tie odpady, </w:t>
      </w:r>
      <w:r w:rsidRPr="0063276B">
        <w:lastRenderedPageBreak/>
        <w:t>ktoré nie je možné zhodnotiť je potrebné zabezpečiť  ich zneškodnenie v súlade so zákonom  o odpadoch, t.j. na legálnom zariadení oprávnenej organizácie.</w:t>
      </w:r>
    </w:p>
    <w:p w14:paraId="77BA611A" w14:textId="4792BA9B" w:rsidR="00F61EF5" w:rsidRPr="0063276B" w:rsidRDefault="00F61EF5" w:rsidP="0063219C">
      <w:pPr>
        <w:pStyle w:val="A-Text11"/>
      </w:pPr>
      <w:r w:rsidRPr="0063276B">
        <w:t xml:space="preserve">S odpadmi vznikajúcimi počas výstavby sa bude nakladať v súlade s §77 zákona o odpadoch. Vzniknuté odpady sa budú zhromažďovať v mieste ich vzniku vo vhodných nádobách (kontajneroch), primeraných druhu  a množstvu zhromažďovaného odpadu max. 12 za sebou nasledujúcich mesiacov. </w:t>
      </w:r>
    </w:p>
    <w:p w14:paraId="442C2C3D" w14:textId="77777777" w:rsidR="00F61EF5" w:rsidRPr="0063276B" w:rsidRDefault="00F61EF5" w:rsidP="0063219C">
      <w:pPr>
        <w:pStyle w:val="A-Text11"/>
      </w:pPr>
      <w:r w:rsidRPr="0063276B">
        <w:t xml:space="preserve">Bude vedená  evidencia o skutočnom vzniku  a nakladaní s odpadmi pre všetky odpady, ktoré vzniknú počas odstránenia stavby a nielen tých, ktoré sú vyšpecifikované v projektovej dokumentácii. </w:t>
      </w:r>
    </w:p>
    <w:p w14:paraId="477384EA" w14:textId="77777777" w:rsidR="003A5422" w:rsidRPr="0063276B" w:rsidRDefault="003A5422" w:rsidP="0063219C">
      <w:pPr>
        <w:pStyle w:val="A-Text11"/>
      </w:pPr>
      <w:r w:rsidRPr="0063276B">
        <w:t xml:space="preserve">V zmysle zákona o odpadoch bude pôvodca tento odpad zhodnocovať pri svojej činnosti, alebo odpad takto nevyužitý ponúkne na zhodnotenie inému. </w:t>
      </w:r>
    </w:p>
    <w:p w14:paraId="35BEE032" w14:textId="77777777" w:rsidR="003A5422" w:rsidRPr="0063276B" w:rsidRDefault="003A5422" w:rsidP="0063219C">
      <w:pPr>
        <w:pStyle w:val="A-Text11"/>
      </w:pPr>
      <w:r w:rsidRPr="0063276B">
        <w:t xml:space="preserve">Je reálny predpoklad, že podstatnú časť stavebných odpadov bude možné priamo využiť na stavbe, alebo ponúknuť inému na ďalšie využitie (tehly, betón, drevo...). </w:t>
      </w:r>
    </w:p>
    <w:p w14:paraId="76ABBA2C" w14:textId="77777777" w:rsidR="006C3BC6" w:rsidRPr="0063276B" w:rsidRDefault="006C3BC6" w:rsidP="0063219C">
      <w:pPr>
        <w:pStyle w:val="A-Text11"/>
      </w:pPr>
      <w:r w:rsidRPr="0063276B">
        <w:t xml:space="preserve">V prípade, že množstvo produkovaných nebezpečných odpadov presiahne 1 tonu ročne, investor ako pôvodca odpadu musí v zmysle § 97 odst. 1 písm. g)  Zákona č. 79/2015 Z.z. o odpadoch požiadať o súhlas na zhromažďovanie nebezpečných odpadov u pôvodcu odpadu. Odpady budú zabezpečené v zmysle  § 14 ods. 1 písm. b  zák. č. 79/2015 Z. z. pred nežiaducim únikom  či odcudzením. </w:t>
      </w:r>
    </w:p>
    <w:p w14:paraId="35122C49" w14:textId="77777777" w:rsidR="006C3BC6" w:rsidRPr="0063276B" w:rsidRDefault="006C3BC6" w:rsidP="0063219C">
      <w:pPr>
        <w:pStyle w:val="A-Text11"/>
      </w:pPr>
      <w:r w:rsidRPr="0063276B">
        <w:t>Investor  preberá v zmysle § 77 zákona o odpadoch všetky povinnosti pôvodcu odpadov vznikajúcich pri stavebnej činnosti.</w:t>
      </w:r>
    </w:p>
    <w:p w14:paraId="1539C191" w14:textId="77777777" w:rsidR="006C3BC6" w:rsidRPr="0063276B" w:rsidRDefault="006C3BC6" w:rsidP="0063219C">
      <w:pPr>
        <w:pStyle w:val="A-Text11"/>
      </w:pPr>
      <w:r w:rsidRPr="0063276B">
        <w:t xml:space="preserve">V zmysle zákona o odpadoch bude pôvodca tento odpad zhodnocovať pri svojej činnosti, alebo odpad takto nevyužitý ponúkne na zhodnotenie inému. </w:t>
      </w:r>
    </w:p>
    <w:p w14:paraId="63C3915E" w14:textId="77777777" w:rsidR="006C3BC6" w:rsidRPr="0063276B" w:rsidRDefault="006C3BC6" w:rsidP="0063219C">
      <w:pPr>
        <w:pStyle w:val="A-Text11"/>
      </w:pPr>
      <w:r w:rsidRPr="0063276B">
        <w:rPr>
          <w:snapToGrid w:val="0"/>
          <w:lang w:eastAsia="cs-CZ"/>
        </w:rPr>
        <w:t xml:space="preserve">Stavebné sute, vznikajúce počas výstavby vlastných objektov budú priebežne odvážané na riadenú skládku s nekontaminovaným </w:t>
      </w:r>
      <w:r w:rsidRPr="0063276B">
        <w:rPr>
          <w:i/>
          <w:iCs/>
          <w:snapToGrid w:val="0"/>
          <w:lang w:eastAsia="cs-CZ"/>
        </w:rPr>
        <w:t>(O-ostatným)</w:t>
      </w:r>
      <w:r w:rsidRPr="0063276B">
        <w:rPr>
          <w:snapToGrid w:val="0"/>
          <w:lang w:eastAsia="cs-CZ"/>
        </w:rPr>
        <w:t xml:space="preserve"> odpadom.</w:t>
      </w:r>
      <w:r w:rsidRPr="0063276B">
        <w:t xml:space="preserve"> Nakladanie s  ostatným odpadom, vrátane nebezpečných bude zabezpečovať realizačná stavebná firma na základe registrácie  v zmysle § 98 odst. 2, zákona o odpadoch ako obchodník/sprostredkovateľ a zmluvy s oprávneným subjektom, prípadne odvoz nekontaminovaných stavebných odpadov bude realizovať sama na základe registrácie vztiahnutej k preprave stavebných odpadov podľa §98 ods. 1 zákona o odpadoch ako zber bez zariadenia na zber. Počas výstavby budú odpady zhromažďované do veľkoobjemových kontajnerov.</w:t>
      </w:r>
    </w:p>
    <w:p w14:paraId="60ACBE1B" w14:textId="77777777" w:rsidR="006C3BC6" w:rsidRPr="0063276B" w:rsidRDefault="006C3BC6" w:rsidP="0063219C">
      <w:pPr>
        <w:pStyle w:val="A-Text11"/>
      </w:pPr>
      <w:r w:rsidRPr="0063276B">
        <w:t xml:space="preserve">Odpady sa budú zhromažďovať oddelene podľa druhov a evidovať. Spôsoby zneškodnenia odpadov sa budú dokladovať. </w:t>
      </w:r>
    </w:p>
    <w:p w14:paraId="5E05EE6B" w14:textId="77777777" w:rsidR="00372D54" w:rsidRPr="0063276B" w:rsidRDefault="00372D54" w:rsidP="0063219C">
      <w:pPr>
        <w:pStyle w:val="A-Text11"/>
      </w:pPr>
      <w:r w:rsidRPr="0063276B">
        <w:t xml:space="preserve">Stavebné sute, vznikajúce počas výstavby budú priebežne odvážať na riadenú skládku s nekontaminovaným (0-ostatným) odpadom a to do lokality, ktorej polohu upresní stavebný úrad. </w:t>
      </w:r>
    </w:p>
    <w:p w14:paraId="24986C32" w14:textId="1563E12D" w:rsidR="00372D54" w:rsidRPr="0063276B" w:rsidRDefault="00372D54" w:rsidP="0063219C">
      <w:pPr>
        <w:pStyle w:val="A-Text11"/>
      </w:pPr>
      <w:r w:rsidRPr="0063276B">
        <w:t xml:space="preserve">V rámci HTÚ výstavby budú nerovnosti územia odstránené a zemina bude deponovaná vo forme zemníka v hraniciach pozemku. </w:t>
      </w:r>
    </w:p>
    <w:p w14:paraId="067B6E2B" w14:textId="77777777" w:rsidR="00372D54" w:rsidRPr="0063276B" w:rsidRDefault="00372D54" w:rsidP="0063219C">
      <w:pPr>
        <w:pStyle w:val="A-Text11"/>
        <w:rPr>
          <w:snapToGrid w:val="0"/>
        </w:rPr>
      </w:pPr>
      <w:r w:rsidRPr="0063276B">
        <w:rPr>
          <w:snapToGrid w:val="0"/>
        </w:rPr>
        <w:t>So zeminou bude nakladané i počas realizácie areálových spevnených plôch, pri pokládke novo navrhovaných I.S. Zemina z predmetných výkopov  bude použitá na spätný zásyp ( nie obsyp) pokiaľ projektant príslušnej odbornej profesie nestanoví ináč.</w:t>
      </w:r>
    </w:p>
    <w:p w14:paraId="483E1D58" w14:textId="77777777" w:rsidR="00372D54" w:rsidRPr="0063276B" w:rsidRDefault="00372D54" w:rsidP="0063219C">
      <w:pPr>
        <w:pStyle w:val="A-Text11"/>
      </w:pPr>
      <w:r w:rsidRPr="0063276B">
        <w:t xml:space="preserve">Po ukončení stavebných prác bude potrebné orgánu štátnej správy v odpadovom hospodárstve predložiť doklad o spôsobe zhodnocovania resp. zneškodňovania odpadov, </w:t>
      </w:r>
      <w:r w:rsidRPr="0063276B">
        <w:lastRenderedPageBreak/>
        <w:t xml:space="preserve">ktoré vzniknú počas odstránenia stavby od prevádzkovateľa, ktorý je oprávnený resp. má udelený súhlas  na prevádzkovanie zariadenia na zhodnocovanie resp. na zneškodňovanie odpadov.   </w:t>
      </w:r>
    </w:p>
    <w:p w14:paraId="11F89BE1" w14:textId="3FE6B59A" w:rsidR="00372D54" w:rsidRPr="0063276B" w:rsidRDefault="00372D54" w:rsidP="0063219C">
      <w:pPr>
        <w:pStyle w:val="A-Text11"/>
        <w:rPr>
          <w:snapToGrid w:val="0"/>
        </w:rPr>
      </w:pPr>
      <w:r w:rsidRPr="0063276B">
        <w:rPr>
          <w:snapToGrid w:val="0"/>
        </w:rPr>
        <w:t>S odpadmi vznikajúcimi počas prípravy, ale aj realizácie stavby, sa musí nakladať v súlade s hierarchiou odpadového hospodárstva a to predchádzanie vzniku odpadu, príprava na opätovné použitie, recyklácia, iné zhodnocovanie a až následne zneškodňovanie odpadu.</w:t>
      </w:r>
    </w:p>
    <w:p w14:paraId="0980B13A" w14:textId="77777777" w:rsidR="00372D54" w:rsidRPr="0063276B" w:rsidRDefault="00372D54" w:rsidP="0063219C">
      <w:pPr>
        <w:pStyle w:val="A-Text11"/>
      </w:pPr>
      <w:r w:rsidRPr="0063276B">
        <w:t xml:space="preserve">Prípadné identifikované nebezpečné odpady – ich zneškodnenie vykoná oprávnená  organizácia, ktorá bude vybraná na základe výberového konania. Táto predloží rozhodnutia orgánov štátnej správy v odpadovom hospodárstve platné v čase realizácie stavby a doklad o spôsobe zhodnotenia, resp. zneškodnenia a mieste uloženia nebezpečného odpadu. </w:t>
      </w:r>
    </w:p>
    <w:p w14:paraId="291BB12C" w14:textId="77777777" w:rsidR="00372D54" w:rsidRPr="0063276B" w:rsidRDefault="00372D54" w:rsidP="0063219C">
      <w:pPr>
        <w:pStyle w:val="A-Text11"/>
      </w:pPr>
      <w:r w:rsidRPr="0063276B">
        <w:t xml:space="preserve">Pri ďalšom postupe prípravy územia, treba počítať s tým, že navážky môžu byť lokálne  z časti kontaminované napr. ropnými látkami. V prípade keby bola časť výkopovej  zeminy kontaminovaná, jej zatriedenie bude 17 05 05 výkopová zemina obsahujúca nebezpečné látky. </w:t>
      </w:r>
    </w:p>
    <w:p w14:paraId="2668BA2E" w14:textId="77777777" w:rsidR="00372D54" w:rsidRPr="0063276B" w:rsidRDefault="00372D54" w:rsidP="0063219C">
      <w:pPr>
        <w:pStyle w:val="A-Text11"/>
      </w:pPr>
      <w:r w:rsidRPr="0063276B">
        <w:t xml:space="preserve">Neznečistená výkopová zemina nebude odvážaná zo staveniska, ale môže byť použitá v rámci stavby §1 ods. 1 písm. h). V prípade prebytku výkopovej zeminy bude priebežne odvážaná zo staveniska na zemník (napr. v Podunajských Biskupiciach – Ančeta), ktorého poloha bude určená do zahájenia výstavby resp. na dopravné stavby Bratislavského kraja. </w:t>
      </w:r>
    </w:p>
    <w:p w14:paraId="1ABB3E58" w14:textId="77777777" w:rsidR="00372D54" w:rsidRPr="0063276B" w:rsidRDefault="00372D54" w:rsidP="0063219C">
      <w:pPr>
        <w:pStyle w:val="A-Text11"/>
      </w:pPr>
      <w:r w:rsidRPr="0063276B">
        <w:t>Ak zemina nebude do ukončenia stavby použitá v rámci objektov povolenej stavby, musí byť s ňou mimo tejto stavby nakladané ako s odpadom, pričom jej ďalšie zhodnotenie musí byť prednostne na terénne úpravy, resp. rekultiváciu.</w:t>
      </w:r>
    </w:p>
    <w:p w14:paraId="1C538253" w14:textId="25803AD5" w:rsidR="00372D54" w:rsidRPr="0063276B" w:rsidRDefault="00372D54" w:rsidP="0063219C">
      <w:pPr>
        <w:pStyle w:val="A-Text11"/>
        <w:rPr>
          <w:snapToGrid w:val="0"/>
        </w:rPr>
      </w:pPr>
      <w:r w:rsidRPr="0063276B">
        <w:rPr>
          <w:snapToGrid w:val="0"/>
        </w:rPr>
        <w:t xml:space="preserve">Príprava a ochrana výkopov pre založenie novonavrhovaných objektov si vyžiada zrealizovanie hrubých terénnych úprav (HTÚ). Prebytočná výkopová zemina vznikajúca realizáciou HTÚ a pri realizácii základov a spodných stavieb bude priebežne odvážaná zo staveniska (stavenísk) na zemník, ktorého polohu určí realizátor prác, do zahájenia výstavby resp. na dopravné stavby Bratislavského resp. Trnavského kraja. So zeminou bude nakladané i počas realizácie spevnených plôch, pri pokládke </w:t>
      </w:r>
      <w:r w:rsidR="007315C0">
        <w:rPr>
          <w:snapToGrid w:val="0"/>
        </w:rPr>
        <w:t xml:space="preserve"> </w:t>
      </w:r>
      <w:r w:rsidRPr="0063276B">
        <w:rPr>
          <w:snapToGrid w:val="0"/>
        </w:rPr>
        <w:t>novonavrhovaných resp. prekladaných I.S. Zemina z výkopov pre položenie  resp. preloženie prípojok I.S. bude použitá na spätný zásyp (nie obsyp) pokiaľ projektant príslušnej odbornej profesie nestanoví ináč. Zemina pre záverečné terénne a sadové úpravy bude zabezpečovaná dovozom.</w:t>
      </w:r>
    </w:p>
    <w:p w14:paraId="118AD516" w14:textId="77777777" w:rsidR="00372D54" w:rsidRPr="0063276B" w:rsidRDefault="00372D54" w:rsidP="0063219C">
      <w:pPr>
        <w:pStyle w:val="A-Text11"/>
      </w:pPr>
      <w:r w:rsidRPr="0063276B">
        <w:t>Vzhľadom na charakter  a množstvo vzniknutých odpadov, na ich zhromažďovanie  bude na  stavenisko  pristavený   veľkokapacitný kontajner, ktorý bude priebežne odvážaný.</w:t>
      </w:r>
    </w:p>
    <w:p w14:paraId="161D5E26" w14:textId="77777777" w:rsidR="00372D54" w:rsidRPr="0063276B" w:rsidRDefault="00372D54" w:rsidP="0063219C">
      <w:pPr>
        <w:pStyle w:val="A-Text11"/>
      </w:pPr>
      <w:r w:rsidRPr="0063276B">
        <w:t>Vo všetkých prípadoch sa jedná o  zhromažďovanie vytriedených produkovaných odpadov, s ich následným odvozom v zmysle zmluvných vzťahov s jednotlivými špecializovanými organizáciami.</w:t>
      </w:r>
    </w:p>
    <w:p w14:paraId="7FB19145" w14:textId="77777777" w:rsidR="00372D54" w:rsidRPr="0063276B" w:rsidRDefault="00372D54" w:rsidP="0063219C">
      <w:pPr>
        <w:pStyle w:val="A-Text11"/>
      </w:pPr>
      <w:r w:rsidRPr="0063276B">
        <w:t xml:space="preserve">Druhotné suroviny sa budú zhromažďovať na stavenisku utriedené podľa druhov a zabezpečené pred poveternostnými vplyvmi a možným odcudzením. Prostredníctvom oprávnenej organizácie  bude zabezpečené ich zhodnotenie - recykláciou. </w:t>
      </w:r>
    </w:p>
    <w:p w14:paraId="5A1F107B" w14:textId="633A51DB" w:rsidR="00372D54" w:rsidRPr="0063276B" w:rsidRDefault="00372D54" w:rsidP="0063219C">
      <w:pPr>
        <w:pStyle w:val="A-Text11"/>
      </w:pPr>
      <w:r w:rsidRPr="0063276B">
        <w:t>Neznečistená výkopová zemina  sa   využije na terénne úpravy  okolo staveniska §1 ods. 1 písm. h)), v prípade jej „nespotrebovania“ v rámci danej stavby môže byť  zmysle   § 99 odst. 1 , písm.b4)  zák. č. 79/2015 Z. z.  o odpadoch  až po vyjadrení príslušného orgánu štátnej správy   v odpadovom hospodárstve použitá na terénne úpravy na iných stavbách investora. Predpokladané množ</w:t>
      </w:r>
      <w:r w:rsidR="00426116" w:rsidRPr="0063276B">
        <w:t xml:space="preserve">stvo neznečistenej zeminy </w:t>
      </w:r>
      <w:r w:rsidR="00F4152F" w:rsidRPr="0063276B">
        <w:t>bude upresnené v rámci následnej prípravy</w:t>
      </w:r>
      <w:r w:rsidRPr="0063276B">
        <w:t xml:space="preserve"> (170506 Výkopová zemina iná ako uvedená ...)</w:t>
      </w:r>
    </w:p>
    <w:p w14:paraId="0B211DEF" w14:textId="50F2C47D" w:rsidR="00372D54" w:rsidRPr="0063276B" w:rsidRDefault="00372D54" w:rsidP="0063219C">
      <w:pPr>
        <w:pStyle w:val="A-Text11"/>
      </w:pPr>
      <w:r w:rsidRPr="0063276B">
        <w:lastRenderedPageBreak/>
        <w:t xml:space="preserve">Možno predpokladať, že pri výstavbe vznikne do 20 kg nebezpečných odpadov. S odpadom, ktorý  vznikne pri výstavbe zariadenia bude realizátor stavby nakladať v zmysle platnej legislatívy o odpadoch. V prípade zistenia väčšieho množstva nebezpečných odpadov </w:t>
      </w:r>
      <w:r w:rsidR="00C7671D" w:rsidRPr="0063276B">
        <w:t xml:space="preserve">         </w:t>
      </w:r>
      <w:r w:rsidRPr="0063276B">
        <w:t>(1 tona), najmä pri zemných prácach, kedy môže byť zistená kontaminovaná zemina, bude nevyhnutné aby investor požiadal o súhlas na zhromažďovanie nebezpečných odpadov u pôvodcu.</w:t>
      </w:r>
    </w:p>
    <w:p w14:paraId="10860F54" w14:textId="77777777" w:rsidR="00372D54" w:rsidRPr="0063276B" w:rsidRDefault="00372D54" w:rsidP="0063219C">
      <w:pPr>
        <w:pStyle w:val="A-Text11"/>
      </w:pPr>
      <w:r w:rsidRPr="0063276B">
        <w:t>Presné množstvo vzniknutých odpadov počas výstavby bude zdokladované evidenciou o odpadoch pri kolaudačnom konaní.</w:t>
      </w:r>
    </w:p>
    <w:p w14:paraId="0206B128" w14:textId="77777777" w:rsidR="00372D54" w:rsidRPr="0063276B" w:rsidRDefault="00372D54" w:rsidP="0063219C">
      <w:pPr>
        <w:pStyle w:val="A-Text11"/>
      </w:pPr>
      <w:r w:rsidRPr="0063276B">
        <w:t xml:space="preserve">Pri nakladaní s odpadmi z výstavby objektov bude potrebné: </w:t>
      </w:r>
    </w:p>
    <w:p w14:paraId="55C70261" w14:textId="77777777" w:rsidR="00372D54" w:rsidRPr="0063276B" w:rsidRDefault="00372D54" w:rsidP="0095439F">
      <w:pPr>
        <w:widowControl/>
        <w:numPr>
          <w:ilvl w:val="0"/>
          <w:numId w:val="18"/>
        </w:numPr>
        <w:spacing w:line="276" w:lineRule="auto"/>
        <w:ind w:left="709" w:hanging="425"/>
        <w:jc w:val="both"/>
        <w:rPr>
          <w:rFonts w:ascii="Arial" w:hAnsi="Arial" w:cs="Arial"/>
          <w:i/>
          <w:sz w:val="22"/>
        </w:rPr>
      </w:pPr>
      <w:r w:rsidRPr="0063276B">
        <w:rPr>
          <w:rFonts w:ascii="Arial" w:hAnsi="Arial" w:cs="Arial"/>
          <w:i/>
          <w:sz w:val="22"/>
        </w:rPr>
        <w:t xml:space="preserve">Dodržať ustanovenie §77 (zákona 79/2015) o stavebných odpadoch a po dokončení stavby doložiť doklad o jeho zhodnotení na povolených zariadeniach.  </w:t>
      </w:r>
    </w:p>
    <w:p w14:paraId="4EB31B95" w14:textId="77777777" w:rsidR="00372D54" w:rsidRPr="0063276B" w:rsidRDefault="00372D54" w:rsidP="0095439F">
      <w:pPr>
        <w:widowControl/>
        <w:numPr>
          <w:ilvl w:val="0"/>
          <w:numId w:val="18"/>
        </w:numPr>
        <w:spacing w:line="276" w:lineRule="auto"/>
        <w:ind w:left="709" w:hanging="425"/>
        <w:jc w:val="both"/>
        <w:rPr>
          <w:rFonts w:ascii="Arial" w:hAnsi="Arial" w:cs="Arial"/>
          <w:i/>
          <w:sz w:val="22"/>
        </w:rPr>
      </w:pPr>
      <w:r w:rsidRPr="0063276B">
        <w:rPr>
          <w:rFonts w:ascii="Arial" w:hAnsi="Arial" w:cs="Arial"/>
          <w:i/>
          <w:sz w:val="22"/>
        </w:rPr>
        <w:t>S nevyužitým odpadom zo stavebných prác je potrebné nakladať v súlade s hierarchiou odpadového hospodárstva.</w:t>
      </w:r>
    </w:p>
    <w:p w14:paraId="4835F387" w14:textId="77777777" w:rsidR="00372D54" w:rsidRPr="0063276B" w:rsidRDefault="00372D54" w:rsidP="0095439F">
      <w:pPr>
        <w:widowControl/>
        <w:numPr>
          <w:ilvl w:val="0"/>
          <w:numId w:val="18"/>
        </w:numPr>
        <w:spacing w:line="276" w:lineRule="auto"/>
        <w:ind w:left="709" w:hanging="425"/>
        <w:jc w:val="both"/>
        <w:rPr>
          <w:rFonts w:ascii="Arial" w:hAnsi="Arial" w:cs="Arial"/>
          <w:i/>
          <w:sz w:val="22"/>
        </w:rPr>
      </w:pPr>
      <w:r w:rsidRPr="0063276B">
        <w:rPr>
          <w:rFonts w:ascii="Arial" w:hAnsi="Arial" w:cs="Arial"/>
          <w:i/>
          <w:sz w:val="22"/>
        </w:rPr>
        <w:t xml:space="preserve">Kovový odpad, odpadový papier, odpadové káble ktoré vzniknú pri stavebných prácach, odovzdať do zariadenia na zhodnocovanie odpadov -  druhotných surovín a po dokončení stavby doložiť doklad o odovzdaní do zberne. </w:t>
      </w:r>
    </w:p>
    <w:p w14:paraId="58CC580F" w14:textId="77777777" w:rsidR="00372D54" w:rsidRPr="0063276B" w:rsidRDefault="00372D54" w:rsidP="0095439F">
      <w:pPr>
        <w:widowControl/>
        <w:numPr>
          <w:ilvl w:val="0"/>
          <w:numId w:val="18"/>
        </w:numPr>
        <w:spacing w:line="276" w:lineRule="auto"/>
        <w:ind w:left="709" w:hanging="425"/>
        <w:jc w:val="both"/>
        <w:rPr>
          <w:rFonts w:ascii="Arial" w:hAnsi="Arial" w:cs="Arial"/>
          <w:i/>
          <w:sz w:val="22"/>
        </w:rPr>
      </w:pPr>
      <w:r w:rsidRPr="0063276B">
        <w:rPr>
          <w:rFonts w:ascii="Arial" w:hAnsi="Arial" w:cs="Arial"/>
          <w:i/>
          <w:sz w:val="22"/>
        </w:rPr>
        <w:t>Drevený odpad je potrebné prednostne materiálovo zhodnotiť, poprípade energeticky využiť. Nepovoľuje sa odovzdať drevený odpad na skládku odpadov.</w:t>
      </w:r>
    </w:p>
    <w:p w14:paraId="325B255F" w14:textId="77777777" w:rsidR="00372D54" w:rsidRPr="0063276B" w:rsidRDefault="00372D54" w:rsidP="0095439F">
      <w:pPr>
        <w:widowControl/>
        <w:numPr>
          <w:ilvl w:val="0"/>
          <w:numId w:val="18"/>
        </w:numPr>
        <w:spacing w:line="276" w:lineRule="auto"/>
        <w:ind w:left="709" w:hanging="425"/>
        <w:jc w:val="both"/>
        <w:rPr>
          <w:rFonts w:ascii="Arial" w:hAnsi="Arial" w:cs="Arial"/>
          <w:i/>
          <w:sz w:val="22"/>
        </w:rPr>
      </w:pPr>
      <w:r w:rsidRPr="0063276B">
        <w:rPr>
          <w:rFonts w:ascii="Arial" w:hAnsi="Arial" w:cs="Arial"/>
          <w:i/>
          <w:sz w:val="22"/>
        </w:rPr>
        <w:t xml:space="preserve">Je možné odovzdávanie odpadov vhodných na využitie v domácnosti. Na tento postup je potrebný súhlas podľa §97 ods. 1, písm. n) zákona č. 79/2015 Z.z.       </w:t>
      </w:r>
    </w:p>
    <w:p w14:paraId="6DB572E5" w14:textId="77777777" w:rsidR="00372D54" w:rsidRPr="0063276B" w:rsidRDefault="00372D54" w:rsidP="0063219C">
      <w:pPr>
        <w:pStyle w:val="A-Text11"/>
      </w:pPr>
      <w:r w:rsidRPr="0063276B">
        <w:t>Uprednostnené bude materiálové zhodnocovanie stavebných odpadov vznikajúcich počas stavby (17 01 07) napr. prostredníctvom mobilného drviaceho zariadenia, resp. na terénne úpravy. Tie odpady, ktoré nie je možné zhodnotiť je potrebné zabezpečiť  ich zneškodnenie v súlade so zákonom  o odpadoch, t.j. na legálnom zariadení oprávnenej organizácie.</w:t>
      </w:r>
    </w:p>
    <w:p w14:paraId="65059CAC" w14:textId="77777777" w:rsidR="00372D54" w:rsidRPr="0063276B" w:rsidRDefault="00372D54" w:rsidP="0063219C">
      <w:pPr>
        <w:pStyle w:val="A-Text11"/>
      </w:pPr>
      <w:r w:rsidRPr="0063276B">
        <w:t xml:space="preserve">Vzniknuté odpady sa budú zhromažďovať v mieste ich vzniku vo vhodných nádobách (kontajneroch), primeraných druhu  a množstvu zhromažďovaného odpadu. </w:t>
      </w:r>
    </w:p>
    <w:p w14:paraId="23585877" w14:textId="77777777" w:rsidR="00372D54" w:rsidRPr="0063276B" w:rsidRDefault="00372D54" w:rsidP="0063219C">
      <w:pPr>
        <w:pStyle w:val="A-Text11"/>
      </w:pPr>
      <w:r w:rsidRPr="0063276B">
        <w:t xml:space="preserve">Bude vedená  evidencia o skutočnom vzniku  a nakladaní s odpadmi pre všetky odpady, ktoré vzniknú počas odstránenia stavby a nielen tých, ktoré sú vyšpecifikované v projektovej dokumentácii. </w:t>
      </w:r>
    </w:p>
    <w:p w14:paraId="0F4688E0" w14:textId="77777777" w:rsidR="00372D54" w:rsidRPr="0063276B" w:rsidRDefault="00372D54" w:rsidP="0063219C">
      <w:pPr>
        <w:pStyle w:val="A-Text11"/>
      </w:pPr>
      <w:r w:rsidRPr="0063276B">
        <w:t xml:space="preserve">Po ukončení stavebných prác bude potrebné orgánu štátnej správy v odpadovom hospodárstve predložiť doklad o spôsobe zhodnocovania resp. zneškodňovania odpadov, ktoré vzniknú počas odstránenia stavby od prevádzkovateľa, ktorý je oprávnený resp. má udelený súhlas  na prevádzkovanie zariadenia na zhodnocovanie resp. na zneškodňovanie odpadov.   </w:t>
      </w:r>
    </w:p>
    <w:p w14:paraId="0F75464C" w14:textId="74B44A78" w:rsidR="00372D54" w:rsidRDefault="00372D54" w:rsidP="0063219C">
      <w:pPr>
        <w:pStyle w:val="A-Text11"/>
      </w:pPr>
      <w:r w:rsidRPr="0063276B">
        <w:t>Iné významné výstupy v etape výstavby  sa neočakávajú.</w:t>
      </w:r>
    </w:p>
    <w:p w14:paraId="211694BF" w14:textId="77777777" w:rsidR="00E65CA9" w:rsidRPr="0063276B" w:rsidRDefault="00E65CA9" w:rsidP="008C6F96">
      <w:pPr>
        <w:pStyle w:val="3rovenadpis"/>
      </w:pPr>
      <w:bookmarkStart w:id="254" w:name="_Toc132078709"/>
      <w:bookmarkStart w:id="255" w:name="_Toc495992974"/>
      <w:bookmarkStart w:id="256" w:name="_Toc93916839"/>
      <w:r w:rsidRPr="0063276B">
        <w:t>Počas prevádzky</w:t>
      </w:r>
      <w:bookmarkEnd w:id="254"/>
      <w:bookmarkEnd w:id="255"/>
      <w:bookmarkEnd w:id="256"/>
    </w:p>
    <w:p w14:paraId="7A5533A2" w14:textId="20744EBA" w:rsidR="00E65CA9" w:rsidRPr="00B7343C" w:rsidRDefault="00E65CA9" w:rsidP="006D764F">
      <w:pPr>
        <w:widowControl/>
        <w:spacing w:before="120"/>
        <w:jc w:val="both"/>
        <w:rPr>
          <w:rFonts w:ascii="Arial" w:hAnsi="Arial" w:cs="Arial"/>
          <w:b/>
          <w:i/>
          <w:sz w:val="22"/>
          <w:szCs w:val="22"/>
          <w:lang w:eastAsia="en-US"/>
        </w:rPr>
      </w:pPr>
      <w:bookmarkStart w:id="257" w:name="_Toc395894094"/>
      <w:bookmarkStart w:id="258" w:name="_Toc403849686"/>
      <w:bookmarkStart w:id="259" w:name="_Toc417141527"/>
      <w:bookmarkStart w:id="260" w:name="_Toc417142363"/>
      <w:r w:rsidRPr="00B7343C">
        <w:rPr>
          <w:rFonts w:ascii="Arial" w:hAnsi="Arial" w:cs="Arial"/>
          <w:b/>
          <w:i/>
          <w:sz w:val="22"/>
          <w:szCs w:val="22"/>
          <w:lang w:eastAsia="en-US"/>
        </w:rPr>
        <w:t>Zdroje znečisťovania ovzdušia</w:t>
      </w:r>
      <w:bookmarkEnd w:id="257"/>
      <w:bookmarkEnd w:id="258"/>
      <w:bookmarkEnd w:id="259"/>
      <w:bookmarkEnd w:id="260"/>
    </w:p>
    <w:p w14:paraId="5E3CA9CA" w14:textId="5616D978" w:rsidR="00A96977" w:rsidRPr="00B7343C" w:rsidRDefault="008F23AC" w:rsidP="001A2F9B">
      <w:pPr>
        <w:pStyle w:val="A-Text11"/>
      </w:pPr>
      <w:r w:rsidRPr="00B7343C">
        <w:t>Zdrojmi znečisťovania ovzdušia budú plynová kotolňa, doprava, spojená s prevádzkou navrhovanej činnosti</w:t>
      </w:r>
      <w:r w:rsidR="00F7116E" w:rsidRPr="00B7343C">
        <w:t xml:space="preserve"> </w:t>
      </w:r>
      <w:r w:rsidR="00A96977" w:rsidRPr="00B7343C">
        <w:t>a</w:t>
      </w:r>
      <w:r w:rsidR="008A2403" w:rsidRPr="00B7343C">
        <w:t> v prípade r</w:t>
      </w:r>
      <w:r w:rsidR="007452D0">
        <w:t>e</w:t>
      </w:r>
      <w:r w:rsidR="008A2403" w:rsidRPr="00B7343C">
        <w:t xml:space="preserve">alizácie navrhovanej činnosti podľa Variantu č. 1,  aj </w:t>
      </w:r>
      <w:r w:rsidR="00196CD3" w:rsidRPr="00B7343C">
        <w:t>náhradný zdroj elektrickej energie</w:t>
      </w:r>
      <w:r w:rsidR="00A96977" w:rsidRPr="00B7343C">
        <w:t xml:space="preserve">.    </w:t>
      </w:r>
    </w:p>
    <w:p w14:paraId="5A586385" w14:textId="77777777" w:rsidR="00802F56" w:rsidRPr="00B7343C" w:rsidRDefault="00802F56" w:rsidP="001A2F9B">
      <w:pPr>
        <w:pStyle w:val="A-Text11"/>
      </w:pPr>
      <w:r w:rsidRPr="00B7343C">
        <w:lastRenderedPageBreak/>
        <w:t xml:space="preserve">Podľa Prílohy č. 1 k vyhláške  Ministerstva  životného prostredia SR,  č. 410/2012 Z.z., ktorou sa vykonávajú  patria technologické celky  obsahujúce spaľovacie zariadenia   s nainštalovaným súhrnným menovitým tepelným príkonom od 0,3 MW medzi stredné zdroje  znečisťovania ovzdušia. </w:t>
      </w:r>
    </w:p>
    <w:p w14:paraId="0BEEC5C1" w14:textId="73CB9349" w:rsidR="00802F56" w:rsidRPr="00B7343C" w:rsidRDefault="00802F56" w:rsidP="001A2F9B">
      <w:pPr>
        <w:pStyle w:val="A-Text11"/>
      </w:pPr>
      <w:r w:rsidRPr="00B7343C">
        <w:t>Kategorizácia zdrojov podľa vyhlášky MŽP SR č. 410/201 Z.z., ktorou sa vykonávajú niektoré ustanovenia zákona o ovzduší:</w:t>
      </w:r>
    </w:p>
    <w:p w14:paraId="622527D2" w14:textId="7A6E2328" w:rsidR="00802F56" w:rsidRPr="00B7343C" w:rsidRDefault="00802F56" w:rsidP="0095439F">
      <w:pPr>
        <w:numPr>
          <w:ilvl w:val="0"/>
          <w:numId w:val="19"/>
        </w:numPr>
        <w:ind w:left="1066" w:hanging="640"/>
        <w:jc w:val="both"/>
        <w:rPr>
          <w:rFonts w:ascii="Arial" w:hAnsi="Arial" w:cs="Arial"/>
          <w:sz w:val="22"/>
          <w:szCs w:val="22"/>
        </w:rPr>
      </w:pPr>
      <w:r w:rsidRPr="00B7343C">
        <w:rPr>
          <w:rFonts w:ascii="Arial" w:hAnsi="Arial" w:cs="Arial"/>
          <w:sz w:val="22"/>
          <w:szCs w:val="22"/>
        </w:rPr>
        <w:t>palivovo-energetický priemysel</w:t>
      </w:r>
    </w:p>
    <w:p w14:paraId="467591A9" w14:textId="64C10541" w:rsidR="00802F56" w:rsidRPr="00B7343C" w:rsidRDefault="00802F56" w:rsidP="0063219C">
      <w:pPr>
        <w:spacing w:before="120"/>
        <w:ind w:left="993" w:hanging="567"/>
        <w:jc w:val="both"/>
        <w:rPr>
          <w:rFonts w:ascii="Arial" w:hAnsi="Arial" w:cs="Arial"/>
          <w:sz w:val="22"/>
          <w:szCs w:val="22"/>
        </w:rPr>
      </w:pPr>
      <w:r w:rsidRPr="00B7343C">
        <w:rPr>
          <w:rFonts w:ascii="Arial" w:hAnsi="Arial" w:cs="Arial"/>
          <w:sz w:val="22"/>
          <w:szCs w:val="22"/>
        </w:rPr>
        <w:t xml:space="preserve">1.1.2 </w:t>
      </w:r>
      <w:r w:rsidR="007452D0">
        <w:rPr>
          <w:rFonts w:ascii="Arial" w:hAnsi="Arial" w:cs="Arial"/>
          <w:sz w:val="22"/>
          <w:szCs w:val="22"/>
        </w:rPr>
        <w:t xml:space="preserve"> </w:t>
      </w:r>
      <w:r w:rsidRPr="00B7343C">
        <w:rPr>
          <w:rFonts w:ascii="Arial" w:hAnsi="Arial" w:cs="Arial"/>
          <w:sz w:val="22"/>
          <w:szCs w:val="22"/>
        </w:rPr>
        <w:t>technolog</w:t>
      </w:r>
      <w:r w:rsidR="007452D0">
        <w:rPr>
          <w:rFonts w:ascii="Arial" w:hAnsi="Arial" w:cs="Arial"/>
          <w:sz w:val="22"/>
          <w:szCs w:val="22"/>
        </w:rPr>
        <w:t>i</w:t>
      </w:r>
      <w:r w:rsidRPr="00B7343C">
        <w:rPr>
          <w:rFonts w:ascii="Arial" w:hAnsi="Arial" w:cs="Arial"/>
          <w:sz w:val="22"/>
          <w:szCs w:val="22"/>
        </w:rPr>
        <w:t xml:space="preserve">cké celky obsahujúce stacionárne zariadenia na spaľovanie palív vrátane plynových turbín a stacionárnych spaľovacích motorov, s nainštalovaným súhrnným menovitým tepelným príkonom 0,3 MW a vyšším  do 50 MW. </w:t>
      </w:r>
    </w:p>
    <w:p w14:paraId="2761C93A" w14:textId="77777777" w:rsidR="00802F56" w:rsidRPr="00B7343C" w:rsidRDefault="00802F56" w:rsidP="001A2F9B">
      <w:pPr>
        <w:pStyle w:val="A-Text11"/>
      </w:pPr>
      <w:r w:rsidRPr="00B7343C">
        <w:t xml:space="preserve">Podľa §17 ods. 1 písm. a) zákona č. 137/2010 Z.z. o ovzduší bude potrebné požiadať príslušný orgán štátnej správy ochrany ovzdušia o súhlas na umiestnenie zdrojov znečisťovania ovzdušia.  </w:t>
      </w:r>
    </w:p>
    <w:p w14:paraId="6D717ED3" w14:textId="641FD6C7" w:rsidR="00E65CA9" w:rsidRPr="00B7343C" w:rsidRDefault="00802F56" w:rsidP="001A2F9B">
      <w:pPr>
        <w:pStyle w:val="A-Text11"/>
      </w:pPr>
      <w:r w:rsidRPr="00B7343C">
        <w:t xml:space="preserve">Zdroje </w:t>
      </w:r>
      <w:r w:rsidR="007452D0">
        <w:t>z</w:t>
      </w:r>
      <w:r w:rsidRPr="00B7343C">
        <w:t>nečisťovania ovzdušia musia spĺňať po</w:t>
      </w:r>
      <w:r w:rsidR="007452D0">
        <w:t>d</w:t>
      </w:r>
      <w:r w:rsidRPr="00B7343C">
        <w:t xml:space="preserve">mienky zabezpečenia rozptylu emisií znečisťujúcich látok. </w:t>
      </w:r>
    </w:p>
    <w:p w14:paraId="6A75A158" w14:textId="095968A8" w:rsidR="00875D32" w:rsidRPr="00B7343C" w:rsidRDefault="00FB59FD" w:rsidP="001A2F9B">
      <w:pPr>
        <w:pStyle w:val="A-Text11"/>
        <w:rPr>
          <w:bCs/>
        </w:rPr>
      </w:pPr>
      <w:r>
        <w:rPr>
          <w:bCs/>
        </w:rPr>
        <w:t xml:space="preserve">V obidvoch navrhovaných variantoch je zdrojom znečisťovania ovzdušia plynová kotolňa. </w:t>
      </w:r>
      <w:r w:rsidR="00367657" w:rsidRPr="00B7343C">
        <w:rPr>
          <w:bCs/>
        </w:rPr>
        <w:t>Vo Variante č</w:t>
      </w:r>
      <w:r w:rsidR="00587C54">
        <w:rPr>
          <w:bCs/>
        </w:rPr>
        <w:t>.</w:t>
      </w:r>
      <w:r w:rsidR="00367657" w:rsidRPr="00B7343C">
        <w:rPr>
          <w:bCs/>
        </w:rPr>
        <w:t xml:space="preserve"> </w:t>
      </w:r>
      <w:r w:rsidR="00CC284B" w:rsidRPr="00B7343C">
        <w:rPr>
          <w:bCs/>
        </w:rPr>
        <w:t>1</w:t>
      </w:r>
      <w:r w:rsidR="00367657" w:rsidRPr="00B7343C">
        <w:rPr>
          <w:bCs/>
        </w:rPr>
        <w:t xml:space="preserve"> </w:t>
      </w:r>
      <w:r w:rsidR="00875D32" w:rsidRPr="00B7343C">
        <w:rPr>
          <w:bCs/>
        </w:rPr>
        <w:t>bud</w:t>
      </w:r>
      <w:r w:rsidR="00F7116E" w:rsidRPr="00B7343C">
        <w:rPr>
          <w:bCs/>
        </w:rPr>
        <w:t>e</w:t>
      </w:r>
      <w:r w:rsidR="00875D32" w:rsidRPr="00B7343C">
        <w:rPr>
          <w:bCs/>
        </w:rPr>
        <w:t xml:space="preserve"> </w:t>
      </w:r>
      <w:r w:rsidR="00367657" w:rsidRPr="00B7343C">
        <w:rPr>
          <w:bCs/>
        </w:rPr>
        <w:t xml:space="preserve">objekt </w:t>
      </w:r>
      <w:r w:rsidR="00875D32" w:rsidRPr="00B7343C">
        <w:rPr>
          <w:bCs/>
        </w:rPr>
        <w:t>vybaven</w:t>
      </w:r>
      <w:r w:rsidR="00F7116E" w:rsidRPr="00B7343C">
        <w:rPr>
          <w:bCs/>
        </w:rPr>
        <w:t>ý</w:t>
      </w:r>
      <w:r w:rsidR="00875D32" w:rsidRPr="00B7343C">
        <w:rPr>
          <w:bCs/>
        </w:rPr>
        <w:t xml:space="preserve"> vlastným dieselagregátom, ktor</w:t>
      </w:r>
      <w:r w:rsidR="00C374E0" w:rsidRPr="00B7343C">
        <w:rPr>
          <w:bCs/>
        </w:rPr>
        <w:t>ý</w:t>
      </w:r>
      <w:r w:rsidR="00875D32" w:rsidRPr="00B7343C">
        <w:rPr>
          <w:bCs/>
        </w:rPr>
        <w:t xml:space="preserve"> bud</w:t>
      </w:r>
      <w:r w:rsidR="00C374E0" w:rsidRPr="00B7343C">
        <w:rPr>
          <w:bCs/>
        </w:rPr>
        <w:t>e</w:t>
      </w:r>
      <w:r w:rsidR="00875D32" w:rsidRPr="00B7343C">
        <w:rPr>
          <w:bCs/>
        </w:rPr>
        <w:t xml:space="preserve"> v prevádzke v prípade výpadku elektrického prúdu. </w:t>
      </w:r>
    </w:p>
    <w:p w14:paraId="3DBB9ABD" w14:textId="5C8D0994" w:rsidR="00875D32" w:rsidRPr="00B7343C" w:rsidRDefault="00875D32" w:rsidP="006A0B8A">
      <w:pPr>
        <w:pStyle w:val="A-Text11"/>
        <w:spacing w:line="240" w:lineRule="auto"/>
      </w:pPr>
      <w:r w:rsidRPr="00B7343C">
        <w:t xml:space="preserve">Motor-generátor nad 300 kW výkonu </w:t>
      </w:r>
      <w:r w:rsidR="00C374E0" w:rsidRPr="00B7343C">
        <w:t>by bol</w:t>
      </w:r>
      <w:r w:rsidRPr="00B7343C">
        <w:t xml:space="preserve"> stredným zdrojom znečisťovania ovzdušia podľa zákona 137/2010 Z.z. Žiadosť o vydanie súhlasu predkladá žiadateľ príslušnému orgánu ochrany ovzdušia. Príslušným orgánom pre stredný zdroj je Okresný úrad Bratislava. Žiadosť okrem všeobecných náležitostí podania musí obsahovať  aj náležitosti uvedené v § 17 ods.2) písm. a) -h)  zákona o ovzduší. </w:t>
      </w:r>
    </w:p>
    <w:p w14:paraId="505E40E5" w14:textId="18728C48" w:rsidR="00E65CA9" w:rsidRPr="00367872" w:rsidRDefault="00E65CA9" w:rsidP="006A0B8A">
      <w:pPr>
        <w:pStyle w:val="A-Text11"/>
        <w:spacing w:line="240" w:lineRule="auto"/>
      </w:pPr>
      <w:r w:rsidRPr="00367872">
        <w:t xml:space="preserve">Pre zhodnotenie možných vplyvov znečistenia ovzdušia z prevádzky objektu </w:t>
      </w:r>
      <w:r w:rsidR="005A7555" w:rsidRPr="00367872">
        <w:t>bola</w:t>
      </w:r>
      <w:r w:rsidRPr="00367872">
        <w:t xml:space="preserve"> v rámci hodnotenia vplyvov na životné prostredie spracovaná samostatná rozptylová štúdia</w:t>
      </w:r>
      <w:r w:rsidR="005A7555" w:rsidRPr="00367872">
        <w:t>.</w:t>
      </w:r>
    </w:p>
    <w:p w14:paraId="0AD60FA1" w14:textId="77777777" w:rsidR="00CC284B" w:rsidRPr="00B7343C" w:rsidRDefault="00CC284B" w:rsidP="006F24A0">
      <w:pPr>
        <w:pStyle w:val="A-Text11"/>
        <w:spacing w:after="120"/>
        <w:ind w:firstLine="425"/>
        <w:rPr>
          <w:b/>
          <w:bCs/>
        </w:rPr>
      </w:pPr>
      <w:r w:rsidRPr="00367872">
        <w:t xml:space="preserve">Pre analýzu vplyvu imisií z automobilovej dopravy boli použité údaje z „Slovenská správa </w:t>
      </w:r>
      <w:r w:rsidRPr="00B7343C">
        <w:t>ciest – celoštátne sčítanie dopravy 2015“ a TP070 (TP 07/2013) „Prognózovanie výhľadových intenzít na cestnej sieti do roku 2040“, ktoré schválilo MDVaRR SR v roku 2013 a údaje z DKP Dopravné napojenie Polyfunčný dom Galvaniho, Alfa 04, s.r.o., 04/2017 (Smerovanie dopravy v križovatkách, rok 2022, špičková hodina popoludní)</w:t>
      </w:r>
    </w:p>
    <w:p w14:paraId="2C3435F4" w14:textId="77777777" w:rsidR="00CC284B" w:rsidRPr="00CA6E83" w:rsidRDefault="00CC284B" w:rsidP="00CC284B">
      <w:pPr>
        <w:spacing w:before="120"/>
        <w:jc w:val="center"/>
      </w:pPr>
      <w:r>
        <w:rPr>
          <w:noProof/>
        </w:rPr>
        <w:drawing>
          <wp:inline distT="0" distB="0" distL="0" distR="0" wp14:anchorId="03DE58C3" wp14:editId="20F8139C">
            <wp:extent cx="5263901" cy="2394171"/>
            <wp:effectExtent l="19050" t="19050" r="13335" b="25400"/>
            <wp:docPr id="39" name="Obrázo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94117" cy="2407914"/>
                    </a:xfrm>
                    <a:prstGeom prst="rect">
                      <a:avLst/>
                    </a:prstGeom>
                    <a:ln w="12700">
                      <a:solidFill>
                        <a:schemeClr val="tx1"/>
                      </a:solidFill>
                    </a:ln>
                  </pic:spPr>
                </pic:pic>
              </a:graphicData>
            </a:graphic>
          </wp:inline>
        </w:drawing>
      </w:r>
    </w:p>
    <w:p w14:paraId="6A06A46F" w14:textId="77777777" w:rsidR="00CC284B" w:rsidRPr="00CA6E83" w:rsidRDefault="00CC284B" w:rsidP="00CC284B">
      <w:pPr>
        <w:jc w:val="center"/>
        <w:rPr>
          <w:rFonts w:cs="Calibri"/>
        </w:rPr>
      </w:pPr>
    </w:p>
    <w:p w14:paraId="1BDF2B84" w14:textId="4686E826" w:rsidR="00CC284B" w:rsidRPr="006F24A0" w:rsidRDefault="00CC284B" w:rsidP="00CC284B">
      <w:pPr>
        <w:spacing w:line="276" w:lineRule="auto"/>
        <w:jc w:val="center"/>
        <w:rPr>
          <w:rFonts w:ascii="Arial" w:hAnsi="Arial" w:cs="Arial"/>
          <w:i/>
          <w:iCs/>
          <w:sz w:val="18"/>
          <w:szCs w:val="18"/>
        </w:rPr>
      </w:pPr>
      <w:r w:rsidRPr="006D2BCB">
        <w:rPr>
          <w:rFonts w:ascii="Arial" w:hAnsi="Arial" w:cs="Arial"/>
          <w:i/>
          <w:iCs/>
          <w:sz w:val="18"/>
          <w:szCs w:val="18"/>
        </w:rPr>
        <w:t>Obr.</w:t>
      </w:r>
      <w:r w:rsidR="002119A2" w:rsidRPr="006D2BCB">
        <w:rPr>
          <w:rFonts w:ascii="Arial" w:hAnsi="Arial" w:cs="Arial"/>
          <w:i/>
          <w:iCs/>
          <w:sz w:val="18"/>
          <w:szCs w:val="18"/>
        </w:rPr>
        <w:t>č.</w:t>
      </w:r>
      <w:r w:rsidR="006F24A0">
        <w:rPr>
          <w:rFonts w:ascii="Arial" w:hAnsi="Arial" w:cs="Arial"/>
          <w:i/>
          <w:iCs/>
          <w:sz w:val="18"/>
          <w:szCs w:val="18"/>
        </w:rPr>
        <w:t xml:space="preserve"> </w:t>
      </w:r>
      <w:r w:rsidR="00753F12" w:rsidRPr="006F24A0">
        <w:rPr>
          <w:rFonts w:ascii="Arial" w:hAnsi="Arial" w:cs="Arial"/>
          <w:i/>
          <w:iCs/>
          <w:sz w:val="18"/>
          <w:szCs w:val="18"/>
        </w:rPr>
        <w:t>IV.2.2.1</w:t>
      </w:r>
      <w:r w:rsidR="00863C85" w:rsidRPr="006F24A0">
        <w:rPr>
          <w:rFonts w:ascii="Arial" w:hAnsi="Arial" w:cs="Arial"/>
          <w:i/>
          <w:iCs/>
          <w:sz w:val="18"/>
          <w:szCs w:val="18"/>
        </w:rPr>
        <w:t>:</w:t>
      </w:r>
      <w:r w:rsidRPr="006F24A0">
        <w:rPr>
          <w:rFonts w:ascii="Arial" w:hAnsi="Arial" w:cs="Arial"/>
          <w:i/>
          <w:iCs/>
          <w:sz w:val="18"/>
          <w:szCs w:val="18"/>
        </w:rPr>
        <w:t xml:space="preserve"> Grafický výstup z celoštátneho sčítania dopravy v r.2015</w:t>
      </w:r>
    </w:p>
    <w:p w14:paraId="1089314C" w14:textId="77777777" w:rsidR="00CC284B" w:rsidRDefault="00CC284B" w:rsidP="00CC284B">
      <w:pPr>
        <w:rPr>
          <w:iCs/>
          <w:color w:val="000000"/>
          <w:lang w:eastAsia="zh-CN"/>
        </w:rPr>
      </w:pPr>
      <w:bookmarkStart w:id="261" w:name="_Hlk55378006"/>
    </w:p>
    <w:p w14:paraId="7A34F8FD" w14:textId="78BFE19A" w:rsidR="00CC284B" w:rsidRPr="006D2BCB" w:rsidRDefault="00CC284B" w:rsidP="00CC284B">
      <w:pPr>
        <w:rPr>
          <w:rFonts w:ascii="Arial" w:hAnsi="Arial" w:cs="Arial"/>
          <w:iCs/>
          <w:sz w:val="18"/>
          <w:szCs w:val="18"/>
          <w:lang w:eastAsia="zh-CN"/>
        </w:rPr>
      </w:pPr>
      <w:r w:rsidRPr="006D2BCB">
        <w:rPr>
          <w:rFonts w:ascii="Arial" w:hAnsi="Arial" w:cs="Arial"/>
          <w:iCs/>
          <w:sz w:val="18"/>
          <w:szCs w:val="18"/>
          <w:lang w:eastAsia="zh-CN"/>
        </w:rPr>
        <w:t xml:space="preserve">Tab. </w:t>
      </w:r>
      <w:r w:rsidR="00753F12" w:rsidRPr="006D2BCB">
        <w:rPr>
          <w:rFonts w:ascii="Arial" w:hAnsi="Arial" w:cs="Arial"/>
          <w:sz w:val="18"/>
          <w:szCs w:val="18"/>
        </w:rPr>
        <w:t>č.</w:t>
      </w:r>
      <w:r w:rsidR="002A7835" w:rsidRPr="006D2BCB">
        <w:rPr>
          <w:rFonts w:ascii="Arial" w:hAnsi="Arial" w:cs="Arial"/>
          <w:sz w:val="18"/>
          <w:szCs w:val="18"/>
        </w:rPr>
        <w:t xml:space="preserve"> </w:t>
      </w:r>
      <w:r w:rsidR="00753F12" w:rsidRPr="006D2BCB">
        <w:rPr>
          <w:rFonts w:ascii="Arial" w:hAnsi="Arial" w:cs="Arial"/>
          <w:sz w:val="18"/>
          <w:szCs w:val="18"/>
        </w:rPr>
        <w:t>IV.2.2.1</w:t>
      </w:r>
      <w:r w:rsidRPr="006D2BCB">
        <w:rPr>
          <w:rFonts w:ascii="Arial" w:hAnsi="Arial" w:cs="Arial"/>
          <w:iCs/>
          <w:sz w:val="18"/>
          <w:szCs w:val="18"/>
          <w:lang w:eastAsia="zh-CN"/>
        </w:rPr>
        <w:t>: Údaje z celoštátneho sčítania dopravy, 2015 (ročné priemerné denné intenzity profilové, sk.voz./24h)</w:t>
      </w:r>
    </w:p>
    <w:tbl>
      <w:tblPr>
        <w:tblStyle w:val="Mriekatabuky"/>
        <w:tblW w:w="10049" w:type="dxa"/>
        <w:tblInd w:w="-572" w:type="dxa"/>
        <w:tblLook w:val="04A0" w:firstRow="1" w:lastRow="0" w:firstColumn="1" w:lastColumn="0" w:noHBand="0" w:noVBand="1"/>
      </w:tblPr>
      <w:tblGrid>
        <w:gridCol w:w="2241"/>
        <w:gridCol w:w="1561"/>
        <w:gridCol w:w="1561"/>
        <w:gridCol w:w="1562"/>
        <w:gridCol w:w="1562"/>
        <w:gridCol w:w="1562"/>
      </w:tblGrid>
      <w:tr w:rsidR="006D2BCB" w:rsidRPr="006D2BCB" w14:paraId="6B04E962" w14:textId="77777777" w:rsidTr="007B2187">
        <w:trPr>
          <w:trHeight w:val="382"/>
        </w:trPr>
        <w:tc>
          <w:tcPr>
            <w:tcW w:w="2241" w:type="dxa"/>
          </w:tcPr>
          <w:p w14:paraId="29B72879" w14:textId="5A699201" w:rsidR="00CC284B" w:rsidRPr="006D2BCB" w:rsidRDefault="00CC284B" w:rsidP="007B2187">
            <w:pPr>
              <w:spacing w:line="276" w:lineRule="auto"/>
              <w:ind w:left="142" w:hanging="142"/>
              <w:jc w:val="both"/>
              <w:rPr>
                <w:rFonts w:ascii="Arial" w:hAnsi="Arial" w:cs="Arial"/>
                <w:sz w:val="22"/>
                <w:szCs w:val="22"/>
              </w:rPr>
            </w:pPr>
            <w:bookmarkStart w:id="262" w:name="OLE_LINK1"/>
            <w:r w:rsidRPr="006D2BCB">
              <w:rPr>
                <w:rFonts w:ascii="Arial" w:hAnsi="Arial" w:cs="Arial"/>
                <w:sz w:val="22"/>
                <w:szCs w:val="22"/>
              </w:rPr>
              <w:t>Cestná</w:t>
            </w:r>
            <w:r w:rsidR="007B2187">
              <w:rPr>
                <w:rFonts w:ascii="Arial" w:hAnsi="Arial" w:cs="Arial"/>
                <w:sz w:val="22"/>
                <w:szCs w:val="22"/>
              </w:rPr>
              <w:t xml:space="preserve"> </w:t>
            </w:r>
            <w:r w:rsidRPr="006D2BCB">
              <w:rPr>
                <w:rFonts w:ascii="Arial" w:hAnsi="Arial" w:cs="Arial"/>
                <w:sz w:val="22"/>
                <w:szCs w:val="22"/>
              </w:rPr>
              <w:t>komunikácia</w:t>
            </w:r>
          </w:p>
        </w:tc>
        <w:tc>
          <w:tcPr>
            <w:tcW w:w="1561" w:type="dxa"/>
          </w:tcPr>
          <w:p w14:paraId="7298807F" w14:textId="77777777" w:rsidR="00CC284B" w:rsidRPr="006D2BCB" w:rsidRDefault="00CC284B" w:rsidP="002F67A9">
            <w:pPr>
              <w:spacing w:line="276" w:lineRule="auto"/>
              <w:jc w:val="both"/>
              <w:rPr>
                <w:rFonts w:ascii="Arial" w:hAnsi="Arial" w:cs="Arial"/>
                <w:sz w:val="22"/>
                <w:szCs w:val="22"/>
              </w:rPr>
            </w:pPr>
            <w:r w:rsidRPr="006D2BCB">
              <w:rPr>
                <w:rFonts w:ascii="Arial" w:hAnsi="Arial" w:cs="Arial"/>
                <w:sz w:val="22"/>
                <w:szCs w:val="22"/>
              </w:rPr>
              <w:t>Sčítací úsek</w:t>
            </w:r>
          </w:p>
        </w:tc>
        <w:tc>
          <w:tcPr>
            <w:tcW w:w="1561" w:type="dxa"/>
          </w:tcPr>
          <w:p w14:paraId="5F868078"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T</w:t>
            </w:r>
          </w:p>
        </w:tc>
        <w:tc>
          <w:tcPr>
            <w:tcW w:w="1562" w:type="dxa"/>
          </w:tcPr>
          <w:p w14:paraId="45FB7102"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O</w:t>
            </w:r>
          </w:p>
        </w:tc>
        <w:tc>
          <w:tcPr>
            <w:tcW w:w="1562" w:type="dxa"/>
          </w:tcPr>
          <w:p w14:paraId="5A2B2567"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M</w:t>
            </w:r>
          </w:p>
        </w:tc>
        <w:tc>
          <w:tcPr>
            <w:tcW w:w="1562" w:type="dxa"/>
          </w:tcPr>
          <w:p w14:paraId="4446CBCA"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S</w:t>
            </w:r>
          </w:p>
        </w:tc>
      </w:tr>
      <w:tr w:rsidR="009376E3" w:rsidRPr="006D2BCB" w14:paraId="4639314B" w14:textId="77777777" w:rsidTr="007B2187">
        <w:trPr>
          <w:trHeight w:val="371"/>
        </w:trPr>
        <w:tc>
          <w:tcPr>
            <w:tcW w:w="2241" w:type="dxa"/>
          </w:tcPr>
          <w:p w14:paraId="367A4F1C" w14:textId="77777777" w:rsidR="00CC284B" w:rsidRPr="006D2BCB" w:rsidRDefault="00CC284B" w:rsidP="002F67A9">
            <w:pPr>
              <w:spacing w:line="276" w:lineRule="auto"/>
              <w:jc w:val="both"/>
              <w:rPr>
                <w:rFonts w:ascii="Arial" w:hAnsi="Arial" w:cs="Arial"/>
                <w:sz w:val="22"/>
                <w:szCs w:val="22"/>
              </w:rPr>
            </w:pPr>
            <w:r w:rsidRPr="006D2BCB">
              <w:rPr>
                <w:rFonts w:ascii="Arial" w:hAnsi="Arial" w:cs="Arial"/>
                <w:sz w:val="22"/>
                <w:szCs w:val="22"/>
              </w:rPr>
              <w:t>I/61</w:t>
            </w:r>
          </w:p>
        </w:tc>
        <w:tc>
          <w:tcPr>
            <w:tcW w:w="1561" w:type="dxa"/>
          </w:tcPr>
          <w:p w14:paraId="0D39BE6A"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84162</w:t>
            </w:r>
          </w:p>
        </w:tc>
        <w:tc>
          <w:tcPr>
            <w:tcW w:w="1561" w:type="dxa"/>
          </w:tcPr>
          <w:p w14:paraId="7B4AA8CB"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2065</w:t>
            </w:r>
          </w:p>
        </w:tc>
        <w:tc>
          <w:tcPr>
            <w:tcW w:w="1562" w:type="dxa"/>
          </w:tcPr>
          <w:p w14:paraId="7A3A6E1A"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20825</w:t>
            </w:r>
          </w:p>
        </w:tc>
        <w:tc>
          <w:tcPr>
            <w:tcW w:w="1562" w:type="dxa"/>
          </w:tcPr>
          <w:p w14:paraId="2E9ECD1D"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129</w:t>
            </w:r>
          </w:p>
        </w:tc>
        <w:tc>
          <w:tcPr>
            <w:tcW w:w="1562" w:type="dxa"/>
          </w:tcPr>
          <w:p w14:paraId="1D2F9A25"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23019</w:t>
            </w:r>
          </w:p>
        </w:tc>
      </w:tr>
      <w:bookmarkEnd w:id="262"/>
    </w:tbl>
    <w:p w14:paraId="1B24D866" w14:textId="77777777" w:rsidR="00CC284B" w:rsidRPr="006D2BCB" w:rsidRDefault="00CC284B" w:rsidP="00CC284B">
      <w:pPr>
        <w:rPr>
          <w:rFonts w:ascii="Arial" w:hAnsi="Arial" w:cs="Arial"/>
          <w:iCs/>
          <w:sz w:val="22"/>
          <w:szCs w:val="22"/>
          <w:lang w:eastAsia="zh-CN"/>
        </w:rPr>
      </w:pPr>
    </w:p>
    <w:p w14:paraId="6F8E85D6" w14:textId="3427DFC2" w:rsidR="00CC284B" w:rsidRPr="006D2BCB" w:rsidRDefault="00CC284B" w:rsidP="00CC284B">
      <w:pPr>
        <w:tabs>
          <w:tab w:val="left" w:pos="2430"/>
        </w:tabs>
        <w:spacing w:line="276" w:lineRule="auto"/>
        <w:jc w:val="both"/>
        <w:rPr>
          <w:rFonts w:ascii="Arial" w:hAnsi="Arial" w:cs="Arial"/>
          <w:sz w:val="18"/>
          <w:szCs w:val="18"/>
          <w:highlight w:val="yellow"/>
          <w:lang w:eastAsia="zh-CN"/>
        </w:rPr>
      </w:pPr>
      <w:bookmarkStart w:id="263" w:name="OLE_LINK2"/>
      <w:bookmarkStart w:id="264" w:name="OLE_LINK4"/>
      <w:r w:rsidRPr="006D2BCB">
        <w:rPr>
          <w:rFonts w:ascii="Arial" w:hAnsi="Arial" w:cs="Arial"/>
          <w:iCs/>
          <w:sz w:val="18"/>
          <w:szCs w:val="18"/>
          <w:lang w:eastAsia="zh-CN"/>
        </w:rPr>
        <w:t>Tab.</w:t>
      </w:r>
      <w:r w:rsidR="00863C85" w:rsidRPr="006D2BCB">
        <w:rPr>
          <w:rFonts w:ascii="Arial" w:hAnsi="Arial" w:cs="Arial"/>
          <w:sz w:val="18"/>
          <w:szCs w:val="18"/>
        </w:rPr>
        <w:t xml:space="preserve"> č.</w:t>
      </w:r>
      <w:r w:rsidR="002A7835" w:rsidRPr="006D2BCB">
        <w:rPr>
          <w:rFonts w:ascii="Arial" w:hAnsi="Arial" w:cs="Arial"/>
          <w:sz w:val="18"/>
          <w:szCs w:val="18"/>
        </w:rPr>
        <w:t xml:space="preserve"> </w:t>
      </w:r>
      <w:r w:rsidR="00863C85" w:rsidRPr="006D2BCB">
        <w:rPr>
          <w:rFonts w:ascii="Arial" w:hAnsi="Arial" w:cs="Arial"/>
          <w:sz w:val="18"/>
          <w:szCs w:val="18"/>
        </w:rPr>
        <w:t>IV.2.2.2</w:t>
      </w:r>
      <w:r w:rsidR="00597093" w:rsidRPr="006D2BCB">
        <w:rPr>
          <w:rFonts w:ascii="Arial" w:hAnsi="Arial" w:cs="Arial"/>
          <w:sz w:val="18"/>
          <w:szCs w:val="18"/>
        </w:rPr>
        <w:t>:</w:t>
      </w:r>
      <w:r w:rsidRPr="006D2BCB">
        <w:rPr>
          <w:rFonts w:ascii="Arial" w:hAnsi="Arial" w:cs="Arial"/>
          <w:iCs/>
          <w:sz w:val="18"/>
          <w:szCs w:val="18"/>
          <w:lang w:eastAsia="zh-CN"/>
        </w:rPr>
        <w:t xml:space="preserve"> Ročné priemerné denné intenzity profilové, sk.voz./24h – pre rok 2020</w:t>
      </w:r>
    </w:p>
    <w:tbl>
      <w:tblPr>
        <w:tblStyle w:val="Mriekatabuky"/>
        <w:tblW w:w="10065" w:type="dxa"/>
        <w:tblInd w:w="-572" w:type="dxa"/>
        <w:tblLook w:val="04A0" w:firstRow="1" w:lastRow="0" w:firstColumn="1" w:lastColumn="0" w:noHBand="0" w:noVBand="1"/>
      </w:tblPr>
      <w:tblGrid>
        <w:gridCol w:w="2256"/>
        <w:gridCol w:w="1557"/>
        <w:gridCol w:w="1556"/>
        <w:gridCol w:w="1557"/>
        <w:gridCol w:w="1551"/>
        <w:gridCol w:w="1557"/>
        <w:gridCol w:w="31"/>
      </w:tblGrid>
      <w:tr w:rsidR="006D2BCB" w:rsidRPr="006D2BCB" w14:paraId="3E9761B5" w14:textId="77777777" w:rsidTr="007B2187">
        <w:trPr>
          <w:gridAfter w:val="1"/>
          <w:wAfter w:w="31" w:type="dxa"/>
          <w:trHeight w:val="351"/>
        </w:trPr>
        <w:tc>
          <w:tcPr>
            <w:tcW w:w="2256" w:type="dxa"/>
          </w:tcPr>
          <w:p w14:paraId="33B80079" w14:textId="7E25C8A4" w:rsidR="00CC284B" w:rsidRPr="006D2BCB" w:rsidRDefault="00CC284B" w:rsidP="007B2187">
            <w:pPr>
              <w:spacing w:line="276" w:lineRule="auto"/>
              <w:ind w:left="142" w:hanging="142"/>
              <w:jc w:val="both"/>
              <w:rPr>
                <w:rFonts w:ascii="Arial" w:hAnsi="Arial" w:cs="Arial"/>
                <w:sz w:val="22"/>
                <w:szCs w:val="22"/>
              </w:rPr>
            </w:pPr>
            <w:r w:rsidRPr="006D2BCB">
              <w:rPr>
                <w:rFonts w:ascii="Arial" w:hAnsi="Arial" w:cs="Arial"/>
                <w:sz w:val="22"/>
                <w:szCs w:val="22"/>
              </w:rPr>
              <w:t>Cestná</w:t>
            </w:r>
            <w:r w:rsidR="007B2187">
              <w:rPr>
                <w:rFonts w:ascii="Arial" w:hAnsi="Arial" w:cs="Arial"/>
                <w:sz w:val="22"/>
                <w:szCs w:val="22"/>
              </w:rPr>
              <w:t xml:space="preserve"> </w:t>
            </w:r>
            <w:r w:rsidRPr="006D2BCB">
              <w:rPr>
                <w:rFonts w:ascii="Arial" w:hAnsi="Arial" w:cs="Arial"/>
                <w:sz w:val="22"/>
                <w:szCs w:val="22"/>
              </w:rPr>
              <w:t>komunikácia</w:t>
            </w:r>
          </w:p>
        </w:tc>
        <w:tc>
          <w:tcPr>
            <w:tcW w:w="1557" w:type="dxa"/>
          </w:tcPr>
          <w:p w14:paraId="34F700F8" w14:textId="77777777" w:rsidR="00CC284B" w:rsidRPr="006D2BCB" w:rsidRDefault="00CC284B" w:rsidP="002F67A9">
            <w:pPr>
              <w:spacing w:line="276" w:lineRule="auto"/>
              <w:jc w:val="both"/>
              <w:rPr>
                <w:rFonts w:ascii="Arial" w:hAnsi="Arial" w:cs="Arial"/>
                <w:sz w:val="22"/>
                <w:szCs w:val="22"/>
              </w:rPr>
            </w:pPr>
            <w:r w:rsidRPr="006D2BCB">
              <w:rPr>
                <w:rFonts w:ascii="Arial" w:hAnsi="Arial" w:cs="Arial"/>
                <w:sz w:val="22"/>
                <w:szCs w:val="22"/>
              </w:rPr>
              <w:t>Sčítací úsek</w:t>
            </w:r>
          </w:p>
        </w:tc>
        <w:tc>
          <w:tcPr>
            <w:tcW w:w="1556" w:type="dxa"/>
          </w:tcPr>
          <w:p w14:paraId="02ECE9DD"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T</w:t>
            </w:r>
          </w:p>
        </w:tc>
        <w:tc>
          <w:tcPr>
            <w:tcW w:w="1557" w:type="dxa"/>
          </w:tcPr>
          <w:p w14:paraId="55D46680"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O</w:t>
            </w:r>
          </w:p>
        </w:tc>
        <w:tc>
          <w:tcPr>
            <w:tcW w:w="1551" w:type="dxa"/>
          </w:tcPr>
          <w:p w14:paraId="506D2494"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M</w:t>
            </w:r>
          </w:p>
        </w:tc>
        <w:tc>
          <w:tcPr>
            <w:tcW w:w="1557" w:type="dxa"/>
          </w:tcPr>
          <w:p w14:paraId="062117B6"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S</w:t>
            </w:r>
          </w:p>
        </w:tc>
      </w:tr>
      <w:bookmarkEnd w:id="263"/>
      <w:tr w:rsidR="006D2BCB" w:rsidRPr="006D2BCB" w14:paraId="232C3B6B" w14:textId="77777777" w:rsidTr="007B2187">
        <w:trPr>
          <w:trHeight w:val="340"/>
        </w:trPr>
        <w:tc>
          <w:tcPr>
            <w:tcW w:w="2256" w:type="dxa"/>
          </w:tcPr>
          <w:p w14:paraId="508C2642" w14:textId="77777777" w:rsidR="00CC284B" w:rsidRPr="006D2BCB" w:rsidRDefault="00CC284B" w:rsidP="002F67A9">
            <w:pPr>
              <w:spacing w:line="276" w:lineRule="auto"/>
              <w:jc w:val="both"/>
              <w:rPr>
                <w:rFonts w:ascii="Arial" w:hAnsi="Arial" w:cs="Arial"/>
                <w:sz w:val="22"/>
                <w:szCs w:val="22"/>
              </w:rPr>
            </w:pPr>
            <w:r w:rsidRPr="006D2BCB">
              <w:rPr>
                <w:rFonts w:ascii="Arial" w:hAnsi="Arial" w:cs="Arial"/>
                <w:sz w:val="22"/>
                <w:szCs w:val="22"/>
              </w:rPr>
              <w:t>I/61</w:t>
            </w:r>
          </w:p>
        </w:tc>
        <w:tc>
          <w:tcPr>
            <w:tcW w:w="1557" w:type="dxa"/>
          </w:tcPr>
          <w:p w14:paraId="2BA49316"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84162</w:t>
            </w:r>
          </w:p>
        </w:tc>
        <w:tc>
          <w:tcPr>
            <w:tcW w:w="1556" w:type="dxa"/>
          </w:tcPr>
          <w:p w14:paraId="63AB760D"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2602</w:t>
            </w:r>
          </w:p>
        </w:tc>
        <w:tc>
          <w:tcPr>
            <w:tcW w:w="1557" w:type="dxa"/>
          </w:tcPr>
          <w:p w14:paraId="43DCC05E"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28739</w:t>
            </w:r>
          </w:p>
        </w:tc>
        <w:tc>
          <w:tcPr>
            <w:tcW w:w="1551" w:type="dxa"/>
          </w:tcPr>
          <w:p w14:paraId="06CCA25B"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129</w:t>
            </w:r>
          </w:p>
        </w:tc>
        <w:tc>
          <w:tcPr>
            <w:tcW w:w="1588" w:type="dxa"/>
            <w:gridSpan w:val="2"/>
          </w:tcPr>
          <w:p w14:paraId="737D261E" w14:textId="77777777" w:rsidR="00CC284B" w:rsidRPr="006D2BCB" w:rsidRDefault="00CC284B" w:rsidP="002F67A9">
            <w:pPr>
              <w:spacing w:line="276" w:lineRule="auto"/>
              <w:jc w:val="center"/>
              <w:rPr>
                <w:rFonts w:ascii="Arial" w:hAnsi="Arial" w:cs="Arial"/>
                <w:sz w:val="22"/>
                <w:szCs w:val="22"/>
              </w:rPr>
            </w:pPr>
            <w:r w:rsidRPr="006D2BCB">
              <w:rPr>
                <w:rFonts w:ascii="Arial" w:hAnsi="Arial" w:cs="Arial"/>
                <w:sz w:val="22"/>
                <w:szCs w:val="22"/>
              </w:rPr>
              <w:t>31470</w:t>
            </w:r>
          </w:p>
        </w:tc>
      </w:tr>
    </w:tbl>
    <w:bookmarkEnd w:id="264"/>
    <w:p w14:paraId="72F04EB6" w14:textId="77777777" w:rsidR="00CC284B" w:rsidRPr="006D2BCB" w:rsidRDefault="00CC284B" w:rsidP="00CC284B">
      <w:pPr>
        <w:tabs>
          <w:tab w:val="left" w:pos="2430"/>
        </w:tabs>
        <w:spacing w:line="276" w:lineRule="auto"/>
        <w:jc w:val="both"/>
        <w:rPr>
          <w:rFonts w:ascii="Arial" w:hAnsi="Arial" w:cs="Arial"/>
          <w:sz w:val="22"/>
          <w:szCs w:val="22"/>
          <w:lang w:eastAsia="zh-CN"/>
        </w:rPr>
      </w:pPr>
      <w:r w:rsidRPr="006D2BCB">
        <w:rPr>
          <w:rFonts w:ascii="Arial" w:hAnsi="Arial" w:cs="Arial"/>
          <w:sz w:val="22"/>
          <w:szCs w:val="22"/>
          <w:lang w:eastAsia="zh-CN"/>
        </w:rPr>
        <w:t>T-nákladné vozidlá celkom, O-osobné automobily, M- motocykle, S – súčet všetkých vozidiel</w:t>
      </w:r>
    </w:p>
    <w:bookmarkEnd w:id="261"/>
    <w:p w14:paraId="4AA1874C" w14:textId="7187708D" w:rsidR="00CC284B" w:rsidRPr="006D2BCB" w:rsidRDefault="00CC284B" w:rsidP="00CC284B">
      <w:pPr>
        <w:suppressAutoHyphens/>
        <w:spacing w:after="120"/>
        <w:ind w:right="105"/>
        <w:jc w:val="both"/>
        <w:rPr>
          <w:rFonts w:ascii="Arial" w:eastAsia="Lucida Sans Unicode" w:hAnsi="Arial" w:cs="Arial"/>
          <w:sz w:val="22"/>
          <w:szCs w:val="22"/>
        </w:rPr>
      </w:pPr>
      <w:r w:rsidRPr="006D2BCB">
        <w:rPr>
          <w:rFonts w:ascii="Arial" w:eastAsia="Lucida Sans Unicode" w:hAnsi="Arial" w:cs="Arial"/>
          <w:sz w:val="22"/>
          <w:szCs w:val="22"/>
        </w:rPr>
        <w:t xml:space="preserve">Pre potreby stanovenia výhľadových intenzít dopravy sa použili výhľadové koeficienty rastu dopravy pre VÚC BA pre D1 podľa TP070 (TP 07/2013) „Prognózovanie výhľadových intenzít na cestnej sieti do roku 2040“, ktoré schválilo MDVaRR SR v roku 2013. </w:t>
      </w:r>
    </w:p>
    <w:p w14:paraId="1C926B4F" w14:textId="53DB0BE3" w:rsidR="00CC284B" w:rsidRPr="005145B5" w:rsidRDefault="00CC284B" w:rsidP="00CC284B">
      <w:pPr>
        <w:suppressAutoHyphens/>
        <w:spacing w:before="9" w:after="1"/>
        <w:rPr>
          <w:rFonts w:ascii="Arial" w:eastAsia="Lucida Sans Unicode" w:hAnsi="Arial" w:cs="Arial"/>
          <w:color w:val="0070C0"/>
          <w:sz w:val="18"/>
          <w:szCs w:val="18"/>
        </w:rPr>
      </w:pPr>
      <w:r w:rsidRPr="006D2BCB">
        <w:rPr>
          <w:rFonts w:ascii="Arial" w:eastAsia="Lucida Sans Unicode" w:hAnsi="Arial" w:cs="Arial"/>
          <w:sz w:val="18"/>
          <w:szCs w:val="18"/>
        </w:rPr>
        <w:t>Tab.</w:t>
      </w:r>
      <w:r w:rsidR="00597093" w:rsidRPr="006D2BCB">
        <w:rPr>
          <w:rFonts w:ascii="Arial" w:hAnsi="Arial" w:cs="Arial"/>
          <w:sz w:val="18"/>
          <w:szCs w:val="18"/>
        </w:rPr>
        <w:t xml:space="preserve"> č.</w:t>
      </w:r>
      <w:r w:rsidR="002A7835" w:rsidRPr="006D2BCB">
        <w:rPr>
          <w:rFonts w:ascii="Arial" w:hAnsi="Arial" w:cs="Arial"/>
          <w:sz w:val="18"/>
          <w:szCs w:val="18"/>
        </w:rPr>
        <w:t xml:space="preserve"> </w:t>
      </w:r>
      <w:r w:rsidR="00597093" w:rsidRPr="006D2BCB">
        <w:rPr>
          <w:rFonts w:ascii="Arial" w:hAnsi="Arial" w:cs="Arial"/>
          <w:sz w:val="18"/>
          <w:szCs w:val="18"/>
        </w:rPr>
        <w:t>IV.2.2.</w:t>
      </w:r>
      <w:r w:rsidR="006050F2" w:rsidRPr="006D2BCB">
        <w:rPr>
          <w:rFonts w:ascii="Arial" w:hAnsi="Arial" w:cs="Arial"/>
          <w:sz w:val="18"/>
          <w:szCs w:val="18"/>
        </w:rPr>
        <w:t>3</w:t>
      </w:r>
      <w:r w:rsidR="006D4EE9" w:rsidRPr="006D2BCB">
        <w:rPr>
          <w:rFonts w:ascii="Arial" w:eastAsia="Lucida Sans Unicode" w:hAnsi="Arial" w:cs="Arial"/>
          <w:sz w:val="18"/>
          <w:szCs w:val="18"/>
        </w:rPr>
        <w:t xml:space="preserve">: </w:t>
      </w:r>
      <w:r w:rsidRPr="006D2BCB">
        <w:rPr>
          <w:rFonts w:ascii="Arial" w:eastAsia="Lucida Sans Unicode" w:hAnsi="Arial" w:cs="Arial"/>
          <w:sz w:val="18"/>
          <w:szCs w:val="18"/>
        </w:rPr>
        <w:t>Výhľadové koeficienty rastu dopravy pre D1 podľa TP070 (TP 07/2013</w:t>
      </w:r>
      <w:r w:rsidRPr="005145B5">
        <w:rPr>
          <w:rFonts w:ascii="Arial" w:eastAsia="Lucida Sans Unicode" w:hAnsi="Arial" w:cs="Arial"/>
          <w:color w:val="0070C0"/>
          <w:sz w:val="18"/>
          <w:szCs w:val="18"/>
        </w:rPr>
        <w:t>)</w:t>
      </w:r>
    </w:p>
    <w:p w14:paraId="75408B93" w14:textId="77777777" w:rsidR="00CC284B" w:rsidRPr="004B7ACA" w:rsidRDefault="00CC284B" w:rsidP="00CC284B">
      <w:pPr>
        <w:suppressAutoHyphens/>
        <w:spacing w:before="1" w:after="120"/>
        <w:rPr>
          <w:rFonts w:ascii="Arial" w:eastAsia="Lucida Sans Unicode" w:hAnsi="Arial" w:cs="Arial"/>
          <w:color w:val="0070C0"/>
          <w:sz w:val="22"/>
          <w:szCs w:val="22"/>
        </w:rPr>
      </w:pPr>
      <w:r w:rsidRPr="004B7ACA">
        <w:rPr>
          <w:rFonts w:ascii="Arial" w:eastAsia="Lucida Sans Unicode" w:hAnsi="Arial" w:cs="Arial"/>
          <w:noProof/>
          <w:color w:val="0070C0"/>
          <w:sz w:val="22"/>
          <w:szCs w:val="22"/>
        </w:rPr>
        <w:drawing>
          <wp:inline distT="0" distB="0" distL="0" distR="0" wp14:anchorId="04DF6D00" wp14:editId="0FDCC006">
            <wp:extent cx="4467225" cy="2190750"/>
            <wp:effectExtent l="0" t="0" r="9525" b="0"/>
            <wp:docPr id="41"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1942" t="13092" r="6990" b="3273"/>
                    <a:stretch/>
                  </pic:blipFill>
                  <pic:spPr bwMode="auto">
                    <a:xfrm>
                      <a:off x="0" y="0"/>
                      <a:ext cx="4467849" cy="2191056"/>
                    </a:xfrm>
                    <a:prstGeom prst="rect">
                      <a:avLst/>
                    </a:prstGeom>
                    <a:ln>
                      <a:noFill/>
                    </a:ln>
                    <a:extLst>
                      <a:ext uri="{53640926-AAD7-44D8-BBD7-CCE9431645EC}">
                        <a14:shadowObscured xmlns:a14="http://schemas.microsoft.com/office/drawing/2010/main"/>
                      </a:ext>
                    </a:extLst>
                  </pic:spPr>
                </pic:pic>
              </a:graphicData>
            </a:graphic>
          </wp:inline>
        </w:drawing>
      </w:r>
    </w:p>
    <w:p w14:paraId="1707F8BE" w14:textId="77777777" w:rsidR="00F66175" w:rsidRDefault="00F66175" w:rsidP="00CC284B">
      <w:pPr>
        <w:rPr>
          <w:rFonts w:ascii="Arial" w:hAnsi="Arial" w:cs="Arial"/>
          <w:iCs/>
          <w:sz w:val="18"/>
          <w:szCs w:val="18"/>
          <w:lang w:eastAsia="zh-CN"/>
        </w:rPr>
      </w:pPr>
    </w:p>
    <w:p w14:paraId="48378C39" w14:textId="5047291F" w:rsidR="00CC284B" w:rsidRPr="002A7835" w:rsidRDefault="00CC284B" w:rsidP="00CC284B">
      <w:pPr>
        <w:rPr>
          <w:rFonts w:ascii="Arial" w:hAnsi="Arial" w:cs="Arial"/>
          <w:iCs/>
          <w:sz w:val="18"/>
          <w:szCs w:val="18"/>
          <w:lang w:eastAsia="zh-CN"/>
        </w:rPr>
      </w:pPr>
      <w:r w:rsidRPr="002A7835">
        <w:rPr>
          <w:rFonts w:ascii="Arial" w:hAnsi="Arial" w:cs="Arial"/>
          <w:iCs/>
          <w:sz w:val="18"/>
          <w:szCs w:val="18"/>
          <w:lang w:eastAsia="zh-CN"/>
        </w:rPr>
        <w:t xml:space="preserve">Tab. </w:t>
      </w:r>
      <w:r w:rsidR="006D4EE9" w:rsidRPr="002A7835">
        <w:rPr>
          <w:rFonts w:ascii="Arial" w:hAnsi="Arial" w:cs="Arial"/>
          <w:sz w:val="18"/>
          <w:szCs w:val="18"/>
        </w:rPr>
        <w:t>č.</w:t>
      </w:r>
      <w:r w:rsidR="002A7835">
        <w:rPr>
          <w:rFonts w:ascii="Arial" w:hAnsi="Arial" w:cs="Arial"/>
          <w:sz w:val="18"/>
          <w:szCs w:val="18"/>
        </w:rPr>
        <w:t xml:space="preserve"> </w:t>
      </w:r>
      <w:r w:rsidR="006D4EE9" w:rsidRPr="002A7835">
        <w:rPr>
          <w:rFonts w:ascii="Arial" w:hAnsi="Arial" w:cs="Arial"/>
          <w:sz w:val="18"/>
          <w:szCs w:val="18"/>
        </w:rPr>
        <w:t>IV.2.2.</w:t>
      </w:r>
      <w:r w:rsidR="00AF7607" w:rsidRPr="002A7835">
        <w:rPr>
          <w:rFonts w:ascii="Arial" w:hAnsi="Arial" w:cs="Arial"/>
          <w:sz w:val="18"/>
          <w:szCs w:val="18"/>
        </w:rPr>
        <w:t>4</w:t>
      </w:r>
      <w:r w:rsidRPr="002A7835">
        <w:rPr>
          <w:rFonts w:ascii="Arial" w:hAnsi="Arial" w:cs="Arial"/>
          <w:iCs/>
          <w:sz w:val="18"/>
          <w:szCs w:val="18"/>
          <w:lang w:eastAsia="zh-CN"/>
        </w:rPr>
        <w:t>:   Ročné priemerné denné intenzity profilové, sk.voz./24h – pre rok 2025</w:t>
      </w:r>
    </w:p>
    <w:tbl>
      <w:tblPr>
        <w:tblStyle w:val="Mriekatabuky"/>
        <w:tblW w:w="9455" w:type="dxa"/>
        <w:tblInd w:w="108" w:type="dxa"/>
        <w:tblLook w:val="04A0" w:firstRow="1" w:lastRow="0" w:firstColumn="1" w:lastColumn="0" w:noHBand="0" w:noVBand="1"/>
      </w:tblPr>
      <w:tblGrid>
        <w:gridCol w:w="1576"/>
        <w:gridCol w:w="1556"/>
        <w:gridCol w:w="1555"/>
        <w:gridCol w:w="1556"/>
        <w:gridCol w:w="1550"/>
        <w:gridCol w:w="1662"/>
      </w:tblGrid>
      <w:tr w:rsidR="00B7343C" w:rsidRPr="00B7343C" w14:paraId="5B2EC99C" w14:textId="77777777" w:rsidTr="00CC284B">
        <w:trPr>
          <w:trHeight w:val="414"/>
        </w:trPr>
        <w:tc>
          <w:tcPr>
            <w:tcW w:w="1576" w:type="dxa"/>
          </w:tcPr>
          <w:p w14:paraId="2A15479E" w14:textId="292833B4" w:rsidR="00CC284B" w:rsidRPr="00B7343C" w:rsidRDefault="00CC284B" w:rsidP="00B7343C">
            <w:pPr>
              <w:spacing w:line="276" w:lineRule="auto"/>
              <w:ind w:left="142" w:hanging="142"/>
              <w:jc w:val="both"/>
              <w:rPr>
                <w:rFonts w:ascii="Arial" w:hAnsi="Arial" w:cs="Arial"/>
                <w:sz w:val="22"/>
                <w:szCs w:val="22"/>
              </w:rPr>
            </w:pPr>
            <w:r w:rsidRPr="00B7343C">
              <w:rPr>
                <w:rFonts w:ascii="Arial" w:hAnsi="Arial" w:cs="Arial"/>
                <w:sz w:val="22"/>
                <w:szCs w:val="22"/>
              </w:rPr>
              <w:t>Cestná</w:t>
            </w:r>
            <w:r w:rsidR="00B7343C">
              <w:rPr>
                <w:rFonts w:ascii="Arial" w:hAnsi="Arial" w:cs="Arial"/>
                <w:sz w:val="22"/>
                <w:szCs w:val="22"/>
              </w:rPr>
              <w:t xml:space="preserve">  k</w:t>
            </w:r>
            <w:r w:rsidRPr="00B7343C">
              <w:rPr>
                <w:rFonts w:ascii="Arial" w:hAnsi="Arial" w:cs="Arial"/>
                <w:sz w:val="22"/>
                <w:szCs w:val="22"/>
              </w:rPr>
              <w:t>om</w:t>
            </w:r>
            <w:r w:rsidR="00B7343C">
              <w:rPr>
                <w:rFonts w:ascii="Arial" w:hAnsi="Arial" w:cs="Arial"/>
                <w:sz w:val="22"/>
                <w:szCs w:val="22"/>
              </w:rPr>
              <w:t>.</w:t>
            </w:r>
          </w:p>
        </w:tc>
        <w:tc>
          <w:tcPr>
            <w:tcW w:w="1556" w:type="dxa"/>
          </w:tcPr>
          <w:p w14:paraId="0D694953" w14:textId="77777777" w:rsidR="00CC284B" w:rsidRPr="00B7343C" w:rsidRDefault="00CC284B" w:rsidP="002F67A9">
            <w:pPr>
              <w:spacing w:line="276" w:lineRule="auto"/>
              <w:jc w:val="both"/>
              <w:rPr>
                <w:rFonts w:ascii="Arial" w:hAnsi="Arial" w:cs="Arial"/>
                <w:sz w:val="22"/>
                <w:szCs w:val="22"/>
              </w:rPr>
            </w:pPr>
            <w:r w:rsidRPr="00B7343C">
              <w:rPr>
                <w:rFonts w:ascii="Arial" w:hAnsi="Arial" w:cs="Arial"/>
                <w:sz w:val="22"/>
                <w:szCs w:val="22"/>
              </w:rPr>
              <w:t>Sčítací úsek</w:t>
            </w:r>
          </w:p>
        </w:tc>
        <w:tc>
          <w:tcPr>
            <w:tcW w:w="1555" w:type="dxa"/>
          </w:tcPr>
          <w:p w14:paraId="1B2EAF39" w14:textId="77777777" w:rsidR="00CC284B" w:rsidRPr="00B7343C" w:rsidRDefault="00CC284B" w:rsidP="002F67A9">
            <w:pPr>
              <w:spacing w:line="276" w:lineRule="auto"/>
              <w:jc w:val="center"/>
              <w:rPr>
                <w:rFonts w:ascii="Arial" w:hAnsi="Arial" w:cs="Arial"/>
                <w:sz w:val="22"/>
                <w:szCs w:val="22"/>
              </w:rPr>
            </w:pPr>
            <w:r w:rsidRPr="00B7343C">
              <w:rPr>
                <w:rFonts w:ascii="Arial" w:hAnsi="Arial" w:cs="Arial"/>
                <w:sz w:val="22"/>
                <w:szCs w:val="22"/>
              </w:rPr>
              <w:t>T</w:t>
            </w:r>
          </w:p>
        </w:tc>
        <w:tc>
          <w:tcPr>
            <w:tcW w:w="1556" w:type="dxa"/>
          </w:tcPr>
          <w:p w14:paraId="6904EEC7" w14:textId="77777777" w:rsidR="00CC284B" w:rsidRPr="00B7343C" w:rsidRDefault="00CC284B" w:rsidP="002F67A9">
            <w:pPr>
              <w:spacing w:line="276" w:lineRule="auto"/>
              <w:jc w:val="center"/>
              <w:rPr>
                <w:rFonts w:ascii="Arial" w:hAnsi="Arial" w:cs="Arial"/>
                <w:sz w:val="22"/>
                <w:szCs w:val="22"/>
              </w:rPr>
            </w:pPr>
            <w:r w:rsidRPr="00B7343C">
              <w:rPr>
                <w:rFonts w:ascii="Arial" w:hAnsi="Arial" w:cs="Arial"/>
                <w:sz w:val="22"/>
                <w:szCs w:val="22"/>
              </w:rPr>
              <w:t>O</w:t>
            </w:r>
          </w:p>
        </w:tc>
        <w:tc>
          <w:tcPr>
            <w:tcW w:w="1550" w:type="dxa"/>
          </w:tcPr>
          <w:p w14:paraId="7D4936A9" w14:textId="77777777" w:rsidR="00CC284B" w:rsidRPr="00B7343C" w:rsidRDefault="00CC284B" w:rsidP="002F67A9">
            <w:pPr>
              <w:spacing w:line="276" w:lineRule="auto"/>
              <w:jc w:val="center"/>
              <w:rPr>
                <w:rFonts w:ascii="Arial" w:hAnsi="Arial" w:cs="Arial"/>
                <w:sz w:val="22"/>
                <w:szCs w:val="22"/>
              </w:rPr>
            </w:pPr>
            <w:r w:rsidRPr="00B7343C">
              <w:rPr>
                <w:rFonts w:ascii="Arial" w:hAnsi="Arial" w:cs="Arial"/>
                <w:sz w:val="22"/>
                <w:szCs w:val="22"/>
              </w:rPr>
              <w:t>M</w:t>
            </w:r>
          </w:p>
        </w:tc>
        <w:tc>
          <w:tcPr>
            <w:tcW w:w="1662" w:type="dxa"/>
          </w:tcPr>
          <w:p w14:paraId="7CC2E096" w14:textId="77777777" w:rsidR="00CC284B" w:rsidRPr="00B7343C" w:rsidRDefault="00CC284B" w:rsidP="002F67A9">
            <w:pPr>
              <w:spacing w:line="276" w:lineRule="auto"/>
              <w:jc w:val="center"/>
              <w:rPr>
                <w:rFonts w:ascii="Arial" w:hAnsi="Arial" w:cs="Arial"/>
                <w:sz w:val="22"/>
                <w:szCs w:val="22"/>
              </w:rPr>
            </w:pPr>
            <w:r w:rsidRPr="00B7343C">
              <w:rPr>
                <w:rFonts w:ascii="Arial" w:hAnsi="Arial" w:cs="Arial"/>
                <w:sz w:val="22"/>
                <w:szCs w:val="22"/>
              </w:rPr>
              <w:t>S</w:t>
            </w:r>
          </w:p>
        </w:tc>
      </w:tr>
      <w:tr w:rsidR="004B7ACA" w:rsidRPr="00B7343C" w14:paraId="49B019E6" w14:textId="77777777" w:rsidTr="00CC284B">
        <w:trPr>
          <w:trHeight w:val="402"/>
        </w:trPr>
        <w:tc>
          <w:tcPr>
            <w:tcW w:w="1576" w:type="dxa"/>
          </w:tcPr>
          <w:p w14:paraId="2CF94DE6" w14:textId="77777777" w:rsidR="00CC284B" w:rsidRPr="00B7343C" w:rsidRDefault="00CC284B" w:rsidP="002F67A9">
            <w:pPr>
              <w:spacing w:line="276" w:lineRule="auto"/>
              <w:jc w:val="both"/>
              <w:rPr>
                <w:rFonts w:ascii="Arial" w:hAnsi="Arial" w:cs="Arial"/>
                <w:sz w:val="22"/>
                <w:szCs w:val="22"/>
              </w:rPr>
            </w:pPr>
            <w:r w:rsidRPr="00B7343C">
              <w:rPr>
                <w:rFonts w:ascii="Arial" w:hAnsi="Arial" w:cs="Arial"/>
                <w:sz w:val="22"/>
                <w:szCs w:val="22"/>
              </w:rPr>
              <w:t>I/61</w:t>
            </w:r>
          </w:p>
        </w:tc>
        <w:tc>
          <w:tcPr>
            <w:tcW w:w="1556" w:type="dxa"/>
          </w:tcPr>
          <w:p w14:paraId="732E3D6E" w14:textId="77777777" w:rsidR="00CC284B" w:rsidRPr="00B7343C" w:rsidRDefault="00CC284B" w:rsidP="002F67A9">
            <w:pPr>
              <w:spacing w:line="276" w:lineRule="auto"/>
              <w:jc w:val="center"/>
              <w:rPr>
                <w:rFonts w:ascii="Arial" w:hAnsi="Arial" w:cs="Arial"/>
                <w:sz w:val="22"/>
                <w:szCs w:val="22"/>
              </w:rPr>
            </w:pPr>
            <w:r w:rsidRPr="00B7343C">
              <w:rPr>
                <w:rFonts w:ascii="Arial" w:hAnsi="Arial" w:cs="Arial"/>
                <w:sz w:val="22"/>
                <w:szCs w:val="22"/>
              </w:rPr>
              <w:t>84162</w:t>
            </w:r>
          </w:p>
        </w:tc>
        <w:tc>
          <w:tcPr>
            <w:tcW w:w="1555" w:type="dxa"/>
          </w:tcPr>
          <w:p w14:paraId="4FF78CBC" w14:textId="77777777" w:rsidR="00CC284B" w:rsidRPr="00B7343C" w:rsidRDefault="00CC284B" w:rsidP="002F67A9">
            <w:pPr>
              <w:spacing w:line="276" w:lineRule="auto"/>
              <w:jc w:val="center"/>
              <w:rPr>
                <w:rFonts w:ascii="Arial" w:hAnsi="Arial" w:cs="Arial"/>
                <w:sz w:val="22"/>
                <w:szCs w:val="22"/>
              </w:rPr>
            </w:pPr>
            <w:r w:rsidRPr="00B7343C">
              <w:rPr>
                <w:rFonts w:ascii="Arial" w:hAnsi="Arial" w:cs="Arial"/>
                <w:sz w:val="22"/>
                <w:szCs w:val="22"/>
              </w:rPr>
              <w:t>2850</w:t>
            </w:r>
          </w:p>
        </w:tc>
        <w:tc>
          <w:tcPr>
            <w:tcW w:w="1556" w:type="dxa"/>
          </w:tcPr>
          <w:p w14:paraId="66DEF82A" w14:textId="77777777" w:rsidR="00CC284B" w:rsidRPr="00B7343C" w:rsidRDefault="00CC284B" w:rsidP="002F67A9">
            <w:pPr>
              <w:spacing w:line="276" w:lineRule="auto"/>
              <w:jc w:val="center"/>
              <w:rPr>
                <w:rFonts w:ascii="Arial" w:hAnsi="Arial" w:cs="Arial"/>
                <w:sz w:val="22"/>
                <w:szCs w:val="22"/>
              </w:rPr>
            </w:pPr>
            <w:r w:rsidRPr="00B7343C">
              <w:rPr>
                <w:rFonts w:ascii="Arial" w:hAnsi="Arial" w:cs="Arial"/>
                <w:sz w:val="22"/>
                <w:szCs w:val="22"/>
              </w:rPr>
              <w:t>31862</w:t>
            </w:r>
          </w:p>
        </w:tc>
        <w:tc>
          <w:tcPr>
            <w:tcW w:w="1550" w:type="dxa"/>
          </w:tcPr>
          <w:p w14:paraId="12E3445E" w14:textId="77777777" w:rsidR="00CC284B" w:rsidRPr="00B7343C" w:rsidRDefault="00CC284B" w:rsidP="002F67A9">
            <w:pPr>
              <w:spacing w:line="276" w:lineRule="auto"/>
              <w:jc w:val="center"/>
              <w:rPr>
                <w:rFonts w:ascii="Arial" w:hAnsi="Arial" w:cs="Arial"/>
                <w:sz w:val="22"/>
                <w:szCs w:val="22"/>
              </w:rPr>
            </w:pPr>
            <w:r w:rsidRPr="00B7343C">
              <w:rPr>
                <w:rFonts w:ascii="Arial" w:hAnsi="Arial" w:cs="Arial"/>
                <w:sz w:val="22"/>
                <w:szCs w:val="22"/>
              </w:rPr>
              <w:t>129</w:t>
            </w:r>
          </w:p>
        </w:tc>
        <w:tc>
          <w:tcPr>
            <w:tcW w:w="1662" w:type="dxa"/>
          </w:tcPr>
          <w:p w14:paraId="33C28D36" w14:textId="77777777" w:rsidR="00CC284B" w:rsidRPr="00B7343C" w:rsidRDefault="00CC284B" w:rsidP="002F67A9">
            <w:pPr>
              <w:spacing w:line="276" w:lineRule="auto"/>
              <w:jc w:val="center"/>
              <w:rPr>
                <w:rFonts w:ascii="Arial" w:hAnsi="Arial" w:cs="Arial"/>
                <w:sz w:val="22"/>
                <w:szCs w:val="22"/>
              </w:rPr>
            </w:pPr>
            <w:r w:rsidRPr="00B7343C">
              <w:rPr>
                <w:rFonts w:ascii="Arial" w:hAnsi="Arial" w:cs="Arial"/>
                <w:sz w:val="22"/>
                <w:szCs w:val="22"/>
              </w:rPr>
              <w:t>34841</w:t>
            </w:r>
          </w:p>
        </w:tc>
      </w:tr>
    </w:tbl>
    <w:p w14:paraId="6AE79A4F" w14:textId="77777777" w:rsidR="00CC284B" w:rsidRPr="00B7343C" w:rsidRDefault="00CC284B" w:rsidP="00CC284B">
      <w:pPr>
        <w:jc w:val="both"/>
        <w:rPr>
          <w:rFonts w:ascii="Arial" w:hAnsi="Arial" w:cs="Arial"/>
          <w:sz w:val="22"/>
          <w:szCs w:val="22"/>
        </w:rPr>
      </w:pPr>
    </w:p>
    <w:p w14:paraId="660B920A" w14:textId="4BF0AB47" w:rsidR="00CC284B" w:rsidRPr="00B7343C" w:rsidRDefault="00CC284B" w:rsidP="001A2F9B">
      <w:pPr>
        <w:pStyle w:val="A-Text11"/>
      </w:pPr>
      <w:r w:rsidRPr="00B7343C">
        <w:t xml:space="preserve">Pre určenie emisných faktorov motorových vozidiel bol použitý  PC program MEFA 13. Program umožňuje výpočet emisií pre rôzne kategórie vozidiel (osobné, nákladné, autobusy), pričom prihliada na kategórie emisných úrovní dopravných prostriedkov. Do výpočtu takisto vstupujú špecifické parametre ako sklon úseku vozovky, rýchlosť a plynulosť jazdy, ale aj napríklad emisie z opotrebenia brzdových platničiek alebo opotrebenia pneumatík. Program umožňuje zohľadniť aj vyťaženie nákladných vozidiel alebo napr. emisie zo studených štartov vozidiel. </w:t>
      </w:r>
    </w:p>
    <w:p w14:paraId="7AE02EEE" w14:textId="77777777" w:rsidR="00CC284B" w:rsidRPr="00B7343C" w:rsidRDefault="00CC284B" w:rsidP="001A2F9B">
      <w:pPr>
        <w:pStyle w:val="A-Text11"/>
      </w:pPr>
      <w:r w:rsidRPr="00B7343C">
        <w:t>Vypočítané boli hodnoty v dvoch variantoch. Prvý variant reprezentuje štandardný prevádzkový stav na cestnej komunikácii, tzn. plynulá jazda a štandardná rýchlosť v oboch smeroch komunikácie.  Druhý variant reprezentuje emisné faktory v špičkovej hodine, kedy je rýchlosť podstatne nižšia a plynulosť jazdy výrazne horšia. Predpokladáme, že v špičkovej hodine prejde riešeným úsekom cestnej komunikácie 10% celodenného počtu vozidiel.</w:t>
      </w:r>
    </w:p>
    <w:p w14:paraId="1749B018" w14:textId="1B43FF55" w:rsidR="007452D0" w:rsidRDefault="007452D0" w:rsidP="00CC284B">
      <w:pPr>
        <w:rPr>
          <w:rFonts w:ascii="Arial" w:hAnsi="Arial" w:cs="Arial"/>
          <w:bCs/>
          <w:i/>
          <w:iCs/>
          <w:sz w:val="18"/>
          <w:szCs w:val="18"/>
        </w:rPr>
      </w:pPr>
    </w:p>
    <w:p w14:paraId="1AA71B73" w14:textId="17D4CDC4" w:rsidR="000E0BC7" w:rsidRDefault="000E0BC7" w:rsidP="00CC284B">
      <w:pPr>
        <w:rPr>
          <w:rFonts w:ascii="Arial" w:hAnsi="Arial" w:cs="Arial"/>
          <w:bCs/>
          <w:i/>
          <w:iCs/>
          <w:sz w:val="18"/>
          <w:szCs w:val="18"/>
        </w:rPr>
      </w:pPr>
    </w:p>
    <w:p w14:paraId="59E69A83" w14:textId="7EC28A46" w:rsidR="000E0BC7" w:rsidRDefault="000E0BC7" w:rsidP="00CC284B">
      <w:pPr>
        <w:rPr>
          <w:rFonts w:ascii="Arial" w:hAnsi="Arial" w:cs="Arial"/>
          <w:bCs/>
          <w:i/>
          <w:iCs/>
          <w:sz w:val="18"/>
          <w:szCs w:val="18"/>
        </w:rPr>
      </w:pPr>
    </w:p>
    <w:p w14:paraId="083F94D9" w14:textId="77777777" w:rsidR="000E0BC7" w:rsidRDefault="000E0BC7" w:rsidP="00CC284B">
      <w:pPr>
        <w:rPr>
          <w:rFonts w:ascii="Arial" w:hAnsi="Arial" w:cs="Arial"/>
          <w:bCs/>
          <w:i/>
          <w:iCs/>
          <w:sz w:val="18"/>
          <w:szCs w:val="18"/>
        </w:rPr>
      </w:pPr>
    </w:p>
    <w:p w14:paraId="7FEB1AFE" w14:textId="5911B495" w:rsidR="00CC284B" w:rsidRPr="002A7835" w:rsidRDefault="00CC284B" w:rsidP="00CC284B">
      <w:pPr>
        <w:rPr>
          <w:rFonts w:ascii="Arial" w:hAnsi="Arial" w:cs="Arial"/>
          <w:bCs/>
          <w:i/>
          <w:iCs/>
          <w:sz w:val="18"/>
          <w:szCs w:val="18"/>
          <w:highlight w:val="yellow"/>
        </w:rPr>
      </w:pPr>
      <w:r w:rsidRPr="002A7835">
        <w:rPr>
          <w:rFonts w:ascii="Arial" w:hAnsi="Arial" w:cs="Arial"/>
          <w:bCs/>
          <w:i/>
          <w:iCs/>
          <w:sz w:val="18"/>
          <w:szCs w:val="18"/>
        </w:rPr>
        <w:lastRenderedPageBreak/>
        <w:t xml:space="preserve"> Tab</w:t>
      </w:r>
      <w:r w:rsidR="00B7343C" w:rsidRPr="002A7835">
        <w:rPr>
          <w:rFonts w:ascii="Arial" w:hAnsi="Arial" w:cs="Arial"/>
          <w:bCs/>
          <w:i/>
          <w:iCs/>
          <w:sz w:val="18"/>
          <w:szCs w:val="18"/>
        </w:rPr>
        <w:t xml:space="preserve">. </w:t>
      </w:r>
      <w:r w:rsidR="00AF7607" w:rsidRPr="002A7835">
        <w:rPr>
          <w:rFonts w:ascii="Arial" w:hAnsi="Arial" w:cs="Arial"/>
          <w:sz w:val="18"/>
          <w:szCs w:val="18"/>
        </w:rPr>
        <w:t>č.</w:t>
      </w:r>
      <w:r w:rsidR="002A7835" w:rsidRPr="002A7835">
        <w:rPr>
          <w:rFonts w:ascii="Arial" w:hAnsi="Arial" w:cs="Arial"/>
          <w:sz w:val="18"/>
          <w:szCs w:val="18"/>
        </w:rPr>
        <w:t xml:space="preserve"> </w:t>
      </w:r>
      <w:r w:rsidR="00AF7607" w:rsidRPr="002A7835">
        <w:rPr>
          <w:rFonts w:ascii="Arial" w:hAnsi="Arial" w:cs="Arial"/>
          <w:sz w:val="18"/>
          <w:szCs w:val="18"/>
        </w:rPr>
        <w:t>IV.2.2.5</w:t>
      </w:r>
      <w:r w:rsidRPr="002A7835">
        <w:rPr>
          <w:rFonts w:ascii="Arial" w:hAnsi="Arial" w:cs="Arial"/>
          <w:bCs/>
          <w:i/>
          <w:iCs/>
          <w:sz w:val="18"/>
          <w:szCs w:val="18"/>
        </w:rPr>
        <w:t>: Emisné faktory za priemerné obdobie – výhľadový stav pre rok 2025</w:t>
      </w:r>
    </w:p>
    <w:tbl>
      <w:tblPr>
        <w:tblW w:w="9728" w:type="dxa"/>
        <w:tblInd w:w="80" w:type="dxa"/>
        <w:tblCellMar>
          <w:left w:w="70" w:type="dxa"/>
          <w:right w:w="70" w:type="dxa"/>
        </w:tblCellMar>
        <w:tblLook w:val="04A0" w:firstRow="1" w:lastRow="0" w:firstColumn="1" w:lastColumn="0" w:noHBand="0" w:noVBand="1"/>
      </w:tblPr>
      <w:tblGrid>
        <w:gridCol w:w="2034"/>
        <w:gridCol w:w="1072"/>
        <w:gridCol w:w="1070"/>
        <w:gridCol w:w="1070"/>
        <w:gridCol w:w="1147"/>
        <w:gridCol w:w="1073"/>
        <w:gridCol w:w="1131"/>
        <w:gridCol w:w="1131"/>
      </w:tblGrid>
      <w:tr w:rsidR="00B7343C" w:rsidRPr="00B7343C" w14:paraId="65695AA5" w14:textId="77777777" w:rsidTr="00B7343C">
        <w:trPr>
          <w:trHeight w:val="324"/>
        </w:trPr>
        <w:tc>
          <w:tcPr>
            <w:tcW w:w="7466" w:type="dxa"/>
            <w:gridSpan w:val="6"/>
            <w:tcBorders>
              <w:top w:val="single" w:sz="8" w:space="0" w:color="auto"/>
              <w:left w:val="single" w:sz="8" w:space="0" w:color="auto"/>
              <w:bottom w:val="single" w:sz="4" w:space="0" w:color="auto"/>
              <w:right w:val="nil"/>
            </w:tcBorders>
            <w:shd w:val="clear" w:color="auto" w:fill="auto"/>
            <w:noWrap/>
            <w:vAlign w:val="bottom"/>
            <w:hideMark/>
          </w:tcPr>
          <w:p w14:paraId="78DDF3C0"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Emisné faktory líniových zdrojov v ročnom priemere [g/s/km]</w:t>
            </w:r>
          </w:p>
        </w:tc>
        <w:tc>
          <w:tcPr>
            <w:tcW w:w="1131" w:type="dxa"/>
            <w:tcBorders>
              <w:top w:val="single" w:sz="8" w:space="0" w:color="auto"/>
              <w:left w:val="nil"/>
              <w:bottom w:val="single" w:sz="4" w:space="0" w:color="auto"/>
              <w:right w:val="nil"/>
            </w:tcBorders>
            <w:shd w:val="clear" w:color="auto" w:fill="auto"/>
            <w:noWrap/>
            <w:vAlign w:val="bottom"/>
            <w:hideMark/>
          </w:tcPr>
          <w:p w14:paraId="75DD0E26" w14:textId="77777777" w:rsidR="00CC284B" w:rsidRPr="00B7343C" w:rsidRDefault="00CC284B" w:rsidP="002F67A9">
            <w:pPr>
              <w:rPr>
                <w:rFonts w:ascii="Arial" w:hAnsi="Arial" w:cs="Arial"/>
                <w:sz w:val="22"/>
                <w:szCs w:val="22"/>
              </w:rPr>
            </w:pPr>
            <w:r w:rsidRPr="00B7343C">
              <w:rPr>
                <w:rFonts w:ascii="Arial" w:hAnsi="Arial" w:cs="Arial"/>
                <w:sz w:val="22"/>
                <w:szCs w:val="22"/>
              </w:rPr>
              <w:t> </w:t>
            </w:r>
          </w:p>
        </w:tc>
        <w:tc>
          <w:tcPr>
            <w:tcW w:w="1131" w:type="dxa"/>
            <w:tcBorders>
              <w:top w:val="single" w:sz="8" w:space="0" w:color="auto"/>
              <w:left w:val="nil"/>
              <w:bottom w:val="single" w:sz="4" w:space="0" w:color="auto"/>
              <w:right w:val="single" w:sz="8" w:space="0" w:color="auto"/>
            </w:tcBorders>
            <w:shd w:val="clear" w:color="auto" w:fill="auto"/>
            <w:noWrap/>
            <w:vAlign w:val="bottom"/>
            <w:hideMark/>
          </w:tcPr>
          <w:p w14:paraId="3C74BC52" w14:textId="77777777" w:rsidR="00CC284B" w:rsidRPr="00B7343C" w:rsidRDefault="00CC284B" w:rsidP="002F67A9">
            <w:pPr>
              <w:rPr>
                <w:rFonts w:ascii="Arial" w:hAnsi="Arial" w:cs="Arial"/>
                <w:sz w:val="22"/>
                <w:szCs w:val="22"/>
              </w:rPr>
            </w:pPr>
            <w:r w:rsidRPr="00B7343C">
              <w:rPr>
                <w:rFonts w:ascii="Arial" w:hAnsi="Arial" w:cs="Arial"/>
                <w:sz w:val="22"/>
                <w:szCs w:val="22"/>
              </w:rPr>
              <w:t> </w:t>
            </w:r>
          </w:p>
        </w:tc>
      </w:tr>
      <w:tr w:rsidR="00B7343C" w:rsidRPr="00B7343C" w14:paraId="78BD6994" w14:textId="77777777" w:rsidTr="00B7343C">
        <w:trPr>
          <w:trHeight w:val="340"/>
        </w:trPr>
        <w:tc>
          <w:tcPr>
            <w:tcW w:w="2034" w:type="dxa"/>
            <w:tcBorders>
              <w:top w:val="nil"/>
              <w:left w:val="single" w:sz="8" w:space="0" w:color="auto"/>
              <w:bottom w:val="single" w:sz="8" w:space="0" w:color="auto"/>
              <w:right w:val="single" w:sz="4" w:space="0" w:color="auto"/>
            </w:tcBorders>
            <w:shd w:val="clear" w:color="auto" w:fill="auto"/>
            <w:noWrap/>
            <w:vAlign w:val="bottom"/>
            <w:hideMark/>
          </w:tcPr>
          <w:p w14:paraId="15C76960" w14:textId="77777777" w:rsidR="00CC284B" w:rsidRPr="00B7343C" w:rsidRDefault="00CC284B" w:rsidP="002F67A9">
            <w:pPr>
              <w:rPr>
                <w:rFonts w:ascii="Arial" w:hAnsi="Arial" w:cs="Arial"/>
                <w:sz w:val="22"/>
                <w:szCs w:val="22"/>
              </w:rPr>
            </w:pPr>
            <w:r w:rsidRPr="00B7343C">
              <w:rPr>
                <w:rFonts w:ascii="Arial" w:hAnsi="Arial" w:cs="Arial"/>
                <w:sz w:val="22"/>
                <w:szCs w:val="22"/>
              </w:rPr>
              <w:t>úsek zdroja</w:t>
            </w:r>
          </w:p>
        </w:tc>
        <w:tc>
          <w:tcPr>
            <w:tcW w:w="1072" w:type="dxa"/>
            <w:tcBorders>
              <w:top w:val="nil"/>
              <w:left w:val="nil"/>
              <w:bottom w:val="single" w:sz="8" w:space="0" w:color="auto"/>
              <w:right w:val="single" w:sz="4" w:space="0" w:color="auto"/>
            </w:tcBorders>
            <w:shd w:val="clear" w:color="auto" w:fill="auto"/>
            <w:noWrap/>
            <w:vAlign w:val="bottom"/>
            <w:hideMark/>
          </w:tcPr>
          <w:p w14:paraId="1E223DE7"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CO</w:t>
            </w:r>
          </w:p>
        </w:tc>
        <w:tc>
          <w:tcPr>
            <w:tcW w:w="1070" w:type="dxa"/>
            <w:tcBorders>
              <w:top w:val="nil"/>
              <w:left w:val="nil"/>
              <w:bottom w:val="single" w:sz="8" w:space="0" w:color="auto"/>
              <w:right w:val="single" w:sz="4" w:space="0" w:color="auto"/>
            </w:tcBorders>
            <w:shd w:val="clear" w:color="auto" w:fill="auto"/>
            <w:noWrap/>
            <w:vAlign w:val="bottom"/>
            <w:hideMark/>
          </w:tcPr>
          <w:p w14:paraId="22AD78F9"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PM</w:t>
            </w:r>
            <w:r w:rsidRPr="00787A4E">
              <w:rPr>
                <w:rFonts w:ascii="Arial" w:hAnsi="Arial" w:cs="Arial"/>
                <w:sz w:val="22"/>
                <w:szCs w:val="22"/>
                <w:vertAlign w:val="subscript"/>
              </w:rPr>
              <w:t>10</w:t>
            </w:r>
          </w:p>
        </w:tc>
        <w:tc>
          <w:tcPr>
            <w:tcW w:w="1070" w:type="dxa"/>
            <w:tcBorders>
              <w:top w:val="nil"/>
              <w:left w:val="nil"/>
              <w:bottom w:val="single" w:sz="8" w:space="0" w:color="auto"/>
              <w:right w:val="single" w:sz="4" w:space="0" w:color="auto"/>
            </w:tcBorders>
            <w:shd w:val="clear" w:color="auto" w:fill="auto"/>
            <w:noWrap/>
            <w:vAlign w:val="bottom"/>
            <w:hideMark/>
          </w:tcPr>
          <w:p w14:paraId="7406A8D1"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NO</w:t>
            </w:r>
            <w:r w:rsidRPr="00787A4E">
              <w:rPr>
                <w:rFonts w:ascii="Arial" w:hAnsi="Arial" w:cs="Arial"/>
                <w:sz w:val="22"/>
                <w:szCs w:val="22"/>
                <w:vertAlign w:val="subscript"/>
              </w:rPr>
              <w:t>2</w:t>
            </w:r>
          </w:p>
        </w:tc>
        <w:tc>
          <w:tcPr>
            <w:tcW w:w="1147" w:type="dxa"/>
            <w:tcBorders>
              <w:top w:val="nil"/>
              <w:left w:val="nil"/>
              <w:bottom w:val="single" w:sz="8" w:space="0" w:color="auto"/>
              <w:right w:val="single" w:sz="4" w:space="0" w:color="auto"/>
            </w:tcBorders>
            <w:shd w:val="clear" w:color="auto" w:fill="auto"/>
            <w:noWrap/>
            <w:vAlign w:val="bottom"/>
            <w:hideMark/>
          </w:tcPr>
          <w:p w14:paraId="3E875B41"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Benzén</w:t>
            </w:r>
          </w:p>
        </w:tc>
        <w:tc>
          <w:tcPr>
            <w:tcW w:w="1073" w:type="dxa"/>
            <w:tcBorders>
              <w:top w:val="nil"/>
              <w:left w:val="nil"/>
              <w:bottom w:val="single" w:sz="8" w:space="0" w:color="auto"/>
              <w:right w:val="single" w:sz="4" w:space="0" w:color="auto"/>
            </w:tcBorders>
            <w:shd w:val="clear" w:color="auto" w:fill="auto"/>
            <w:noWrap/>
            <w:vAlign w:val="bottom"/>
            <w:hideMark/>
          </w:tcPr>
          <w:p w14:paraId="69C493DE" w14:textId="5643608E" w:rsidR="00CC284B" w:rsidRPr="00B7343C" w:rsidRDefault="00CC284B" w:rsidP="002F67A9">
            <w:pPr>
              <w:jc w:val="center"/>
              <w:rPr>
                <w:rFonts w:ascii="Arial" w:hAnsi="Arial" w:cs="Arial"/>
                <w:sz w:val="22"/>
                <w:szCs w:val="22"/>
              </w:rPr>
            </w:pPr>
            <w:r w:rsidRPr="00B7343C">
              <w:rPr>
                <w:rFonts w:ascii="Arial" w:hAnsi="Arial" w:cs="Arial"/>
                <w:sz w:val="22"/>
                <w:szCs w:val="22"/>
              </w:rPr>
              <w:t>PM</w:t>
            </w:r>
            <w:r w:rsidR="00787A4E">
              <w:rPr>
                <w:rFonts w:ascii="Arial" w:hAnsi="Arial" w:cs="Arial"/>
                <w:sz w:val="22"/>
                <w:szCs w:val="22"/>
              </w:rPr>
              <w:t xml:space="preserve"> </w:t>
            </w:r>
            <w:r w:rsidRPr="00821B4E">
              <w:rPr>
                <w:rFonts w:ascii="Arial" w:hAnsi="Arial" w:cs="Arial"/>
                <w:sz w:val="22"/>
                <w:szCs w:val="22"/>
                <w:vertAlign w:val="subscript"/>
              </w:rPr>
              <w:t>2,5</w:t>
            </w:r>
          </w:p>
        </w:tc>
        <w:tc>
          <w:tcPr>
            <w:tcW w:w="1131" w:type="dxa"/>
            <w:tcBorders>
              <w:top w:val="nil"/>
              <w:left w:val="nil"/>
              <w:bottom w:val="single" w:sz="8" w:space="0" w:color="auto"/>
              <w:right w:val="single" w:sz="4" w:space="0" w:color="auto"/>
            </w:tcBorders>
            <w:shd w:val="clear" w:color="auto" w:fill="auto"/>
            <w:noWrap/>
            <w:vAlign w:val="bottom"/>
            <w:hideMark/>
          </w:tcPr>
          <w:p w14:paraId="3569A1E3"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SP_PM</w:t>
            </w:r>
            <w:r w:rsidRPr="00821B4E">
              <w:rPr>
                <w:rFonts w:ascii="Arial" w:hAnsi="Arial" w:cs="Arial"/>
                <w:sz w:val="22"/>
                <w:szCs w:val="22"/>
                <w:vertAlign w:val="subscript"/>
              </w:rPr>
              <w:t>10</w:t>
            </w:r>
          </w:p>
        </w:tc>
        <w:tc>
          <w:tcPr>
            <w:tcW w:w="1131" w:type="dxa"/>
            <w:tcBorders>
              <w:top w:val="nil"/>
              <w:left w:val="nil"/>
              <w:bottom w:val="single" w:sz="8" w:space="0" w:color="auto"/>
              <w:right w:val="single" w:sz="8" w:space="0" w:color="auto"/>
            </w:tcBorders>
            <w:shd w:val="clear" w:color="auto" w:fill="auto"/>
            <w:noWrap/>
            <w:vAlign w:val="bottom"/>
            <w:hideMark/>
          </w:tcPr>
          <w:p w14:paraId="30744D12"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SP_PM</w:t>
            </w:r>
            <w:r w:rsidRPr="00821B4E">
              <w:rPr>
                <w:rFonts w:ascii="Arial" w:hAnsi="Arial" w:cs="Arial"/>
                <w:sz w:val="22"/>
                <w:szCs w:val="22"/>
                <w:vertAlign w:val="subscript"/>
              </w:rPr>
              <w:t>25</w:t>
            </w:r>
          </w:p>
        </w:tc>
      </w:tr>
      <w:tr w:rsidR="00B7343C" w:rsidRPr="00B7343C" w14:paraId="60EC3CF4" w14:textId="77777777" w:rsidTr="00B7343C">
        <w:trPr>
          <w:trHeight w:val="324"/>
        </w:trPr>
        <w:tc>
          <w:tcPr>
            <w:tcW w:w="2034" w:type="dxa"/>
            <w:tcBorders>
              <w:top w:val="nil"/>
              <w:left w:val="single" w:sz="4" w:space="0" w:color="auto"/>
              <w:bottom w:val="single" w:sz="4" w:space="0" w:color="auto"/>
              <w:right w:val="single" w:sz="4" w:space="0" w:color="auto"/>
            </w:tcBorders>
            <w:shd w:val="clear" w:color="auto" w:fill="auto"/>
            <w:noWrap/>
            <w:vAlign w:val="bottom"/>
            <w:hideMark/>
          </w:tcPr>
          <w:p w14:paraId="15883BE5" w14:textId="77777777" w:rsidR="00CC284B" w:rsidRPr="00B7343C" w:rsidRDefault="00CC284B" w:rsidP="002F67A9">
            <w:pPr>
              <w:rPr>
                <w:rFonts w:ascii="Arial" w:hAnsi="Arial" w:cs="Arial"/>
                <w:sz w:val="22"/>
                <w:szCs w:val="22"/>
              </w:rPr>
            </w:pPr>
            <w:r w:rsidRPr="00B7343C">
              <w:rPr>
                <w:rFonts w:ascii="Arial" w:hAnsi="Arial" w:cs="Arial"/>
                <w:sz w:val="22"/>
                <w:szCs w:val="22"/>
              </w:rPr>
              <w:t>K1 -I/61</w:t>
            </w:r>
          </w:p>
        </w:tc>
        <w:tc>
          <w:tcPr>
            <w:tcW w:w="1072" w:type="dxa"/>
            <w:tcBorders>
              <w:top w:val="nil"/>
              <w:left w:val="nil"/>
              <w:bottom w:val="single" w:sz="4" w:space="0" w:color="auto"/>
              <w:right w:val="single" w:sz="4" w:space="0" w:color="auto"/>
            </w:tcBorders>
            <w:shd w:val="clear" w:color="auto" w:fill="auto"/>
            <w:noWrap/>
            <w:vAlign w:val="bottom"/>
            <w:hideMark/>
          </w:tcPr>
          <w:p w14:paraId="266E6DAD"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0,8097</w:t>
            </w:r>
          </w:p>
        </w:tc>
        <w:tc>
          <w:tcPr>
            <w:tcW w:w="1070" w:type="dxa"/>
            <w:tcBorders>
              <w:top w:val="nil"/>
              <w:left w:val="nil"/>
              <w:bottom w:val="single" w:sz="4" w:space="0" w:color="auto"/>
              <w:right w:val="single" w:sz="4" w:space="0" w:color="auto"/>
            </w:tcBorders>
            <w:shd w:val="clear" w:color="auto" w:fill="auto"/>
            <w:noWrap/>
            <w:vAlign w:val="bottom"/>
            <w:hideMark/>
          </w:tcPr>
          <w:p w14:paraId="75724323"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0,0171</w:t>
            </w:r>
          </w:p>
        </w:tc>
        <w:tc>
          <w:tcPr>
            <w:tcW w:w="1070" w:type="dxa"/>
            <w:tcBorders>
              <w:top w:val="nil"/>
              <w:left w:val="nil"/>
              <w:bottom w:val="single" w:sz="4" w:space="0" w:color="auto"/>
              <w:right w:val="single" w:sz="4" w:space="0" w:color="auto"/>
            </w:tcBorders>
            <w:shd w:val="clear" w:color="auto" w:fill="auto"/>
            <w:noWrap/>
            <w:vAlign w:val="bottom"/>
            <w:hideMark/>
          </w:tcPr>
          <w:p w14:paraId="3B8685E2"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0,0195</w:t>
            </w:r>
          </w:p>
        </w:tc>
        <w:tc>
          <w:tcPr>
            <w:tcW w:w="1147" w:type="dxa"/>
            <w:tcBorders>
              <w:top w:val="nil"/>
              <w:left w:val="nil"/>
              <w:bottom w:val="single" w:sz="4" w:space="0" w:color="auto"/>
              <w:right w:val="single" w:sz="4" w:space="0" w:color="auto"/>
            </w:tcBorders>
            <w:shd w:val="clear" w:color="auto" w:fill="auto"/>
            <w:noWrap/>
            <w:vAlign w:val="bottom"/>
            <w:hideMark/>
          </w:tcPr>
          <w:p w14:paraId="32CB05CB"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0,0091</w:t>
            </w:r>
          </w:p>
        </w:tc>
        <w:tc>
          <w:tcPr>
            <w:tcW w:w="1073" w:type="dxa"/>
            <w:tcBorders>
              <w:top w:val="nil"/>
              <w:left w:val="nil"/>
              <w:bottom w:val="single" w:sz="4" w:space="0" w:color="auto"/>
              <w:right w:val="single" w:sz="4" w:space="0" w:color="auto"/>
            </w:tcBorders>
            <w:shd w:val="clear" w:color="auto" w:fill="auto"/>
            <w:noWrap/>
            <w:vAlign w:val="bottom"/>
            <w:hideMark/>
          </w:tcPr>
          <w:p w14:paraId="31AA1CA8"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0,0130</w:t>
            </w:r>
          </w:p>
        </w:tc>
        <w:tc>
          <w:tcPr>
            <w:tcW w:w="1131" w:type="dxa"/>
            <w:tcBorders>
              <w:top w:val="nil"/>
              <w:left w:val="nil"/>
              <w:bottom w:val="single" w:sz="4" w:space="0" w:color="auto"/>
              <w:right w:val="single" w:sz="4" w:space="0" w:color="auto"/>
            </w:tcBorders>
            <w:shd w:val="clear" w:color="auto" w:fill="auto"/>
            <w:noWrap/>
            <w:vAlign w:val="bottom"/>
            <w:hideMark/>
          </w:tcPr>
          <w:p w14:paraId="661A1FB0"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0,4889</w:t>
            </w:r>
          </w:p>
        </w:tc>
        <w:tc>
          <w:tcPr>
            <w:tcW w:w="1131" w:type="dxa"/>
            <w:tcBorders>
              <w:top w:val="nil"/>
              <w:left w:val="nil"/>
              <w:bottom w:val="single" w:sz="4" w:space="0" w:color="auto"/>
              <w:right w:val="single" w:sz="4" w:space="0" w:color="auto"/>
            </w:tcBorders>
            <w:shd w:val="clear" w:color="auto" w:fill="auto"/>
            <w:noWrap/>
            <w:vAlign w:val="bottom"/>
            <w:hideMark/>
          </w:tcPr>
          <w:p w14:paraId="133E87CB"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0,1183</w:t>
            </w:r>
          </w:p>
        </w:tc>
      </w:tr>
      <w:tr w:rsidR="00B7343C" w:rsidRPr="00B7343C" w14:paraId="7546A0EE" w14:textId="77777777" w:rsidTr="00B7343C">
        <w:trPr>
          <w:trHeight w:val="324"/>
        </w:trPr>
        <w:tc>
          <w:tcPr>
            <w:tcW w:w="2034" w:type="dxa"/>
            <w:tcBorders>
              <w:top w:val="nil"/>
              <w:left w:val="single" w:sz="4" w:space="0" w:color="auto"/>
              <w:bottom w:val="single" w:sz="4" w:space="0" w:color="auto"/>
              <w:right w:val="single" w:sz="4" w:space="0" w:color="auto"/>
            </w:tcBorders>
            <w:shd w:val="clear" w:color="auto" w:fill="auto"/>
            <w:noWrap/>
            <w:vAlign w:val="bottom"/>
            <w:hideMark/>
          </w:tcPr>
          <w:p w14:paraId="61EB3E0C" w14:textId="77777777" w:rsidR="00CC284B" w:rsidRPr="00B7343C" w:rsidRDefault="00CC284B" w:rsidP="002F67A9">
            <w:pPr>
              <w:rPr>
                <w:rFonts w:ascii="Arial" w:hAnsi="Arial" w:cs="Arial"/>
                <w:sz w:val="22"/>
                <w:szCs w:val="22"/>
              </w:rPr>
            </w:pPr>
            <w:r w:rsidRPr="00B7343C">
              <w:rPr>
                <w:rFonts w:ascii="Arial" w:hAnsi="Arial" w:cs="Arial"/>
                <w:sz w:val="22"/>
                <w:szCs w:val="22"/>
              </w:rPr>
              <w:t>K2 Galvaniho</w:t>
            </w:r>
          </w:p>
        </w:tc>
        <w:tc>
          <w:tcPr>
            <w:tcW w:w="1072" w:type="dxa"/>
            <w:tcBorders>
              <w:top w:val="nil"/>
              <w:left w:val="nil"/>
              <w:bottom w:val="single" w:sz="4" w:space="0" w:color="auto"/>
              <w:right w:val="single" w:sz="4" w:space="0" w:color="auto"/>
            </w:tcBorders>
            <w:shd w:val="clear" w:color="auto" w:fill="auto"/>
            <w:noWrap/>
            <w:vAlign w:val="bottom"/>
            <w:hideMark/>
          </w:tcPr>
          <w:p w14:paraId="18B8314C"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0,8780</w:t>
            </w:r>
          </w:p>
        </w:tc>
        <w:tc>
          <w:tcPr>
            <w:tcW w:w="1070" w:type="dxa"/>
            <w:tcBorders>
              <w:top w:val="nil"/>
              <w:left w:val="nil"/>
              <w:bottom w:val="single" w:sz="4" w:space="0" w:color="auto"/>
              <w:right w:val="single" w:sz="4" w:space="0" w:color="auto"/>
            </w:tcBorders>
            <w:shd w:val="clear" w:color="auto" w:fill="auto"/>
            <w:noWrap/>
            <w:vAlign w:val="bottom"/>
            <w:hideMark/>
          </w:tcPr>
          <w:p w14:paraId="6D47E967"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0,0176</w:t>
            </w:r>
          </w:p>
        </w:tc>
        <w:tc>
          <w:tcPr>
            <w:tcW w:w="1070" w:type="dxa"/>
            <w:tcBorders>
              <w:top w:val="nil"/>
              <w:left w:val="nil"/>
              <w:bottom w:val="single" w:sz="4" w:space="0" w:color="auto"/>
              <w:right w:val="single" w:sz="4" w:space="0" w:color="auto"/>
            </w:tcBorders>
            <w:shd w:val="clear" w:color="auto" w:fill="auto"/>
            <w:noWrap/>
            <w:vAlign w:val="bottom"/>
            <w:hideMark/>
          </w:tcPr>
          <w:p w14:paraId="7AD2087B"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0,0167</w:t>
            </w:r>
          </w:p>
        </w:tc>
        <w:tc>
          <w:tcPr>
            <w:tcW w:w="1147" w:type="dxa"/>
            <w:tcBorders>
              <w:top w:val="nil"/>
              <w:left w:val="nil"/>
              <w:bottom w:val="single" w:sz="4" w:space="0" w:color="auto"/>
              <w:right w:val="single" w:sz="4" w:space="0" w:color="auto"/>
            </w:tcBorders>
            <w:shd w:val="clear" w:color="auto" w:fill="auto"/>
            <w:noWrap/>
            <w:vAlign w:val="bottom"/>
            <w:hideMark/>
          </w:tcPr>
          <w:p w14:paraId="669C3E75"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0,0094</w:t>
            </w:r>
          </w:p>
        </w:tc>
        <w:tc>
          <w:tcPr>
            <w:tcW w:w="1073" w:type="dxa"/>
            <w:tcBorders>
              <w:top w:val="nil"/>
              <w:left w:val="nil"/>
              <w:bottom w:val="single" w:sz="4" w:space="0" w:color="auto"/>
              <w:right w:val="single" w:sz="4" w:space="0" w:color="auto"/>
            </w:tcBorders>
            <w:shd w:val="clear" w:color="auto" w:fill="auto"/>
            <w:noWrap/>
            <w:vAlign w:val="bottom"/>
            <w:hideMark/>
          </w:tcPr>
          <w:p w14:paraId="1314FE60"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0,0128</w:t>
            </w:r>
          </w:p>
        </w:tc>
        <w:tc>
          <w:tcPr>
            <w:tcW w:w="1131" w:type="dxa"/>
            <w:tcBorders>
              <w:top w:val="nil"/>
              <w:left w:val="nil"/>
              <w:bottom w:val="single" w:sz="4" w:space="0" w:color="auto"/>
              <w:right w:val="single" w:sz="4" w:space="0" w:color="auto"/>
            </w:tcBorders>
            <w:shd w:val="clear" w:color="auto" w:fill="auto"/>
            <w:noWrap/>
            <w:vAlign w:val="bottom"/>
            <w:hideMark/>
          </w:tcPr>
          <w:p w14:paraId="276F639F"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0,4201</w:t>
            </w:r>
          </w:p>
        </w:tc>
        <w:tc>
          <w:tcPr>
            <w:tcW w:w="1131" w:type="dxa"/>
            <w:tcBorders>
              <w:top w:val="nil"/>
              <w:left w:val="nil"/>
              <w:bottom w:val="single" w:sz="4" w:space="0" w:color="auto"/>
              <w:right w:val="single" w:sz="4" w:space="0" w:color="auto"/>
            </w:tcBorders>
            <w:shd w:val="clear" w:color="auto" w:fill="auto"/>
            <w:noWrap/>
            <w:vAlign w:val="bottom"/>
            <w:hideMark/>
          </w:tcPr>
          <w:p w14:paraId="774D8DD2"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0,1016</w:t>
            </w:r>
          </w:p>
        </w:tc>
      </w:tr>
    </w:tbl>
    <w:p w14:paraId="3198BD2D" w14:textId="77777777" w:rsidR="00CC284B" w:rsidRPr="00B7343C" w:rsidRDefault="00CC284B" w:rsidP="00CC284B">
      <w:pPr>
        <w:rPr>
          <w:rFonts w:ascii="Arial" w:hAnsi="Arial" w:cs="Arial"/>
          <w:bCs/>
          <w:sz w:val="22"/>
          <w:szCs w:val="22"/>
          <w:highlight w:val="yellow"/>
        </w:rPr>
      </w:pPr>
    </w:p>
    <w:p w14:paraId="4B9E44C8" w14:textId="264F8E8F" w:rsidR="00CC284B" w:rsidRPr="002A7835" w:rsidRDefault="00CC284B" w:rsidP="00CC284B">
      <w:pPr>
        <w:rPr>
          <w:rFonts w:ascii="Arial" w:hAnsi="Arial" w:cs="Arial"/>
          <w:bCs/>
          <w:i/>
          <w:iCs/>
          <w:sz w:val="18"/>
          <w:szCs w:val="18"/>
        </w:rPr>
      </w:pPr>
      <w:r w:rsidRPr="002A7835">
        <w:rPr>
          <w:rFonts w:ascii="Arial" w:hAnsi="Arial" w:cs="Arial"/>
          <w:bCs/>
          <w:i/>
          <w:iCs/>
          <w:sz w:val="18"/>
          <w:szCs w:val="18"/>
        </w:rPr>
        <w:t>Tab</w:t>
      </w:r>
      <w:r w:rsidR="001822C4" w:rsidRPr="002A7835">
        <w:rPr>
          <w:rFonts w:ascii="Arial" w:hAnsi="Arial" w:cs="Arial"/>
          <w:bCs/>
          <w:i/>
          <w:iCs/>
          <w:sz w:val="18"/>
          <w:szCs w:val="18"/>
        </w:rPr>
        <w:t>.</w:t>
      </w:r>
      <w:r w:rsidR="00B7343C" w:rsidRPr="002A7835">
        <w:rPr>
          <w:rFonts w:ascii="Arial" w:hAnsi="Arial" w:cs="Arial"/>
          <w:bCs/>
          <w:i/>
          <w:iCs/>
          <w:sz w:val="18"/>
          <w:szCs w:val="18"/>
        </w:rPr>
        <w:t xml:space="preserve"> </w:t>
      </w:r>
      <w:r w:rsidR="00FB5F25" w:rsidRPr="002A7835">
        <w:rPr>
          <w:rFonts w:ascii="Arial" w:hAnsi="Arial" w:cs="Arial"/>
          <w:sz w:val="18"/>
          <w:szCs w:val="18"/>
        </w:rPr>
        <w:t>č.</w:t>
      </w:r>
      <w:r w:rsidR="002A7835" w:rsidRPr="002A7835">
        <w:rPr>
          <w:rFonts w:ascii="Arial" w:hAnsi="Arial" w:cs="Arial"/>
          <w:sz w:val="18"/>
          <w:szCs w:val="18"/>
        </w:rPr>
        <w:t xml:space="preserve"> </w:t>
      </w:r>
      <w:r w:rsidR="00FB5F25" w:rsidRPr="002A7835">
        <w:rPr>
          <w:rFonts w:ascii="Arial" w:hAnsi="Arial" w:cs="Arial"/>
          <w:sz w:val="18"/>
          <w:szCs w:val="18"/>
        </w:rPr>
        <w:t>IV.2.2.6</w:t>
      </w:r>
      <w:r w:rsidRPr="002A7835">
        <w:rPr>
          <w:rFonts w:ascii="Arial" w:hAnsi="Arial" w:cs="Arial"/>
          <w:bCs/>
          <w:i/>
          <w:iCs/>
          <w:sz w:val="18"/>
          <w:szCs w:val="18"/>
        </w:rPr>
        <w:t>: Emisné faktory v špičkovej hodine – výhľadový stav pre rok 2025</w:t>
      </w:r>
    </w:p>
    <w:tbl>
      <w:tblPr>
        <w:tblW w:w="9907" w:type="dxa"/>
        <w:tblInd w:w="80" w:type="dxa"/>
        <w:tblCellMar>
          <w:left w:w="70" w:type="dxa"/>
          <w:right w:w="70" w:type="dxa"/>
        </w:tblCellMar>
        <w:tblLook w:val="04A0" w:firstRow="1" w:lastRow="0" w:firstColumn="1" w:lastColumn="0" w:noHBand="0" w:noVBand="1"/>
      </w:tblPr>
      <w:tblGrid>
        <w:gridCol w:w="2083"/>
        <w:gridCol w:w="1096"/>
        <w:gridCol w:w="1096"/>
        <w:gridCol w:w="1096"/>
        <w:gridCol w:w="1174"/>
        <w:gridCol w:w="1100"/>
        <w:gridCol w:w="1131"/>
        <w:gridCol w:w="1131"/>
      </w:tblGrid>
      <w:tr w:rsidR="00B7343C" w:rsidRPr="00B7343C" w14:paraId="288A19F4" w14:textId="77777777" w:rsidTr="00B7343C">
        <w:trPr>
          <w:trHeight w:val="310"/>
        </w:trPr>
        <w:tc>
          <w:tcPr>
            <w:tcW w:w="7645" w:type="dxa"/>
            <w:gridSpan w:val="6"/>
            <w:tcBorders>
              <w:top w:val="single" w:sz="8" w:space="0" w:color="auto"/>
              <w:left w:val="single" w:sz="8" w:space="0" w:color="auto"/>
              <w:bottom w:val="single" w:sz="4" w:space="0" w:color="auto"/>
              <w:right w:val="nil"/>
            </w:tcBorders>
            <w:shd w:val="clear" w:color="auto" w:fill="auto"/>
            <w:noWrap/>
            <w:vAlign w:val="bottom"/>
            <w:hideMark/>
          </w:tcPr>
          <w:p w14:paraId="4B3A0650"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Emisné faktory líniových zdrojov v špičkovej hodine [g/s/km]</w:t>
            </w:r>
          </w:p>
        </w:tc>
        <w:tc>
          <w:tcPr>
            <w:tcW w:w="1131" w:type="dxa"/>
            <w:tcBorders>
              <w:top w:val="single" w:sz="8" w:space="0" w:color="auto"/>
              <w:left w:val="nil"/>
              <w:bottom w:val="single" w:sz="4" w:space="0" w:color="auto"/>
              <w:right w:val="nil"/>
            </w:tcBorders>
            <w:shd w:val="clear" w:color="auto" w:fill="auto"/>
            <w:noWrap/>
            <w:vAlign w:val="bottom"/>
            <w:hideMark/>
          </w:tcPr>
          <w:p w14:paraId="0C110B46" w14:textId="77777777" w:rsidR="00CC284B" w:rsidRPr="00B7343C" w:rsidRDefault="00CC284B" w:rsidP="002F67A9">
            <w:pPr>
              <w:rPr>
                <w:rFonts w:ascii="Arial" w:hAnsi="Arial" w:cs="Arial"/>
                <w:sz w:val="22"/>
                <w:szCs w:val="22"/>
              </w:rPr>
            </w:pPr>
            <w:r w:rsidRPr="00B7343C">
              <w:rPr>
                <w:rFonts w:ascii="Arial" w:hAnsi="Arial" w:cs="Arial"/>
                <w:sz w:val="22"/>
                <w:szCs w:val="22"/>
              </w:rPr>
              <w:t> </w:t>
            </w:r>
          </w:p>
        </w:tc>
        <w:tc>
          <w:tcPr>
            <w:tcW w:w="1131" w:type="dxa"/>
            <w:tcBorders>
              <w:top w:val="single" w:sz="8" w:space="0" w:color="auto"/>
              <w:left w:val="nil"/>
              <w:bottom w:val="single" w:sz="4" w:space="0" w:color="auto"/>
              <w:right w:val="single" w:sz="8" w:space="0" w:color="auto"/>
            </w:tcBorders>
            <w:shd w:val="clear" w:color="auto" w:fill="auto"/>
            <w:noWrap/>
            <w:vAlign w:val="bottom"/>
            <w:hideMark/>
          </w:tcPr>
          <w:p w14:paraId="04EA389A" w14:textId="77777777" w:rsidR="00CC284B" w:rsidRPr="00B7343C" w:rsidRDefault="00CC284B" w:rsidP="002F67A9">
            <w:pPr>
              <w:rPr>
                <w:rFonts w:ascii="Arial" w:hAnsi="Arial" w:cs="Arial"/>
                <w:sz w:val="22"/>
                <w:szCs w:val="22"/>
              </w:rPr>
            </w:pPr>
            <w:r w:rsidRPr="00B7343C">
              <w:rPr>
                <w:rFonts w:ascii="Arial" w:hAnsi="Arial" w:cs="Arial"/>
                <w:sz w:val="22"/>
                <w:szCs w:val="22"/>
              </w:rPr>
              <w:t> </w:t>
            </w:r>
          </w:p>
        </w:tc>
      </w:tr>
      <w:tr w:rsidR="00B7343C" w:rsidRPr="00B7343C" w14:paraId="392E7DB5" w14:textId="77777777" w:rsidTr="00B7343C">
        <w:trPr>
          <w:trHeight w:val="326"/>
        </w:trPr>
        <w:tc>
          <w:tcPr>
            <w:tcW w:w="2083" w:type="dxa"/>
            <w:tcBorders>
              <w:top w:val="nil"/>
              <w:left w:val="single" w:sz="8" w:space="0" w:color="auto"/>
              <w:bottom w:val="single" w:sz="8" w:space="0" w:color="auto"/>
              <w:right w:val="single" w:sz="4" w:space="0" w:color="auto"/>
            </w:tcBorders>
            <w:shd w:val="clear" w:color="auto" w:fill="auto"/>
            <w:noWrap/>
            <w:vAlign w:val="bottom"/>
            <w:hideMark/>
          </w:tcPr>
          <w:p w14:paraId="55126D59" w14:textId="77777777" w:rsidR="00CC284B" w:rsidRPr="00B7343C" w:rsidRDefault="00CC284B" w:rsidP="002F67A9">
            <w:pPr>
              <w:rPr>
                <w:rFonts w:ascii="Arial" w:hAnsi="Arial" w:cs="Arial"/>
                <w:sz w:val="22"/>
                <w:szCs w:val="22"/>
              </w:rPr>
            </w:pPr>
            <w:r w:rsidRPr="00B7343C">
              <w:rPr>
                <w:rFonts w:ascii="Arial" w:hAnsi="Arial" w:cs="Arial"/>
                <w:sz w:val="22"/>
                <w:szCs w:val="22"/>
              </w:rPr>
              <w:t>úsek zdroja</w:t>
            </w:r>
          </w:p>
        </w:tc>
        <w:tc>
          <w:tcPr>
            <w:tcW w:w="1096" w:type="dxa"/>
            <w:tcBorders>
              <w:top w:val="nil"/>
              <w:left w:val="nil"/>
              <w:bottom w:val="single" w:sz="8" w:space="0" w:color="auto"/>
              <w:right w:val="single" w:sz="4" w:space="0" w:color="auto"/>
            </w:tcBorders>
            <w:shd w:val="clear" w:color="auto" w:fill="auto"/>
            <w:noWrap/>
            <w:vAlign w:val="bottom"/>
            <w:hideMark/>
          </w:tcPr>
          <w:p w14:paraId="3EF9C2A7"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CO</w:t>
            </w:r>
          </w:p>
        </w:tc>
        <w:tc>
          <w:tcPr>
            <w:tcW w:w="1096" w:type="dxa"/>
            <w:tcBorders>
              <w:top w:val="nil"/>
              <w:left w:val="nil"/>
              <w:bottom w:val="single" w:sz="8" w:space="0" w:color="auto"/>
              <w:right w:val="single" w:sz="4" w:space="0" w:color="auto"/>
            </w:tcBorders>
            <w:shd w:val="clear" w:color="auto" w:fill="auto"/>
            <w:noWrap/>
            <w:vAlign w:val="bottom"/>
            <w:hideMark/>
          </w:tcPr>
          <w:p w14:paraId="0EAD59E9"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PM</w:t>
            </w:r>
            <w:r w:rsidRPr="00821B4E">
              <w:rPr>
                <w:rFonts w:ascii="Arial" w:hAnsi="Arial" w:cs="Arial"/>
                <w:sz w:val="22"/>
                <w:szCs w:val="22"/>
                <w:vertAlign w:val="subscript"/>
              </w:rPr>
              <w:t>10</w:t>
            </w:r>
          </w:p>
        </w:tc>
        <w:tc>
          <w:tcPr>
            <w:tcW w:w="1096" w:type="dxa"/>
            <w:tcBorders>
              <w:top w:val="nil"/>
              <w:left w:val="nil"/>
              <w:bottom w:val="single" w:sz="8" w:space="0" w:color="auto"/>
              <w:right w:val="single" w:sz="4" w:space="0" w:color="auto"/>
            </w:tcBorders>
            <w:shd w:val="clear" w:color="auto" w:fill="auto"/>
            <w:noWrap/>
            <w:vAlign w:val="bottom"/>
            <w:hideMark/>
          </w:tcPr>
          <w:p w14:paraId="2B5EFFEF"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NO</w:t>
            </w:r>
            <w:r w:rsidRPr="00821B4E">
              <w:rPr>
                <w:rFonts w:ascii="Arial" w:hAnsi="Arial" w:cs="Arial"/>
                <w:sz w:val="22"/>
                <w:szCs w:val="22"/>
                <w:vertAlign w:val="subscript"/>
              </w:rPr>
              <w:t>2</w:t>
            </w:r>
          </w:p>
        </w:tc>
        <w:tc>
          <w:tcPr>
            <w:tcW w:w="1174" w:type="dxa"/>
            <w:tcBorders>
              <w:top w:val="nil"/>
              <w:left w:val="nil"/>
              <w:bottom w:val="single" w:sz="8" w:space="0" w:color="auto"/>
              <w:right w:val="single" w:sz="4" w:space="0" w:color="auto"/>
            </w:tcBorders>
            <w:shd w:val="clear" w:color="auto" w:fill="auto"/>
            <w:noWrap/>
            <w:vAlign w:val="bottom"/>
            <w:hideMark/>
          </w:tcPr>
          <w:p w14:paraId="768D47D1"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Benzén</w:t>
            </w:r>
          </w:p>
        </w:tc>
        <w:tc>
          <w:tcPr>
            <w:tcW w:w="1100" w:type="dxa"/>
            <w:tcBorders>
              <w:top w:val="nil"/>
              <w:left w:val="nil"/>
              <w:bottom w:val="single" w:sz="8" w:space="0" w:color="auto"/>
              <w:right w:val="single" w:sz="4" w:space="0" w:color="auto"/>
            </w:tcBorders>
            <w:shd w:val="clear" w:color="auto" w:fill="auto"/>
            <w:noWrap/>
            <w:vAlign w:val="bottom"/>
            <w:hideMark/>
          </w:tcPr>
          <w:p w14:paraId="25090E85" w14:textId="411D39AF" w:rsidR="00CC284B" w:rsidRPr="00B7343C" w:rsidRDefault="00CC284B" w:rsidP="002F67A9">
            <w:pPr>
              <w:jc w:val="center"/>
              <w:rPr>
                <w:rFonts w:ascii="Arial" w:hAnsi="Arial" w:cs="Arial"/>
                <w:sz w:val="22"/>
                <w:szCs w:val="22"/>
              </w:rPr>
            </w:pPr>
            <w:r w:rsidRPr="00B7343C">
              <w:rPr>
                <w:rFonts w:ascii="Arial" w:hAnsi="Arial" w:cs="Arial"/>
                <w:sz w:val="22"/>
                <w:szCs w:val="22"/>
              </w:rPr>
              <w:t>PM</w:t>
            </w:r>
            <w:r w:rsidR="00821B4E">
              <w:rPr>
                <w:rFonts w:ascii="Arial" w:hAnsi="Arial" w:cs="Arial"/>
                <w:sz w:val="22"/>
                <w:szCs w:val="22"/>
              </w:rPr>
              <w:t xml:space="preserve"> </w:t>
            </w:r>
            <w:r w:rsidRPr="00821B4E">
              <w:rPr>
                <w:rFonts w:ascii="Arial" w:hAnsi="Arial" w:cs="Arial"/>
                <w:sz w:val="22"/>
                <w:szCs w:val="22"/>
                <w:vertAlign w:val="subscript"/>
              </w:rPr>
              <w:t>2,5</w:t>
            </w:r>
          </w:p>
        </w:tc>
        <w:tc>
          <w:tcPr>
            <w:tcW w:w="1131" w:type="dxa"/>
            <w:tcBorders>
              <w:top w:val="nil"/>
              <w:left w:val="nil"/>
              <w:bottom w:val="single" w:sz="8" w:space="0" w:color="auto"/>
              <w:right w:val="single" w:sz="4" w:space="0" w:color="auto"/>
            </w:tcBorders>
            <w:shd w:val="clear" w:color="auto" w:fill="auto"/>
            <w:noWrap/>
            <w:vAlign w:val="bottom"/>
            <w:hideMark/>
          </w:tcPr>
          <w:p w14:paraId="677EC5E0"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SP_PM</w:t>
            </w:r>
            <w:r w:rsidRPr="00821B4E">
              <w:rPr>
                <w:rFonts w:ascii="Arial" w:hAnsi="Arial" w:cs="Arial"/>
                <w:sz w:val="22"/>
                <w:szCs w:val="22"/>
                <w:vertAlign w:val="subscript"/>
              </w:rPr>
              <w:t>10</w:t>
            </w:r>
          </w:p>
        </w:tc>
        <w:tc>
          <w:tcPr>
            <w:tcW w:w="1131" w:type="dxa"/>
            <w:tcBorders>
              <w:top w:val="nil"/>
              <w:left w:val="nil"/>
              <w:bottom w:val="single" w:sz="8" w:space="0" w:color="auto"/>
              <w:right w:val="single" w:sz="8" w:space="0" w:color="auto"/>
            </w:tcBorders>
            <w:shd w:val="clear" w:color="auto" w:fill="auto"/>
            <w:noWrap/>
            <w:vAlign w:val="bottom"/>
            <w:hideMark/>
          </w:tcPr>
          <w:p w14:paraId="057A201C"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SP_PM</w:t>
            </w:r>
            <w:r w:rsidRPr="00821B4E">
              <w:rPr>
                <w:rFonts w:ascii="Arial" w:hAnsi="Arial" w:cs="Arial"/>
                <w:sz w:val="22"/>
                <w:szCs w:val="22"/>
                <w:vertAlign w:val="subscript"/>
              </w:rPr>
              <w:t>25</w:t>
            </w:r>
          </w:p>
        </w:tc>
      </w:tr>
      <w:tr w:rsidR="00B7343C" w:rsidRPr="00B7343C" w14:paraId="3F15E63A" w14:textId="77777777" w:rsidTr="00B7343C">
        <w:trPr>
          <w:trHeight w:val="310"/>
        </w:trPr>
        <w:tc>
          <w:tcPr>
            <w:tcW w:w="2083" w:type="dxa"/>
            <w:tcBorders>
              <w:top w:val="nil"/>
              <w:left w:val="single" w:sz="4" w:space="0" w:color="auto"/>
              <w:bottom w:val="single" w:sz="4" w:space="0" w:color="auto"/>
              <w:right w:val="single" w:sz="4" w:space="0" w:color="auto"/>
            </w:tcBorders>
            <w:shd w:val="clear" w:color="auto" w:fill="auto"/>
            <w:noWrap/>
            <w:vAlign w:val="bottom"/>
            <w:hideMark/>
          </w:tcPr>
          <w:p w14:paraId="479950AF" w14:textId="77777777" w:rsidR="00CC284B" w:rsidRPr="00B7343C" w:rsidRDefault="00CC284B" w:rsidP="002F67A9">
            <w:pPr>
              <w:rPr>
                <w:rFonts w:ascii="Arial" w:hAnsi="Arial" w:cs="Arial"/>
                <w:sz w:val="22"/>
                <w:szCs w:val="22"/>
              </w:rPr>
            </w:pPr>
            <w:r w:rsidRPr="00B7343C">
              <w:rPr>
                <w:rFonts w:ascii="Arial" w:hAnsi="Arial" w:cs="Arial"/>
                <w:sz w:val="22"/>
                <w:szCs w:val="22"/>
              </w:rPr>
              <w:t>K1 -I/61</w:t>
            </w:r>
          </w:p>
        </w:tc>
        <w:tc>
          <w:tcPr>
            <w:tcW w:w="1096" w:type="dxa"/>
            <w:tcBorders>
              <w:top w:val="nil"/>
              <w:left w:val="nil"/>
              <w:bottom w:val="single" w:sz="4" w:space="0" w:color="auto"/>
              <w:right w:val="single" w:sz="4" w:space="0" w:color="auto"/>
            </w:tcBorders>
            <w:shd w:val="clear" w:color="auto" w:fill="auto"/>
            <w:noWrap/>
            <w:vAlign w:val="bottom"/>
            <w:hideMark/>
          </w:tcPr>
          <w:p w14:paraId="5FB931CC"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6,7835</w:t>
            </w:r>
          </w:p>
        </w:tc>
        <w:tc>
          <w:tcPr>
            <w:tcW w:w="1096" w:type="dxa"/>
            <w:tcBorders>
              <w:top w:val="nil"/>
              <w:left w:val="nil"/>
              <w:bottom w:val="single" w:sz="4" w:space="0" w:color="auto"/>
              <w:right w:val="single" w:sz="4" w:space="0" w:color="auto"/>
            </w:tcBorders>
            <w:shd w:val="clear" w:color="auto" w:fill="auto"/>
            <w:noWrap/>
            <w:vAlign w:val="bottom"/>
            <w:hideMark/>
          </w:tcPr>
          <w:p w14:paraId="5EB85259"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0,0836</w:t>
            </w:r>
          </w:p>
        </w:tc>
        <w:tc>
          <w:tcPr>
            <w:tcW w:w="1096" w:type="dxa"/>
            <w:tcBorders>
              <w:top w:val="nil"/>
              <w:left w:val="nil"/>
              <w:bottom w:val="single" w:sz="4" w:space="0" w:color="auto"/>
              <w:right w:val="single" w:sz="4" w:space="0" w:color="auto"/>
            </w:tcBorders>
            <w:shd w:val="clear" w:color="auto" w:fill="auto"/>
            <w:noWrap/>
            <w:vAlign w:val="bottom"/>
            <w:hideMark/>
          </w:tcPr>
          <w:p w14:paraId="603C081B"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0,0745</w:t>
            </w:r>
          </w:p>
        </w:tc>
        <w:tc>
          <w:tcPr>
            <w:tcW w:w="1174" w:type="dxa"/>
            <w:tcBorders>
              <w:top w:val="nil"/>
              <w:left w:val="nil"/>
              <w:bottom w:val="single" w:sz="4" w:space="0" w:color="auto"/>
              <w:right w:val="single" w:sz="4" w:space="0" w:color="auto"/>
            </w:tcBorders>
            <w:shd w:val="clear" w:color="auto" w:fill="auto"/>
            <w:noWrap/>
            <w:vAlign w:val="bottom"/>
            <w:hideMark/>
          </w:tcPr>
          <w:p w14:paraId="7A0FE399"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0,0459</w:t>
            </w:r>
          </w:p>
        </w:tc>
        <w:tc>
          <w:tcPr>
            <w:tcW w:w="1100" w:type="dxa"/>
            <w:tcBorders>
              <w:top w:val="nil"/>
              <w:left w:val="nil"/>
              <w:bottom w:val="single" w:sz="4" w:space="0" w:color="auto"/>
              <w:right w:val="single" w:sz="4" w:space="0" w:color="auto"/>
            </w:tcBorders>
            <w:shd w:val="clear" w:color="auto" w:fill="auto"/>
            <w:noWrap/>
            <w:vAlign w:val="bottom"/>
            <w:hideMark/>
          </w:tcPr>
          <w:p w14:paraId="4E9B6515"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0,0628</w:t>
            </w:r>
          </w:p>
        </w:tc>
        <w:tc>
          <w:tcPr>
            <w:tcW w:w="1131" w:type="dxa"/>
            <w:tcBorders>
              <w:top w:val="nil"/>
              <w:left w:val="nil"/>
              <w:bottom w:val="single" w:sz="4" w:space="0" w:color="auto"/>
              <w:right w:val="single" w:sz="4" w:space="0" w:color="auto"/>
            </w:tcBorders>
            <w:shd w:val="clear" w:color="auto" w:fill="auto"/>
            <w:noWrap/>
            <w:vAlign w:val="bottom"/>
            <w:hideMark/>
          </w:tcPr>
          <w:p w14:paraId="3A81C440"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1,1733</w:t>
            </w:r>
          </w:p>
        </w:tc>
        <w:tc>
          <w:tcPr>
            <w:tcW w:w="1131" w:type="dxa"/>
            <w:tcBorders>
              <w:top w:val="nil"/>
              <w:left w:val="nil"/>
              <w:bottom w:val="single" w:sz="4" w:space="0" w:color="auto"/>
              <w:right w:val="single" w:sz="4" w:space="0" w:color="auto"/>
            </w:tcBorders>
            <w:shd w:val="clear" w:color="auto" w:fill="auto"/>
            <w:noWrap/>
            <w:vAlign w:val="bottom"/>
            <w:hideMark/>
          </w:tcPr>
          <w:p w14:paraId="1F529B20" w14:textId="77777777" w:rsidR="00CC284B" w:rsidRPr="00B7343C" w:rsidRDefault="00CC284B" w:rsidP="002F67A9">
            <w:pPr>
              <w:jc w:val="center"/>
              <w:rPr>
                <w:rFonts w:ascii="Arial" w:hAnsi="Arial" w:cs="Arial"/>
                <w:sz w:val="22"/>
                <w:szCs w:val="22"/>
              </w:rPr>
            </w:pPr>
            <w:r w:rsidRPr="00B7343C">
              <w:rPr>
                <w:rFonts w:ascii="Arial" w:hAnsi="Arial" w:cs="Arial"/>
                <w:sz w:val="22"/>
                <w:szCs w:val="22"/>
              </w:rPr>
              <w:t>0,2839</w:t>
            </w:r>
          </w:p>
        </w:tc>
      </w:tr>
      <w:tr w:rsidR="00CC284B" w:rsidRPr="00CC284B" w14:paraId="589DBEAC" w14:textId="77777777" w:rsidTr="00B7343C">
        <w:trPr>
          <w:trHeight w:val="310"/>
        </w:trPr>
        <w:tc>
          <w:tcPr>
            <w:tcW w:w="2083" w:type="dxa"/>
            <w:tcBorders>
              <w:top w:val="nil"/>
              <w:left w:val="single" w:sz="4" w:space="0" w:color="auto"/>
              <w:bottom w:val="single" w:sz="4" w:space="0" w:color="auto"/>
              <w:right w:val="single" w:sz="4" w:space="0" w:color="auto"/>
            </w:tcBorders>
            <w:shd w:val="clear" w:color="auto" w:fill="auto"/>
            <w:noWrap/>
            <w:vAlign w:val="bottom"/>
            <w:hideMark/>
          </w:tcPr>
          <w:p w14:paraId="462E2379" w14:textId="77777777" w:rsidR="00CC284B" w:rsidRPr="006D2BCB" w:rsidRDefault="00CC284B" w:rsidP="002F67A9">
            <w:pPr>
              <w:rPr>
                <w:rFonts w:ascii="Arial" w:hAnsi="Arial" w:cs="Arial"/>
                <w:sz w:val="22"/>
                <w:szCs w:val="22"/>
              </w:rPr>
            </w:pPr>
            <w:r w:rsidRPr="006D2BCB">
              <w:rPr>
                <w:rFonts w:ascii="Arial" w:hAnsi="Arial" w:cs="Arial"/>
                <w:sz w:val="22"/>
                <w:szCs w:val="22"/>
              </w:rPr>
              <w:t>K2 Galvaniho</w:t>
            </w:r>
          </w:p>
        </w:tc>
        <w:tc>
          <w:tcPr>
            <w:tcW w:w="1096" w:type="dxa"/>
            <w:tcBorders>
              <w:top w:val="nil"/>
              <w:left w:val="nil"/>
              <w:bottom w:val="single" w:sz="4" w:space="0" w:color="auto"/>
              <w:right w:val="single" w:sz="4" w:space="0" w:color="auto"/>
            </w:tcBorders>
            <w:shd w:val="clear" w:color="auto" w:fill="auto"/>
            <w:noWrap/>
            <w:vAlign w:val="bottom"/>
            <w:hideMark/>
          </w:tcPr>
          <w:p w14:paraId="7313C214" w14:textId="77777777" w:rsidR="00CC284B" w:rsidRPr="006D2BCB" w:rsidRDefault="00CC284B" w:rsidP="002F67A9">
            <w:pPr>
              <w:jc w:val="center"/>
              <w:rPr>
                <w:rFonts w:ascii="Arial" w:hAnsi="Arial" w:cs="Arial"/>
                <w:sz w:val="22"/>
                <w:szCs w:val="22"/>
              </w:rPr>
            </w:pPr>
            <w:r w:rsidRPr="006D2BCB">
              <w:rPr>
                <w:rFonts w:ascii="Arial" w:hAnsi="Arial" w:cs="Arial"/>
                <w:sz w:val="22"/>
                <w:szCs w:val="22"/>
              </w:rPr>
              <w:t>5,7342</w:t>
            </w:r>
          </w:p>
        </w:tc>
        <w:tc>
          <w:tcPr>
            <w:tcW w:w="1096" w:type="dxa"/>
            <w:tcBorders>
              <w:top w:val="nil"/>
              <w:left w:val="nil"/>
              <w:bottom w:val="single" w:sz="4" w:space="0" w:color="auto"/>
              <w:right w:val="single" w:sz="4" w:space="0" w:color="auto"/>
            </w:tcBorders>
            <w:shd w:val="clear" w:color="auto" w:fill="auto"/>
            <w:noWrap/>
            <w:vAlign w:val="bottom"/>
            <w:hideMark/>
          </w:tcPr>
          <w:p w14:paraId="58097366" w14:textId="77777777" w:rsidR="00CC284B" w:rsidRPr="006D2BCB" w:rsidRDefault="00CC284B" w:rsidP="002F67A9">
            <w:pPr>
              <w:jc w:val="center"/>
              <w:rPr>
                <w:rFonts w:ascii="Arial" w:hAnsi="Arial" w:cs="Arial"/>
                <w:sz w:val="22"/>
                <w:szCs w:val="22"/>
              </w:rPr>
            </w:pPr>
            <w:r w:rsidRPr="006D2BCB">
              <w:rPr>
                <w:rFonts w:ascii="Arial" w:hAnsi="Arial" w:cs="Arial"/>
                <w:sz w:val="22"/>
                <w:szCs w:val="22"/>
              </w:rPr>
              <w:t>0,0727</w:t>
            </w:r>
          </w:p>
        </w:tc>
        <w:tc>
          <w:tcPr>
            <w:tcW w:w="1096" w:type="dxa"/>
            <w:tcBorders>
              <w:top w:val="nil"/>
              <w:left w:val="nil"/>
              <w:bottom w:val="single" w:sz="4" w:space="0" w:color="auto"/>
              <w:right w:val="single" w:sz="4" w:space="0" w:color="auto"/>
            </w:tcBorders>
            <w:shd w:val="clear" w:color="auto" w:fill="auto"/>
            <w:noWrap/>
            <w:vAlign w:val="bottom"/>
            <w:hideMark/>
          </w:tcPr>
          <w:p w14:paraId="7D9CECE3" w14:textId="77777777" w:rsidR="00CC284B" w:rsidRPr="006D2BCB" w:rsidRDefault="00CC284B" w:rsidP="002F67A9">
            <w:pPr>
              <w:jc w:val="center"/>
              <w:rPr>
                <w:rFonts w:ascii="Arial" w:hAnsi="Arial" w:cs="Arial"/>
                <w:sz w:val="22"/>
                <w:szCs w:val="22"/>
              </w:rPr>
            </w:pPr>
            <w:r w:rsidRPr="006D2BCB">
              <w:rPr>
                <w:rFonts w:ascii="Arial" w:hAnsi="Arial" w:cs="Arial"/>
                <w:sz w:val="22"/>
                <w:szCs w:val="22"/>
              </w:rPr>
              <w:t>0,0642</w:t>
            </w:r>
          </w:p>
        </w:tc>
        <w:tc>
          <w:tcPr>
            <w:tcW w:w="1174" w:type="dxa"/>
            <w:tcBorders>
              <w:top w:val="nil"/>
              <w:left w:val="nil"/>
              <w:bottom w:val="single" w:sz="4" w:space="0" w:color="auto"/>
              <w:right w:val="single" w:sz="4" w:space="0" w:color="auto"/>
            </w:tcBorders>
            <w:shd w:val="clear" w:color="auto" w:fill="auto"/>
            <w:noWrap/>
            <w:vAlign w:val="bottom"/>
            <w:hideMark/>
          </w:tcPr>
          <w:p w14:paraId="0838C2B2" w14:textId="77777777" w:rsidR="00CC284B" w:rsidRPr="006D2BCB" w:rsidRDefault="00CC284B" w:rsidP="002F67A9">
            <w:pPr>
              <w:jc w:val="center"/>
              <w:rPr>
                <w:rFonts w:ascii="Arial" w:hAnsi="Arial" w:cs="Arial"/>
                <w:sz w:val="22"/>
                <w:szCs w:val="22"/>
              </w:rPr>
            </w:pPr>
            <w:r w:rsidRPr="006D2BCB">
              <w:rPr>
                <w:rFonts w:ascii="Arial" w:hAnsi="Arial" w:cs="Arial"/>
                <w:sz w:val="22"/>
                <w:szCs w:val="22"/>
              </w:rPr>
              <w:t>0,0381</w:t>
            </w:r>
          </w:p>
        </w:tc>
        <w:tc>
          <w:tcPr>
            <w:tcW w:w="1100" w:type="dxa"/>
            <w:tcBorders>
              <w:top w:val="nil"/>
              <w:left w:val="nil"/>
              <w:bottom w:val="single" w:sz="4" w:space="0" w:color="auto"/>
              <w:right w:val="single" w:sz="4" w:space="0" w:color="auto"/>
            </w:tcBorders>
            <w:shd w:val="clear" w:color="auto" w:fill="auto"/>
            <w:noWrap/>
            <w:vAlign w:val="bottom"/>
            <w:hideMark/>
          </w:tcPr>
          <w:p w14:paraId="0491CE74" w14:textId="77777777" w:rsidR="00CC284B" w:rsidRPr="006D2BCB" w:rsidRDefault="00CC284B" w:rsidP="002F67A9">
            <w:pPr>
              <w:jc w:val="center"/>
              <w:rPr>
                <w:rFonts w:ascii="Arial" w:hAnsi="Arial" w:cs="Arial"/>
                <w:sz w:val="22"/>
                <w:szCs w:val="22"/>
              </w:rPr>
            </w:pPr>
            <w:r w:rsidRPr="006D2BCB">
              <w:rPr>
                <w:rFonts w:ascii="Arial" w:hAnsi="Arial" w:cs="Arial"/>
                <w:sz w:val="22"/>
                <w:szCs w:val="22"/>
              </w:rPr>
              <w:t>0,0548</w:t>
            </w:r>
          </w:p>
        </w:tc>
        <w:tc>
          <w:tcPr>
            <w:tcW w:w="1131" w:type="dxa"/>
            <w:tcBorders>
              <w:top w:val="nil"/>
              <w:left w:val="nil"/>
              <w:bottom w:val="single" w:sz="4" w:space="0" w:color="auto"/>
              <w:right w:val="single" w:sz="4" w:space="0" w:color="auto"/>
            </w:tcBorders>
            <w:shd w:val="clear" w:color="auto" w:fill="auto"/>
            <w:noWrap/>
            <w:vAlign w:val="bottom"/>
            <w:hideMark/>
          </w:tcPr>
          <w:p w14:paraId="68A9FCEC" w14:textId="77777777" w:rsidR="00CC284B" w:rsidRPr="006D2BCB" w:rsidRDefault="00CC284B" w:rsidP="002F67A9">
            <w:pPr>
              <w:jc w:val="center"/>
              <w:rPr>
                <w:rFonts w:ascii="Arial" w:hAnsi="Arial" w:cs="Arial"/>
                <w:sz w:val="22"/>
                <w:szCs w:val="22"/>
              </w:rPr>
            </w:pPr>
            <w:r w:rsidRPr="006D2BCB">
              <w:rPr>
                <w:rFonts w:ascii="Arial" w:hAnsi="Arial" w:cs="Arial"/>
                <w:sz w:val="22"/>
                <w:szCs w:val="22"/>
              </w:rPr>
              <w:t>1,0083</w:t>
            </w:r>
          </w:p>
        </w:tc>
        <w:tc>
          <w:tcPr>
            <w:tcW w:w="1131" w:type="dxa"/>
            <w:tcBorders>
              <w:top w:val="nil"/>
              <w:left w:val="nil"/>
              <w:bottom w:val="single" w:sz="4" w:space="0" w:color="auto"/>
              <w:right w:val="single" w:sz="4" w:space="0" w:color="auto"/>
            </w:tcBorders>
            <w:shd w:val="clear" w:color="auto" w:fill="auto"/>
            <w:noWrap/>
            <w:vAlign w:val="bottom"/>
            <w:hideMark/>
          </w:tcPr>
          <w:p w14:paraId="5C58E032" w14:textId="77777777" w:rsidR="00CC284B" w:rsidRPr="006D2BCB" w:rsidRDefault="00CC284B" w:rsidP="002F67A9">
            <w:pPr>
              <w:jc w:val="center"/>
              <w:rPr>
                <w:rFonts w:ascii="Arial" w:hAnsi="Arial" w:cs="Arial"/>
                <w:sz w:val="22"/>
                <w:szCs w:val="22"/>
              </w:rPr>
            </w:pPr>
            <w:r w:rsidRPr="006D2BCB">
              <w:rPr>
                <w:rFonts w:ascii="Arial" w:hAnsi="Arial" w:cs="Arial"/>
                <w:sz w:val="22"/>
                <w:szCs w:val="22"/>
              </w:rPr>
              <w:t>0,2440</w:t>
            </w:r>
          </w:p>
        </w:tc>
      </w:tr>
    </w:tbl>
    <w:p w14:paraId="08EE96C5" w14:textId="77777777" w:rsidR="00B7343C" w:rsidRPr="00CC284B" w:rsidRDefault="00B7343C" w:rsidP="00CC284B">
      <w:pPr>
        <w:spacing w:line="276" w:lineRule="auto"/>
        <w:jc w:val="both"/>
        <w:rPr>
          <w:rFonts w:ascii="Arial" w:hAnsi="Arial" w:cs="Arial"/>
          <w:b/>
          <w:noProof/>
          <w:color w:val="0070C0"/>
          <w:sz w:val="22"/>
          <w:szCs w:val="22"/>
        </w:rPr>
      </w:pPr>
    </w:p>
    <w:p w14:paraId="6FFD5012" w14:textId="1727C660" w:rsidR="00F7116E" w:rsidRPr="00B7343C" w:rsidRDefault="00F7116E" w:rsidP="00B7343C">
      <w:pPr>
        <w:autoSpaceDE w:val="0"/>
        <w:autoSpaceDN w:val="0"/>
        <w:adjustRightInd w:val="0"/>
        <w:spacing w:before="120"/>
        <w:jc w:val="both"/>
        <w:rPr>
          <w:rFonts w:ascii="Arial" w:eastAsia="Calibri" w:hAnsi="Arial" w:cs="Arial"/>
          <w:sz w:val="22"/>
          <w:szCs w:val="22"/>
          <w:u w:val="single"/>
        </w:rPr>
      </w:pPr>
      <w:r w:rsidRPr="00B7343C">
        <w:rPr>
          <w:rFonts w:ascii="Arial" w:eastAsia="Calibri" w:hAnsi="Arial" w:cs="Arial"/>
          <w:sz w:val="22"/>
          <w:szCs w:val="22"/>
          <w:u w:val="single"/>
        </w:rPr>
        <w:t>Podzemná garáž</w:t>
      </w:r>
    </w:p>
    <w:p w14:paraId="1AA5FD4A" w14:textId="1895C698" w:rsidR="00F7116E" w:rsidRPr="00B7343C" w:rsidRDefault="00F7116E" w:rsidP="001A2F9B">
      <w:pPr>
        <w:pStyle w:val="A-Text11"/>
        <w:rPr>
          <w:rFonts w:eastAsia="Calibri"/>
        </w:rPr>
      </w:pPr>
      <w:r w:rsidRPr="00B7343C">
        <w:rPr>
          <w:rFonts w:eastAsia="Calibri"/>
        </w:rPr>
        <w:t>Pre vyhodnotenie imisií znečisťujúcich látok z bodového zdroja – výduchu z podzemnej garáže bolo uvažované nasledovné:</w:t>
      </w:r>
    </w:p>
    <w:p w14:paraId="56120FE7" w14:textId="37C7FACE" w:rsidR="00F7116E" w:rsidRPr="00024B5B" w:rsidRDefault="00F7116E" w:rsidP="001A2F9B">
      <w:pPr>
        <w:pStyle w:val="A-Text11"/>
        <w:rPr>
          <w:spacing w:val="1"/>
        </w:rPr>
      </w:pPr>
      <w:r w:rsidRPr="00B7343C">
        <w:rPr>
          <w:spacing w:val="1"/>
        </w:rPr>
        <w:t>Koeficient súčasnosti 1,0%. Prevádzku garáže v počte 17 hodín za deň. Priemernú rýchlosť vozidiel 15 km/h. Pre výmenu vzduchu uvažujeme v zmysle STN 73 6058 150m</w:t>
      </w:r>
      <w:r w:rsidRPr="00B7343C">
        <w:rPr>
          <w:spacing w:val="1"/>
          <w:vertAlign w:val="superscript"/>
        </w:rPr>
        <w:t>3</w:t>
      </w:r>
      <w:r w:rsidRPr="00B7343C">
        <w:rPr>
          <w:spacing w:val="1"/>
        </w:rPr>
        <w:t xml:space="preserve">/h na jedno </w:t>
      </w:r>
      <w:r w:rsidRPr="00024B5B">
        <w:rPr>
          <w:spacing w:val="1"/>
        </w:rPr>
        <w:t>vozidlo.</w:t>
      </w:r>
      <w:r w:rsidR="007452D0">
        <w:rPr>
          <w:spacing w:val="1"/>
        </w:rPr>
        <w:t xml:space="preserve"> </w:t>
      </w:r>
      <w:r w:rsidRPr="00024B5B">
        <w:rPr>
          <w:rFonts w:eastAsia="Calibri"/>
        </w:rPr>
        <w:t>Predpokladáme, že garáže nebudú vykurované, preto teplota odpadového vzduchu vyfukovaná z garáže bude uvažovaná konzervatívne ako teplotu okolia v zimnom období – uvažujeme 10°C.</w:t>
      </w:r>
    </w:p>
    <w:p w14:paraId="30473A92" w14:textId="7E13ED9F" w:rsidR="00F7116E" w:rsidRPr="00DA2BE8" w:rsidRDefault="00F7116E" w:rsidP="00B7343C">
      <w:pPr>
        <w:spacing w:before="120"/>
        <w:rPr>
          <w:rFonts w:ascii="Arial" w:hAnsi="Arial" w:cs="Arial"/>
          <w:i/>
          <w:iCs/>
          <w:sz w:val="18"/>
          <w:szCs w:val="18"/>
        </w:rPr>
      </w:pPr>
      <w:r w:rsidRPr="006D2BCB">
        <w:rPr>
          <w:rFonts w:ascii="Arial" w:hAnsi="Arial" w:cs="Arial"/>
          <w:i/>
          <w:iCs/>
          <w:sz w:val="18"/>
          <w:szCs w:val="18"/>
        </w:rPr>
        <w:t xml:space="preserve">Tab. </w:t>
      </w:r>
      <w:r w:rsidR="00FB5F25" w:rsidRPr="006D2BCB">
        <w:rPr>
          <w:rFonts w:ascii="Arial" w:hAnsi="Arial" w:cs="Arial"/>
          <w:sz w:val="18"/>
          <w:szCs w:val="18"/>
        </w:rPr>
        <w:t>č.IV</w:t>
      </w:r>
      <w:r w:rsidR="00FB5F25" w:rsidRPr="00DA2BE8">
        <w:rPr>
          <w:rFonts w:ascii="Arial" w:hAnsi="Arial" w:cs="Arial"/>
          <w:sz w:val="18"/>
          <w:szCs w:val="18"/>
        </w:rPr>
        <w:t>.2.2.</w:t>
      </w:r>
      <w:r w:rsidR="001822C4" w:rsidRPr="00DA2BE8">
        <w:rPr>
          <w:rFonts w:ascii="Arial" w:hAnsi="Arial" w:cs="Arial"/>
          <w:sz w:val="18"/>
          <w:szCs w:val="18"/>
        </w:rPr>
        <w:t>7:</w:t>
      </w:r>
      <w:r w:rsidRPr="00DA2BE8">
        <w:rPr>
          <w:rFonts w:ascii="Arial" w:hAnsi="Arial" w:cs="Arial"/>
          <w:i/>
          <w:iCs/>
          <w:sz w:val="18"/>
          <w:szCs w:val="18"/>
        </w:rPr>
        <w:t xml:space="preserve"> Emisné faktory bodových/plošných zdrojov v ročnom priemere [g/s]</w:t>
      </w:r>
    </w:p>
    <w:tbl>
      <w:tblPr>
        <w:tblW w:w="9390" w:type="dxa"/>
        <w:tblInd w:w="80" w:type="dxa"/>
        <w:tblBorders>
          <w:top w:val="single" w:sz="4" w:space="0" w:color="auto"/>
          <w:left w:val="single" w:sz="4" w:space="0" w:color="auto"/>
          <w:bottom w:val="single" w:sz="4" w:space="0" w:color="auto"/>
          <w:right w:val="single" w:sz="4" w:space="0" w:color="auto"/>
          <w:insideH w:val="single" w:sz="8" w:space="0" w:color="auto"/>
          <w:insideV w:val="single" w:sz="4" w:space="0" w:color="auto"/>
        </w:tblBorders>
        <w:tblCellMar>
          <w:left w:w="70" w:type="dxa"/>
          <w:right w:w="70" w:type="dxa"/>
        </w:tblCellMar>
        <w:tblLook w:val="04A0" w:firstRow="1" w:lastRow="0" w:firstColumn="1" w:lastColumn="0" w:noHBand="0" w:noVBand="1"/>
      </w:tblPr>
      <w:tblGrid>
        <w:gridCol w:w="2442"/>
        <w:gridCol w:w="924"/>
        <w:gridCol w:w="924"/>
        <w:gridCol w:w="924"/>
        <w:gridCol w:w="990"/>
        <w:gridCol w:w="924"/>
        <w:gridCol w:w="1131"/>
        <w:gridCol w:w="1131"/>
      </w:tblGrid>
      <w:tr w:rsidR="00024B5B" w:rsidRPr="00024B5B" w14:paraId="78677553" w14:textId="77777777" w:rsidTr="00B7343C">
        <w:trPr>
          <w:trHeight w:val="857"/>
        </w:trPr>
        <w:tc>
          <w:tcPr>
            <w:tcW w:w="2442" w:type="dxa"/>
            <w:shd w:val="clear" w:color="auto" w:fill="auto"/>
            <w:noWrap/>
            <w:vAlign w:val="bottom"/>
            <w:hideMark/>
          </w:tcPr>
          <w:p w14:paraId="60ED5381" w14:textId="77777777" w:rsidR="00F7116E" w:rsidRPr="00024B5B" w:rsidRDefault="00F7116E" w:rsidP="002F67A9">
            <w:pPr>
              <w:rPr>
                <w:rFonts w:ascii="Arial" w:hAnsi="Arial" w:cs="Arial"/>
                <w:sz w:val="22"/>
                <w:szCs w:val="22"/>
              </w:rPr>
            </w:pPr>
            <w:r w:rsidRPr="00024B5B">
              <w:rPr>
                <w:rFonts w:ascii="Arial" w:hAnsi="Arial" w:cs="Arial"/>
                <w:sz w:val="22"/>
                <w:szCs w:val="22"/>
              </w:rPr>
              <w:t>úsek zdroja</w:t>
            </w:r>
          </w:p>
        </w:tc>
        <w:tc>
          <w:tcPr>
            <w:tcW w:w="924" w:type="dxa"/>
            <w:shd w:val="clear" w:color="auto" w:fill="auto"/>
            <w:noWrap/>
            <w:vAlign w:val="bottom"/>
            <w:hideMark/>
          </w:tcPr>
          <w:p w14:paraId="0BA97075" w14:textId="77777777" w:rsidR="00F7116E" w:rsidRPr="00024B5B" w:rsidRDefault="00F7116E" w:rsidP="002F67A9">
            <w:pPr>
              <w:jc w:val="center"/>
              <w:rPr>
                <w:rFonts w:ascii="Arial" w:hAnsi="Arial" w:cs="Arial"/>
                <w:sz w:val="22"/>
                <w:szCs w:val="22"/>
              </w:rPr>
            </w:pPr>
            <w:r w:rsidRPr="00024B5B">
              <w:rPr>
                <w:rFonts w:ascii="Arial" w:hAnsi="Arial" w:cs="Arial"/>
                <w:sz w:val="22"/>
                <w:szCs w:val="22"/>
              </w:rPr>
              <w:t>CO</w:t>
            </w:r>
          </w:p>
        </w:tc>
        <w:tc>
          <w:tcPr>
            <w:tcW w:w="924" w:type="dxa"/>
            <w:shd w:val="clear" w:color="auto" w:fill="auto"/>
            <w:noWrap/>
            <w:vAlign w:val="bottom"/>
            <w:hideMark/>
          </w:tcPr>
          <w:p w14:paraId="7E4BDDE4" w14:textId="77777777" w:rsidR="00F7116E" w:rsidRPr="00024B5B" w:rsidRDefault="00F7116E" w:rsidP="002F67A9">
            <w:pPr>
              <w:jc w:val="center"/>
              <w:rPr>
                <w:rFonts w:ascii="Arial" w:hAnsi="Arial" w:cs="Arial"/>
                <w:sz w:val="22"/>
                <w:szCs w:val="22"/>
              </w:rPr>
            </w:pPr>
            <w:r w:rsidRPr="00024B5B">
              <w:rPr>
                <w:rFonts w:ascii="Arial" w:hAnsi="Arial" w:cs="Arial"/>
                <w:sz w:val="22"/>
                <w:szCs w:val="22"/>
              </w:rPr>
              <w:t>PM</w:t>
            </w:r>
            <w:r w:rsidRPr="00821B4E">
              <w:rPr>
                <w:rFonts w:ascii="Arial" w:hAnsi="Arial" w:cs="Arial"/>
                <w:sz w:val="22"/>
                <w:szCs w:val="22"/>
                <w:vertAlign w:val="subscript"/>
              </w:rPr>
              <w:t>10</w:t>
            </w:r>
          </w:p>
        </w:tc>
        <w:tc>
          <w:tcPr>
            <w:tcW w:w="924" w:type="dxa"/>
            <w:shd w:val="clear" w:color="auto" w:fill="auto"/>
            <w:noWrap/>
            <w:vAlign w:val="bottom"/>
            <w:hideMark/>
          </w:tcPr>
          <w:p w14:paraId="3F8C662B" w14:textId="77777777" w:rsidR="00F7116E" w:rsidRPr="00024B5B" w:rsidRDefault="00F7116E" w:rsidP="002F67A9">
            <w:pPr>
              <w:jc w:val="center"/>
              <w:rPr>
                <w:rFonts w:ascii="Arial" w:hAnsi="Arial" w:cs="Arial"/>
                <w:sz w:val="22"/>
                <w:szCs w:val="22"/>
              </w:rPr>
            </w:pPr>
            <w:r w:rsidRPr="00024B5B">
              <w:rPr>
                <w:rFonts w:ascii="Arial" w:hAnsi="Arial" w:cs="Arial"/>
                <w:sz w:val="22"/>
                <w:szCs w:val="22"/>
              </w:rPr>
              <w:t>NO</w:t>
            </w:r>
            <w:r w:rsidRPr="00821B4E">
              <w:rPr>
                <w:rFonts w:ascii="Arial" w:hAnsi="Arial" w:cs="Arial"/>
                <w:sz w:val="22"/>
                <w:szCs w:val="22"/>
                <w:vertAlign w:val="subscript"/>
              </w:rPr>
              <w:t>2</w:t>
            </w:r>
          </w:p>
        </w:tc>
        <w:tc>
          <w:tcPr>
            <w:tcW w:w="990" w:type="dxa"/>
            <w:shd w:val="clear" w:color="auto" w:fill="auto"/>
            <w:noWrap/>
            <w:vAlign w:val="bottom"/>
            <w:hideMark/>
          </w:tcPr>
          <w:p w14:paraId="083860A8" w14:textId="77777777" w:rsidR="00F7116E" w:rsidRPr="00024B5B" w:rsidRDefault="00F7116E" w:rsidP="002F67A9">
            <w:pPr>
              <w:jc w:val="center"/>
              <w:rPr>
                <w:rFonts w:ascii="Arial" w:hAnsi="Arial" w:cs="Arial"/>
                <w:sz w:val="22"/>
                <w:szCs w:val="22"/>
              </w:rPr>
            </w:pPr>
            <w:r w:rsidRPr="00024B5B">
              <w:rPr>
                <w:rFonts w:ascii="Arial" w:hAnsi="Arial" w:cs="Arial"/>
                <w:sz w:val="22"/>
                <w:szCs w:val="22"/>
              </w:rPr>
              <w:t>Benzén</w:t>
            </w:r>
          </w:p>
        </w:tc>
        <w:tc>
          <w:tcPr>
            <w:tcW w:w="924" w:type="dxa"/>
            <w:shd w:val="clear" w:color="auto" w:fill="auto"/>
            <w:noWrap/>
            <w:vAlign w:val="bottom"/>
            <w:hideMark/>
          </w:tcPr>
          <w:p w14:paraId="75E0C91F" w14:textId="193AD4DB" w:rsidR="00F7116E" w:rsidRPr="00024B5B" w:rsidRDefault="00F7116E" w:rsidP="002F67A9">
            <w:pPr>
              <w:jc w:val="center"/>
              <w:rPr>
                <w:rFonts w:ascii="Arial" w:hAnsi="Arial" w:cs="Arial"/>
                <w:sz w:val="22"/>
                <w:szCs w:val="22"/>
              </w:rPr>
            </w:pPr>
            <w:r w:rsidRPr="00024B5B">
              <w:rPr>
                <w:rFonts w:ascii="Arial" w:hAnsi="Arial" w:cs="Arial"/>
                <w:sz w:val="22"/>
                <w:szCs w:val="22"/>
              </w:rPr>
              <w:t>PM</w:t>
            </w:r>
            <w:r w:rsidR="00821B4E">
              <w:rPr>
                <w:rFonts w:ascii="Arial" w:hAnsi="Arial" w:cs="Arial"/>
                <w:sz w:val="22"/>
                <w:szCs w:val="22"/>
              </w:rPr>
              <w:t xml:space="preserve"> </w:t>
            </w:r>
            <w:r w:rsidRPr="00821B4E">
              <w:rPr>
                <w:rFonts w:ascii="Arial" w:hAnsi="Arial" w:cs="Arial"/>
                <w:sz w:val="22"/>
                <w:szCs w:val="22"/>
                <w:vertAlign w:val="subscript"/>
              </w:rPr>
              <w:t>2,5</w:t>
            </w:r>
          </w:p>
        </w:tc>
        <w:tc>
          <w:tcPr>
            <w:tcW w:w="1131" w:type="dxa"/>
            <w:shd w:val="clear" w:color="auto" w:fill="auto"/>
            <w:noWrap/>
            <w:vAlign w:val="bottom"/>
            <w:hideMark/>
          </w:tcPr>
          <w:p w14:paraId="4B909E07" w14:textId="77777777" w:rsidR="00F7116E" w:rsidRPr="00024B5B" w:rsidRDefault="00F7116E" w:rsidP="002F67A9">
            <w:pPr>
              <w:jc w:val="center"/>
              <w:rPr>
                <w:rFonts w:ascii="Arial" w:hAnsi="Arial" w:cs="Arial"/>
                <w:sz w:val="22"/>
                <w:szCs w:val="22"/>
              </w:rPr>
            </w:pPr>
            <w:r w:rsidRPr="00024B5B">
              <w:rPr>
                <w:rFonts w:ascii="Arial" w:hAnsi="Arial" w:cs="Arial"/>
                <w:sz w:val="22"/>
                <w:szCs w:val="22"/>
              </w:rPr>
              <w:t>SP_PM</w:t>
            </w:r>
            <w:r w:rsidRPr="00821B4E">
              <w:rPr>
                <w:rFonts w:ascii="Arial" w:hAnsi="Arial" w:cs="Arial"/>
                <w:sz w:val="22"/>
                <w:szCs w:val="22"/>
                <w:vertAlign w:val="subscript"/>
              </w:rPr>
              <w:t>10</w:t>
            </w:r>
          </w:p>
        </w:tc>
        <w:tc>
          <w:tcPr>
            <w:tcW w:w="1131" w:type="dxa"/>
            <w:shd w:val="clear" w:color="auto" w:fill="auto"/>
            <w:noWrap/>
            <w:vAlign w:val="bottom"/>
            <w:hideMark/>
          </w:tcPr>
          <w:p w14:paraId="060B3E73" w14:textId="77777777" w:rsidR="00F7116E" w:rsidRPr="00024B5B" w:rsidRDefault="00F7116E" w:rsidP="002F67A9">
            <w:pPr>
              <w:jc w:val="center"/>
              <w:rPr>
                <w:rFonts w:ascii="Arial" w:hAnsi="Arial" w:cs="Arial"/>
                <w:sz w:val="22"/>
                <w:szCs w:val="22"/>
              </w:rPr>
            </w:pPr>
            <w:r w:rsidRPr="00024B5B">
              <w:rPr>
                <w:rFonts w:ascii="Arial" w:hAnsi="Arial" w:cs="Arial"/>
                <w:sz w:val="22"/>
                <w:szCs w:val="22"/>
              </w:rPr>
              <w:t>SP_PM</w:t>
            </w:r>
            <w:r w:rsidRPr="00821B4E">
              <w:rPr>
                <w:rFonts w:ascii="Arial" w:hAnsi="Arial" w:cs="Arial"/>
                <w:sz w:val="22"/>
                <w:szCs w:val="22"/>
                <w:vertAlign w:val="subscript"/>
              </w:rPr>
              <w:t>25</w:t>
            </w:r>
          </w:p>
        </w:tc>
      </w:tr>
      <w:tr w:rsidR="007452D0" w:rsidRPr="00024B5B" w14:paraId="59842CA0" w14:textId="77777777" w:rsidTr="00B7343C">
        <w:trPr>
          <w:trHeight w:val="315"/>
        </w:trPr>
        <w:tc>
          <w:tcPr>
            <w:tcW w:w="2442" w:type="dxa"/>
            <w:shd w:val="clear" w:color="auto" w:fill="auto"/>
            <w:noWrap/>
            <w:vAlign w:val="bottom"/>
            <w:hideMark/>
          </w:tcPr>
          <w:p w14:paraId="340CF028" w14:textId="77777777" w:rsidR="007452D0" w:rsidRPr="00024B5B" w:rsidRDefault="007452D0" w:rsidP="007452D0">
            <w:pPr>
              <w:rPr>
                <w:rFonts w:ascii="Arial" w:hAnsi="Arial" w:cs="Arial"/>
                <w:sz w:val="22"/>
                <w:szCs w:val="22"/>
              </w:rPr>
            </w:pPr>
            <w:r w:rsidRPr="00024B5B">
              <w:rPr>
                <w:rFonts w:ascii="Arial" w:hAnsi="Arial" w:cs="Arial"/>
                <w:sz w:val="22"/>
                <w:szCs w:val="22"/>
              </w:rPr>
              <w:t>podzemná garáž</w:t>
            </w:r>
          </w:p>
        </w:tc>
        <w:tc>
          <w:tcPr>
            <w:tcW w:w="924" w:type="dxa"/>
            <w:shd w:val="clear" w:color="auto" w:fill="auto"/>
            <w:noWrap/>
            <w:vAlign w:val="bottom"/>
            <w:hideMark/>
          </w:tcPr>
          <w:p w14:paraId="6F6603DF" w14:textId="5DEF4A30" w:rsidR="007452D0" w:rsidRPr="00024B5B" w:rsidRDefault="007452D0" w:rsidP="007452D0">
            <w:pPr>
              <w:jc w:val="center"/>
              <w:rPr>
                <w:rFonts w:ascii="Arial" w:hAnsi="Arial" w:cs="Arial"/>
                <w:sz w:val="22"/>
                <w:szCs w:val="22"/>
              </w:rPr>
            </w:pPr>
            <w:r>
              <w:rPr>
                <w:rFonts w:ascii="Calibri" w:hAnsi="Calibri" w:cs="Calibri"/>
                <w:color w:val="000000"/>
                <w:sz w:val="22"/>
                <w:szCs w:val="22"/>
              </w:rPr>
              <w:t>0,0149</w:t>
            </w:r>
          </w:p>
        </w:tc>
        <w:tc>
          <w:tcPr>
            <w:tcW w:w="924" w:type="dxa"/>
            <w:shd w:val="clear" w:color="auto" w:fill="auto"/>
            <w:noWrap/>
            <w:vAlign w:val="bottom"/>
            <w:hideMark/>
          </w:tcPr>
          <w:p w14:paraId="37AF7DF2" w14:textId="0B25B2BC" w:rsidR="007452D0" w:rsidRPr="00024B5B" w:rsidRDefault="007452D0" w:rsidP="007452D0">
            <w:pPr>
              <w:jc w:val="center"/>
              <w:rPr>
                <w:rFonts w:ascii="Arial" w:hAnsi="Arial" w:cs="Arial"/>
                <w:sz w:val="22"/>
                <w:szCs w:val="22"/>
              </w:rPr>
            </w:pPr>
            <w:r>
              <w:rPr>
                <w:rFonts w:ascii="Calibri" w:hAnsi="Calibri" w:cs="Calibri"/>
                <w:color w:val="000000"/>
                <w:sz w:val="22"/>
                <w:szCs w:val="22"/>
              </w:rPr>
              <w:t>0,0001</w:t>
            </w:r>
          </w:p>
        </w:tc>
        <w:tc>
          <w:tcPr>
            <w:tcW w:w="924" w:type="dxa"/>
            <w:shd w:val="clear" w:color="auto" w:fill="auto"/>
            <w:noWrap/>
            <w:vAlign w:val="bottom"/>
            <w:hideMark/>
          </w:tcPr>
          <w:p w14:paraId="627F712C" w14:textId="7030FF4B" w:rsidR="007452D0" w:rsidRPr="00024B5B" w:rsidRDefault="007452D0" w:rsidP="007452D0">
            <w:pPr>
              <w:jc w:val="center"/>
              <w:rPr>
                <w:rFonts w:ascii="Arial" w:hAnsi="Arial" w:cs="Arial"/>
                <w:sz w:val="22"/>
                <w:szCs w:val="22"/>
              </w:rPr>
            </w:pPr>
            <w:r>
              <w:rPr>
                <w:rFonts w:ascii="Calibri" w:hAnsi="Calibri" w:cs="Calibri"/>
                <w:color w:val="000000"/>
                <w:sz w:val="22"/>
                <w:szCs w:val="22"/>
              </w:rPr>
              <w:t>0,0002</w:t>
            </w:r>
          </w:p>
        </w:tc>
        <w:tc>
          <w:tcPr>
            <w:tcW w:w="990" w:type="dxa"/>
            <w:shd w:val="clear" w:color="auto" w:fill="auto"/>
            <w:noWrap/>
            <w:vAlign w:val="bottom"/>
            <w:hideMark/>
          </w:tcPr>
          <w:p w14:paraId="4E259108" w14:textId="0DC423FA" w:rsidR="007452D0" w:rsidRPr="00024B5B" w:rsidRDefault="007452D0" w:rsidP="007452D0">
            <w:pPr>
              <w:jc w:val="center"/>
              <w:rPr>
                <w:rFonts w:ascii="Arial" w:hAnsi="Arial" w:cs="Arial"/>
                <w:sz w:val="22"/>
                <w:szCs w:val="22"/>
              </w:rPr>
            </w:pPr>
            <w:r>
              <w:rPr>
                <w:rFonts w:ascii="Calibri" w:hAnsi="Calibri" w:cs="Calibri"/>
                <w:color w:val="000000"/>
                <w:sz w:val="22"/>
                <w:szCs w:val="22"/>
              </w:rPr>
              <w:t>0,0002</w:t>
            </w:r>
          </w:p>
        </w:tc>
        <w:tc>
          <w:tcPr>
            <w:tcW w:w="924" w:type="dxa"/>
            <w:shd w:val="clear" w:color="auto" w:fill="auto"/>
            <w:noWrap/>
            <w:vAlign w:val="bottom"/>
            <w:hideMark/>
          </w:tcPr>
          <w:p w14:paraId="1239B6E7" w14:textId="2805168D" w:rsidR="007452D0" w:rsidRPr="00024B5B" w:rsidRDefault="007452D0" w:rsidP="007452D0">
            <w:pPr>
              <w:jc w:val="center"/>
              <w:rPr>
                <w:rFonts w:ascii="Arial" w:hAnsi="Arial" w:cs="Arial"/>
                <w:sz w:val="22"/>
                <w:szCs w:val="22"/>
              </w:rPr>
            </w:pPr>
            <w:r>
              <w:rPr>
                <w:rFonts w:ascii="Calibri" w:hAnsi="Calibri" w:cs="Calibri"/>
                <w:color w:val="000000"/>
                <w:sz w:val="22"/>
                <w:szCs w:val="22"/>
              </w:rPr>
              <w:t>0,0001</w:t>
            </w:r>
          </w:p>
        </w:tc>
        <w:tc>
          <w:tcPr>
            <w:tcW w:w="1131" w:type="dxa"/>
            <w:shd w:val="clear" w:color="auto" w:fill="auto"/>
            <w:noWrap/>
            <w:vAlign w:val="bottom"/>
            <w:hideMark/>
          </w:tcPr>
          <w:p w14:paraId="4B2A6AF9" w14:textId="1636AB65" w:rsidR="007452D0" w:rsidRPr="00024B5B" w:rsidRDefault="007452D0" w:rsidP="007452D0">
            <w:pPr>
              <w:jc w:val="center"/>
              <w:rPr>
                <w:rFonts w:ascii="Arial" w:hAnsi="Arial" w:cs="Arial"/>
                <w:sz w:val="22"/>
                <w:szCs w:val="22"/>
              </w:rPr>
            </w:pPr>
            <w:r>
              <w:rPr>
                <w:rFonts w:ascii="Calibri" w:hAnsi="Calibri" w:cs="Calibri"/>
                <w:color w:val="000000"/>
                <w:sz w:val="22"/>
                <w:szCs w:val="22"/>
              </w:rPr>
              <w:t>0,0021</w:t>
            </w:r>
          </w:p>
        </w:tc>
        <w:tc>
          <w:tcPr>
            <w:tcW w:w="1131" w:type="dxa"/>
            <w:shd w:val="clear" w:color="auto" w:fill="auto"/>
            <w:noWrap/>
            <w:vAlign w:val="bottom"/>
            <w:hideMark/>
          </w:tcPr>
          <w:p w14:paraId="3556AEFF" w14:textId="7BEDB873" w:rsidR="007452D0" w:rsidRPr="00024B5B" w:rsidRDefault="007452D0" w:rsidP="007452D0">
            <w:pPr>
              <w:jc w:val="center"/>
              <w:rPr>
                <w:rFonts w:ascii="Arial" w:hAnsi="Arial" w:cs="Arial"/>
                <w:sz w:val="22"/>
                <w:szCs w:val="22"/>
              </w:rPr>
            </w:pPr>
            <w:r>
              <w:rPr>
                <w:rFonts w:ascii="Calibri" w:hAnsi="Calibri" w:cs="Calibri"/>
                <w:color w:val="000000"/>
                <w:sz w:val="22"/>
                <w:szCs w:val="22"/>
              </w:rPr>
              <w:t>0,0005</w:t>
            </w:r>
          </w:p>
        </w:tc>
      </w:tr>
    </w:tbl>
    <w:p w14:paraId="20D94063" w14:textId="307538D2" w:rsidR="00F7116E" w:rsidRDefault="00F7116E" w:rsidP="00F7116E">
      <w:pPr>
        <w:autoSpaceDE w:val="0"/>
        <w:autoSpaceDN w:val="0"/>
        <w:adjustRightInd w:val="0"/>
        <w:jc w:val="both"/>
        <w:rPr>
          <w:rFonts w:ascii="Arial" w:eastAsia="ArialNarrow" w:hAnsi="Arial" w:cs="Arial"/>
          <w:b/>
          <w:bCs/>
          <w:sz w:val="22"/>
          <w:szCs w:val="22"/>
        </w:rPr>
      </w:pPr>
    </w:p>
    <w:p w14:paraId="4987D607" w14:textId="1381649D" w:rsidR="00F7116E" w:rsidRPr="00DA2BE8" w:rsidRDefault="00F7116E" w:rsidP="00F7116E">
      <w:pPr>
        <w:rPr>
          <w:rFonts w:ascii="Arial" w:eastAsia="ArialNarrow" w:hAnsi="Arial" w:cs="Arial"/>
          <w:b/>
          <w:bCs/>
          <w:sz w:val="18"/>
          <w:szCs w:val="18"/>
        </w:rPr>
      </w:pPr>
      <w:r w:rsidRPr="006D2BCB">
        <w:rPr>
          <w:rFonts w:ascii="Arial" w:hAnsi="Arial" w:cs="Arial"/>
          <w:sz w:val="18"/>
          <w:szCs w:val="18"/>
        </w:rPr>
        <w:t xml:space="preserve">Tab. </w:t>
      </w:r>
      <w:r w:rsidR="00086B76" w:rsidRPr="006D2BCB">
        <w:rPr>
          <w:rFonts w:ascii="Arial" w:hAnsi="Arial" w:cs="Arial"/>
          <w:sz w:val="18"/>
          <w:szCs w:val="18"/>
        </w:rPr>
        <w:t>č</w:t>
      </w:r>
      <w:r w:rsidR="00086B76" w:rsidRPr="00DA2BE8">
        <w:rPr>
          <w:rFonts w:ascii="Arial" w:hAnsi="Arial" w:cs="Arial"/>
          <w:sz w:val="18"/>
          <w:szCs w:val="18"/>
        </w:rPr>
        <w:t>.IV.2.2.8</w:t>
      </w:r>
      <w:r w:rsidRPr="00DA2BE8">
        <w:rPr>
          <w:rFonts w:ascii="Arial" w:hAnsi="Arial" w:cs="Arial"/>
          <w:sz w:val="18"/>
          <w:szCs w:val="18"/>
        </w:rPr>
        <w:t xml:space="preserve"> Emisné faktory bodových/plošných zdrojov v špičkovej hodine [g/s]</w:t>
      </w:r>
    </w:p>
    <w:tbl>
      <w:tblPr>
        <w:tblW w:w="9310" w:type="dxa"/>
        <w:tblInd w:w="80" w:type="dxa"/>
        <w:tblBorders>
          <w:top w:val="single" w:sz="4" w:space="0" w:color="auto"/>
          <w:left w:val="single" w:sz="4" w:space="0" w:color="auto"/>
          <w:bottom w:val="single" w:sz="4" w:space="0" w:color="auto"/>
          <w:right w:val="single" w:sz="4" w:space="0" w:color="auto"/>
          <w:insideH w:val="single" w:sz="8" w:space="0" w:color="auto"/>
          <w:insideV w:val="single" w:sz="4" w:space="0" w:color="auto"/>
        </w:tblBorders>
        <w:tblCellMar>
          <w:left w:w="70" w:type="dxa"/>
          <w:right w:w="70" w:type="dxa"/>
        </w:tblCellMar>
        <w:tblLook w:val="04A0" w:firstRow="1" w:lastRow="0" w:firstColumn="1" w:lastColumn="0" w:noHBand="0" w:noVBand="1"/>
      </w:tblPr>
      <w:tblGrid>
        <w:gridCol w:w="2413"/>
        <w:gridCol w:w="914"/>
        <w:gridCol w:w="914"/>
        <w:gridCol w:w="914"/>
        <w:gridCol w:w="979"/>
        <w:gridCol w:w="914"/>
        <w:gridCol w:w="1131"/>
        <w:gridCol w:w="1131"/>
      </w:tblGrid>
      <w:tr w:rsidR="00024B5B" w:rsidRPr="00024B5B" w14:paraId="50654323" w14:textId="77777777" w:rsidTr="00024B5B">
        <w:trPr>
          <w:trHeight w:val="805"/>
        </w:trPr>
        <w:tc>
          <w:tcPr>
            <w:tcW w:w="2413" w:type="dxa"/>
            <w:shd w:val="clear" w:color="auto" w:fill="auto"/>
            <w:noWrap/>
            <w:vAlign w:val="bottom"/>
            <w:hideMark/>
          </w:tcPr>
          <w:p w14:paraId="2FAEA13B" w14:textId="77777777" w:rsidR="00F7116E" w:rsidRPr="00024B5B" w:rsidRDefault="00F7116E" w:rsidP="002F67A9">
            <w:pPr>
              <w:rPr>
                <w:rFonts w:ascii="Arial" w:hAnsi="Arial" w:cs="Arial"/>
                <w:sz w:val="22"/>
                <w:szCs w:val="22"/>
              </w:rPr>
            </w:pPr>
            <w:r w:rsidRPr="00024B5B">
              <w:rPr>
                <w:rFonts w:ascii="Arial" w:hAnsi="Arial" w:cs="Arial"/>
                <w:sz w:val="22"/>
                <w:szCs w:val="22"/>
              </w:rPr>
              <w:t>úsek zdroja</w:t>
            </w:r>
          </w:p>
        </w:tc>
        <w:tc>
          <w:tcPr>
            <w:tcW w:w="914" w:type="dxa"/>
            <w:shd w:val="clear" w:color="auto" w:fill="auto"/>
            <w:noWrap/>
            <w:vAlign w:val="bottom"/>
            <w:hideMark/>
          </w:tcPr>
          <w:p w14:paraId="596C14F2" w14:textId="77777777" w:rsidR="00F7116E" w:rsidRPr="00024B5B" w:rsidRDefault="00F7116E" w:rsidP="002F67A9">
            <w:pPr>
              <w:jc w:val="center"/>
              <w:rPr>
                <w:rFonts w:ascii="Arial" w:hAnsi="Arial" w:cs="Arial"/>
                <w:sz w:val="22"/>
                <w:szCs w:val="22"/>
              </w:rPr>
            </w:pPr>
            <w:r w:rsidRPr="00024B5B">
              <w:rPr>
                <w:rFonts w:ascii="Arial" w:hAnsi="Arial" w:cs="Arial"/>
                <w:sz w:val="22"/>
                <w:szCs w:val="22"/>
              </w:rPr>
              <w:t>CO</w:t>
            </w:r>
          </w:p>
        </w:tc>
        <w:tc>
          <w:tcPr>
            <w:tcW w:w="914" w:type="dxa"/>
            <w:shd w:val="clear" w:color="auto" w:fill="auto"/>
            <w:noWrap/>
            <w:vAlign w:val="bottom"/>
            <w:hideMark/>
          </w:tcPr>
          <w:p w14:paraId="226C70D1" w14:textId="77777777" w:rsidR="00F7116E" w:rsidRPr="00024B5B" w:rsidRDefault="00F7116E" w:rsidP="002F67A9">
            <w:pPr>
              <w:jc w:val="center"/>
              <w:rPr>
                <w:rFonts w:ascii="Arial" w:hAnsi="Arial" w:cs="Arial"/>
                <w:sz w:val="22"/>
                <w:szCs w:val="22"/>
              </w:rPr>
            </w:pPr>
            <w:r w:rsidRPr="00024B5B">
              <w:rPr>
                <w:rFonts w:ascii="Arial" w:hAnsi="Arial" w:cs="Arial"/>
                <w:sz w:val="22"/>
                <w:szCs w:val="22"/>
              </w:rPr>
              <w:t>PM</w:t>
            </w:r>
            <w:r w:rsidRPr="00821B4E">
              <w:rPr>
                <w:rFonts w:ascii="Arial" w:hAnsi="Arial" w:cs="Arial"/>
                <w:sz w:val="22"/>
                <w:szCs w:val="22"/>
                <w:vertAlign w:val="subscript"/>
              </w:rPr>
              <w:t>10</w:t>
            </w:r>
          </w:p>
        </w:tc>
        <w:tc>
          <w:tcPr>
            <w:tcW w:w="914" w:type="dxa"/>
            <w:shd w:val="clear" w:color="auto" w:fill="auto"/>
            <w:noWrap/>
            <w:vAlign w:val="bottom"/>
            <w:hideMark/>
          </w:tcPr>
          <w:p w14:paraId="3530C0CB" w14:textId="77777777" w:rsidR="00F7116E" w:rsidRPr="00024B5B" w:rsidRDefault="00F7116E" w:rsidP="002F67A9">
            <w:pPr>
              <w:jc w:val="center"/>
              <w:rPr>
                <w:rFonts w:ascii="Arial" w:hAnsi="Arial" w:cs="Arial"/>
                <w:sz w:val="22"/>
                <w:szCs w:val="22"/>
              </w:rPr>
            </w:pPr>
            <w:r w:rsidRPr="00024B5B">
              <w:rPr>
                <w:rFonts w:ascii="Arial" w:hAnsi="Arial" w:cs="Arial"/>
                <w:sz w:val="22"/>
                <w:szCs w:val="22"/>
              </w:rPr>
              <w:t>NO</w:t>
            </w:r>
            <w:r w:rsidRPr="00821B4E">
              <w:rPr>
                <w:rFonts w:ascii="Arial" w:hAnsi="Arial" w:cs="Arial"/>
                <w:sz w:val="22"/>
                <w:szCs w:val="22"/>
                <w:vertAlign w:val="subscript"/>
              </w:rPr>
              <w:t>2</w:t>
            </w:r>
          </w:p>
        </w:tc>
        <w:tc>
          <w:tcPr>
            <w:tcW w:w="979" w:type="dxa"/>
            <w:shd w:val="clear" w:color="auto" w:fill="auto"/>
            <w:noWrap/>
            <w:vAlign w:val="bottom"/>
            <w:hideMark/>
          </w:tcPr>
          <w:p w14:paraId="2A60EE6F" w14:textId="77777777" w:rsidR="00F7116E" w:rsidRPr="00024B5B" w:rsidRDefault="00F7116E" w:rsidP="002F67A9">
            <w:pPr>
              <w:jc w:val="center"/>
              <w:rPr>
                <w:rFonts w:ascii="Arial" w:hAnsi="Arial" w:cs="Arial"/>
                <w:sz w:val="22"/>
                <w:szCs w:val="22"/>
              </w:rPr>
            </w:pPr>
            <w:r w:rsidRPr="00024B5B">
              <w:rPr>
                <w:rFonts w:ascii="Arial" w:hAnsi="Arial" w:cs="Arial"/>
                <w:sz w:val="22"/>
                <w:szCs w:val="22"/>
              </w:rPr>
              <w:t>Benzén</w:t>
            </w:r>
          </w:p>
        </w:tc>
        <w:tc>
          <w:tcPr>
            <w:tcW w:w="914" w:type="dxa"/>
            <w:shd w:val="clear" w:color="auto" w:fill="auto"/>
            <w:noWrap/>
            <w:vAlign w:val="bottom"/>
            <w:hideMark/>
          </w:tcPr>
          <w:p w14:paraId="63A7E520" w14:textId="010486B7" w:rsidR="00F7116E" w:rsidRPr="00024B5B" w:rsidRDefault="00F7116E" w:rsidP="002F67A9">
            <w:pPr>
              <w:jc w:val="center"/>
              <w:rPr>
                <w:rFonts w:ascii="Arial" w:hAnsi="Arial" w:cs="Arial"/>
                <w:sz w:val="22"/>
                <w:szCs w:val="22"/>
              </w:rPr>
            </w:pPr>
            <w:r w:rsidRPr="00024B5B">
              <w:rPr>
                <w:rFonts w:ascii="Arial" w:hAnsi="Arial" w:cs="Arial"/>
                <w:sz w:val="22"/>
                <w:szCs w:val="22"/>
              </w:rPr>
              <w:t>PM</w:t>
            </w:r>
            <w:r w:rsidR="00821B4E">
              <w:rPr>
                <w:rFonts w:ascii="Arial" w:hAnsi="Arial" w:cs="Arial"/>
                <w:sz w:val="22"/>
                <w:szCs w:val="22"/>
              </w:rPr>
              <w:t xml:space="preserve"> </w:t>
            </w:r>
            <w:r w:rsidRPr="00821B4E">
              <w:rPr>
                <w:rFonts w:ascii="Arial" w:hAnsi="Arial" w:cs="Arial"/>
                <w:sz w:val="22"/>
                <w:szCs w:val="22"/>
                <w:vertAlign w:val="subscript"/>
              </w:rPr>
              <w:t>2,5</w:t>
            </w:r>
          </w:p>
        </w:tc>
        <w:tc>
          <w:tcPr>
            <w:tcW w:w="1131" w:type="dxa"/>
            <w:shd w:val="clear" w:color="auto" w:fill="auto"/>
            <w:noWrap/>
            <w:vAlign w:val="bottom"/>
            <w:hideMark/>
          </w:tcPr>
          <w:p w14:paraId="3B0DDD6F" w14:textId="77777777" w:rsidR="00F7116E" w:rsidRPr="00024B5B" w:rsidRDefault="00F7116E" w:rsidP="002F67A9">
            <w:pPr>
              <w:jc w:val="center"/>
              <w:rPr>
                <w:rFonts w:ascii="Arial" w:hAnsi="Arial" w:cs="Arial"/>
                <w:sz w:val="22"/>
                <w:szCs w:val="22"/>
              </w:rPr>
            </w:pPr>
            <w:r w:rsidRPr="00024B5B">
              <w:rPr>
                <w:rFonts w:ascii="Arial" w:hAnsi="Arial" w:cs="Arial"/>
                <w:sz w:val="22"/>
                <w:szCs w:val="22"/>
              </w:rPr>
              <w:t>SP_PM</w:t>
            </w:r>
            <w:r w:rsidRPr="00821B4E">
              <w:rPr>
                <w:rFonts w:ascii="Arial" w:hAnsi="Arial" w:cs="Arial"/>
                <w:sz w:val="22"/>
                <w:szCs w:val="22"/>
                <w:vertAlign w:val="subscript"/>
              </w:rPr>
              <w:t>10</w:t>
            </w:r>
          </w:p>
        </w:tc>
        <w:tc>
          <w:tcPr>
            <w:tcW w:w="1131" w:type="dxa"/>
            <w:shd w:val="clear" w:color="auto" w:fill="auto"/>
            <w:noWrap/>
            <w:vAlign w:val="bottom"/>
            <w:hideMark/>
          </w:tcPr>
          <w:p w14:paraId="1DF4B8E1" w14:textId="77777777" w:rsidR="00F7116E" w:rsidRPr="00024B5B" w:rsidRDefault="00F7116E" w:rsidP="002F67A9">
            <w:pPr>
              <w:jc w:val="center"/>
              <w:rPr>
                <w:rFonts w:ascii="Arial" w:hAnsi="Arial" w:cs="Arial"/>
                <w:sz w:val="22"/>
                <w:szCs w:val="22"/>
              </w:rPr>
            </w:pPr>
            <w:r w:rsidRPr="00024B5B">
              <w:rPr>
                <w:rFonts w:ascii="Arial" w:hAnsi="Arial" w:cs="Arial"/>
                <w:sz w:val="22"/>
                <w:szCs w:val="22"/>
              </w:rPr>
              <w:t>SP_PM</w:t>
            </w:r>
            <w:r w:rsidRPr="00821B4E">
              <w:rPr>
                <w:rFonts w:ascii="Arial" w:hAnsi="Arial" w:cs="Arial"/>
                <w:sz w:val="22"/>
                <w:szCs w:val="22"/>
                <w:vertAlign w:val="subscript"/>
              </w:rPr>
              <w:t>25</w:t>
            </w:r>
          </w:p>
        </w:tc>
      </w:tr>
      <w:tr w:rsidR="007452D0" w:rsidRPr="00024B5B" w14:paraId="70BD1FDB" w14:textId="77777777" w:rsidTr="00024B5B">
        <w:trPr>
          <w:trHeight w:val="315"/>
        </w:trPr>
        <w:tc>
          <w:tcPr>
            <w:tcW w:w="2413" w:type="dxa"/>
            <w:shd w:val="clear" w:color="auto" w:fill="auto"/>
            <w:noWrap/>
            <w:vAlign w:val="bottom"/>
            <w:hideMark/>
          </w:tcPr>
          <w:p w14:paraId="57CD86C8" w14:textId="77777777" w:rsidR="007452D0" w:rsidRPr="00024B5B" w:rsidRDefault="007452D0" w:rsidP="007452D0">
            <w:pPr>
              <w:rPr>
                <w:rFonts w:ascii="Arial" w:hAnsi="Arial" w:cs="Arial"/>
                <w:sz w:val="22"/>
                <w:szCs w:val="22"/>
              </w:rPr>
            </w:pPr>
            <w:r w:rsidRPr="00024B5B">
              <w:rPr>
                <w:rFonts w:ascii="Arial" w:hAnsi="Arial" w:cs="Arial"/>
                <w:sz w:val="22"/>
                <w:szCs w:val="22"/>
              </w:rPr>
              <w:t>podzemná garáž</w:t>
            </w:r>
          </w:p>
        </w:tc>
        <w:tc>
          <w:tcPr>
            <w:tcW w:w="914" w:type="dxa"/>
            <w:shd w:val="clear" w:color="auto" w:fill="auto"/>
            <w:noWrap/>
            <w:vAlign w:val="bottom"/>
            <w:hideMark/>
          </w:tcPr>
          <w:p w14:paraId="02B8842C" w14:textId="50BFD62C" w:rsidR="007452D0" w:rsidRPr="00024B5B" w:rsidRDefault="007452D0" w:rsidP="007452D0">
            <w:pPr>
              <w:jc w:val="center"/>
              <w:rPr>
                <w:rFonts w:ascii="Arial" w:hAnsi="Arial" w:cs="Arial"/>
                <w:sz w:val="22"/>
                <w:szCs w:val="22"/>
              </w:rPr>
            </w:pPr>
            <w:r>
              <w:rPr>
                <w:rFonts w:ascii="Calibri" w:hAnsi="Calibri" w:cs="Calibri"/>
                <w:color w:val="000000"/>
                <w:sz w:val="22"/>
                <w:szCs w:val="22"/>
              </w:rPr>
              <w:t>0,0585</w:t>
            </w:r>
          </w:p>
        </w:tc>
        <w:tc>
          <w:tcPr>
            <w:tcW w:w="914" w:type="dxa"/>
            <w:shd w:val="clear" w:color="auto" w:fill="auto"/>
            <w:noWrap/>
            <w:vAlign w:val="bottom"/>
            <w:hideMark/>
          </w:tcPr>
          <w:p w14:paraId="7BB33378" w14:textId="07AD8BA9" w:rsidR="007452D0" w:rsidRPr="00024B5B" w:rsidRDefault="007452D0" w:rsidP="007452D0">
            <w:pPr>
              <w:jc w:val="center"/>
              <w:rPr>
                <w:rFonts w:ascii="Arial" w:hAnsi="Arial" w:cs="Arial"/>
                <w:sz w:val="22"/>
                <w:szCs w:val="22"/>
              </w:rPr>
            </w:pPr>
            <w:r>
              <w:rPr>
                <w:rFonts w:ascii="Calibri" w:hAnsi="Calibri" w:cs="Calibri"/>
                <w:color w:val="000000"/>
                <w:sz w:val="22"/>
                <w:szCs w:val="22"/>
              </w:rPr>
              <w:t>0,0002</w:t>
            </w:r>
          </w:p>
        </w:tc>
        <w:tc>
          <w:tcPr>
            <w:tcW w:w="914" w:type="dxa"/>
            <w:shd w:val="clear" w:color="auto" w:fill="auto"/>
            <w:noWrap/>
            <w:vAlign w:val="bottom"/>
            <w:hideMark/>
          </w:tcPr>
          <w:p w14:paraId="24CA783C" w14:textId="7AA957D3" w:rsidR="007452D0" w:rsidRPr="00024B5B" w:rsidRDefault="007452D0" w:rsidP="007452D0">
            <w:pPr>
              <w:jc w:val="center"/>
              <w:rPr>
                <w:rFonts w:ascii="Arial" w:hAnsi="Arial" w:cs="Arial"/>
                <w:sz w:val="22"/>
                <w:szCs w:val="22"/>
              </w:rPr>
            </w:pPr>
            <w:r>
              <w:rPr>
                <w:rFonts w:ascii="Calibri" w:hAnsi="Calibri" w:cs="Calibri"/>
                <w:color w:val="000000"/>
                <w:sz w:val="22"/>
                <w:szCs w:val="22"/>
              </w:rPr>
              <w:t>0,0003</w:t>
            </w:r>
          </w:p>
        </w:tc>
        <w:tc>
          <w:tcPr>
            <w:tcW w:w="979" w:type="dxa"/>
            <w:shd w:val="clear" w:color="auto" w:fill="auto"/>
            <w:noWrap/>
            <w:vAlign w:val="bottom"/>
            <w:hideMark/>
          </w:tcPr>
          <w:p w14:paraId="06736719" w14:textId="5613035F" w:rsidR="007452D0" w:rsidRPr="00024B5B" w:rsidRDefault="007452D0" w:rsidP="007452D0">
            <w:pPr>
              <w:jc w:val="center"/>
              <w:rPr>
                <w:rFonts w:ascii="Arial" w:hAnsi="Arial" w:cs="Arial"/>
                <w:sz w:val="22"/>
                <w:szCs w:val="22"/>
              </w:rPr>
            </w:pPr>
            <w:r>
              <w:rPr>
                <w:rFonts w:ascii="Calibri" w:hAnsi="Calibri" w:cs="Calibri"/>
                <w:color w:val="000000"/>
                <w:sz w:val="22"/>
                <w:szCs w:val="22"/>
              </w:rPr>
              <w:t>0,0003</w:t>
            </w:r>
          </w:p>
        </w:tc>
        <w:tc>
          <w:tcPr>
            <w:tcW w:w="914" w:type="dxa"/>
            <w:shd w:val="clear" w:color="auto" w:fill="auto"/>
            <w:noWrap/>
            <w:vAlign w:val="bottom"/>
            <w:hideMark/>
          </w:tcPr>
          <w:p w14:paraId="1446E0A2" w14:textId="571FA76C" w:rsidR="007452D0" w:rsidRPr="00024B5B" w:rsidRDefault="007452D0" w:rsidP="007452D0">
            <w:pPr>
              <w:jc w:val="center"/>
              <w:rPr>
                <w:rFonts w:ascii="Arial" w:hAnsi="Arial" w:cs="Arial"/>
                <w:sz w:val="22"/>
                <w:szCs w:val="22"/>
              </w:rPr>
            </w:pPr>
            <w:r>
              <w:rPr>
                <w:rFonts w:ascii="Calibri" w:hAnsi="Calibri" w:cs="Calibri"/>
                <w:color w:val="000000"/>
                <w:sz w:val="22"/>
                <w:szCs w:val="22"/>
              </w:rPr>
              <w:t>0,0002</w:t>
            </w:r>
          </w:p>
        </w:tc>
        <w:tc>
          <w:tcPr>
            <w:tcW w:w="1131" w:type="dxa"/>
            <w:shd w:val="clear" w:color="auto" w:fill="auto"/>
            <w:noWrap/>
            <w:vAlign w:val="bottom"/>
            <w:hideMark/>
          </w:tcPr>
          <w:p w14:paraId="7E246351" w14:textId="25B4D071" w:rsidR="007452D0" w:rsidRPr="00024B5B" w:rsidRDefault="007452D0" w:rsidP="007452D0">
            <w:pPr>
              <w:jc w:val="center"/>
              <w:rPr>
                <w:rFonts w:ascii="Arial" w:hAnsi="Arial" w:cs="Arial"/>
                <w:sz w:val="22"/>
                <w:szCs w:val="22"/>
              </w:rPr>
            </w:pPr>
            <w:r>
              <w:rPr>
                <w:rFonts w:ascii="Calibri" w:hAnsi="Calibri" w:cs="Calibri"/>
                <w:color w:val="000000"/>
                <w:sz w:val="22"/>
                <w:szCs w:val="22"/>
              </w:rPr>
              <w:t>0,0030</w:t>
            </w:r>
          </w:p>
        </w:tc>
        <w:tc>
          <w:tcPr>
            <w:tcW w:w="1131" w:type="dxa"/>
            <w:shd w:val="clear" w:color="auto" w:fill="auto"/>
            <w:noWrap/>
            <w:vAlign w:val="bottom"/>
            <w:hideMark/>
          </w:tcPr>
          <w:p w14:paraId="55030AAB" w14:textId="28FE7717" w:rsidR="007452D0" w:rsidRPr="00024B5B" w:rsidRDefault="007452D0" w:rsidP="007452D0">
            <w:pPr>
              <w:jc w:val="center"/>
              <w:rPr>
                <w:rFonts w:ascii="Arial" w:hAnsi="Arial" w:cs="Arial"/>
                <w:sz w:val="22"/>
                <w:szCs w:val="22"/>
              </w:rPr>
            </w:pPr>
            <w:r>
              <w:rPr>
                <w:rFonts w:ascii="Calibri" w:hAnsi="Calibri" w:cs="Calibri"/>
                <w:color w:val="000000"/>
                <w:sz w:val="22"/>
                <w:szCs w:val="22"/>
              </w:rPr>
              <w:t>0,0007</w:t>
            </w:r>
          </w:p>
        </w:tc>
      </w:tr>
    </w:tbl>
    <w:p w14:paraId="227BF751" w14:textId="77777777" w:rsidR="00F7116E" w:rsidRPr="00024B5B" w:rsidRDefault="00F7116E" w:rsidP="00F7116E">
      <w:pPr>
        <w:autoSpaceDE w:val="0"/>
        <w:autoSpaceDN w:val="0"/>
        <w:adjustRightInd w:val="0"/>
        <w:jc w:val="both"/>
        <w:rPr>
          <w:rFonts w:ascii="Arial" w:eastAsia="ArialNarrow" w:hAnsi="Arial" w:cs="Arial"/>
          <w:b/>
          <w:bCs/>
          <w:sz w:val="22"/>
          <w:szCs w:val="22"/>
        </w:rPr>
      </w:pPr>
    </w:p>
    <w:p w14:paraId="52C231C0" w14:textId="77777777" w:rsidR="009376E3" w:rsidRPr="00024B5B" w:rsidRDefault="009376E3" w:rsidP="001A2F9B">
      <w:pPr>
        <w:pStyle w:val="A-Text11"/>
      </w:pPr>
      <w:r w:rsidRPr="00024B5B">
        <w:t>Pre zabezpečenie potreby tepla pre vykurovanie, vzduchotechniku a ohrevu pitnej vody bude slúžiť plynová kotolňa ako hlavný zdroj tepla v kombinácií s tepelnými čerpadlami vzduch voda. Tepelný príkon kotolne bude:</w:t>
      </w:r>
    </w:p>
    <w:p w14:paraId="10FD0056" w14:textId="77777777" w:rsidR="009376E3" w:rsidRPr="00587C54" w:rsidRDefault="009376E3" w:rsidP="001A2F9B">
      <w:pPr>
        <w:pStyle w:val="A-Text11"/>
        <w:rPr>
          <w:bCs/>
        </w:rPr>
      </w:pPr>
      <w:r w:rsidRPr="00587C54">
        <w:rPr>
          <w:bCs/>
        </w:rPr>
        <w:t>Qkot = (0,85*QUK + 0,85*QVZT  +1,0*QTUV)* 1.05</w:t>
      </w:r>
    </w:p>
    <w:p w14:paraId="55029B83" w14:textId="77777777" w:rsidR="009376E3" w:rsidRPr="00587C54" w:rsidRDefault="009376E3" w:rsidP="001A2F9B">
      <w:pPr>
        <w:pStyle w:val="A-Text11"/>
        <w:rPr>
          <w:bCs/>
        </w:rPr>
      </w:pPr>
      <w:r w:rsidRPr="00587C54">
        <w:rPr>
          <w:bCs/>
        </w:rPr>
        <w:t>Qkot = (148 + 47 + 150)*1,05 = 362 kW</w:t>
      </w:r>
    </w:p>
    <w:p w14:paraId="1B053459" w14:textId="77777777" w:rsidR="009376E3" w:rsidRPr="00024B5B" w:rsidRDefault="009376E3" w:rsidP="001A2F9B">
      <w:pPr>
        <w:pStyle w:val="A-Text11"/>
      </w:pPr>
      <w:r w:rsidRPr="00024B5B">
        <w:t xml:space="preserve">Na základe tepelnej bilancie a spočítaných prevádzkových špičiek je navrhovaný výkon inštalovaného plynového tepelného zdroja </w:t>
      </w:r>
      <w:r w:rsidRPr="00024B5B">
        <w:rPr>
          <w:b/>
        </w:rPr>
        <w:t>QZ= 372 kW</w:t>
      </w:r>
      <w:r w:rsidRPr="00024B5B">
        <w:t>. V kotolni budú osadené dva stacionárne plynové kondenzačné kotle napr. BUDERUS LOGANO PLUS KB372-200  o menovitom výkone 186kW. Hodinová spotreba plynu pre  jeden kotol je 20,1m</w:t>
      </w:r>
      <w:r w:rsidRPr="00B61D9C">
        <w:rPr>
          <w:vertAlign w:val="superscript"/>
        </w:rPr>
        <w:t>3</w:t>
      </w:r>
      <w:r w:rsidRPr="00024B5B">
        <w:t>/h. Spotreba plynu pre oba kotle je 40,2 m</w:t>
      </w:r>
      <w:r w:rsidRPr="00B61D9C">
        <w:rPr>
          <w:vertAlign w:val="superscript"/>
        </w:rPr>
        <w:t>3</w:t>
      </w:r>
      <w:r w:rsidRPr="00024B5B">
        <w:t>/h.</w:t>
      </w:r>
    </w:p>
    <w:p w14:paraId="17ABC4A7" w14:textId="31B5FA2C" w:rsidR="00CC284B" w:rsidRPr="00024B5B" w:rsidRDefault="009376E3" w:rsidP="001A2F9B">
      <w:pPr>
        <w:pStyle w:val="A-Text11"/>
        <w:rPr>
          <w:lang w:eastAsia="ar-SA"/>
        </w:rPr>
      </w:pPr>
      <w:r w:rsidRPr="00024B5B">
        <w:lastRenderedPageBreak/>
        <w:t>Ako doplnkový zdroj tepla budú slúžiť dve tepelné čerpadlá napr. BUDERUS Logatherm WLW286-38 AR   o menovitom výkone 35kW  pri vonkajšej teplote -7°C a výstupnej teploty vody 50°C. Pri priemernej teplote vonkajšieho vzduchu v Bratislave 4,2°C je výkon tepelného čerpadla 44kW. Systémový výkon podpory vykurovania bude 88kW</w:t>
      </w:r>
    </w:p>
    <w:p w14:paraId="4F891774" w14:textId="77777777" w:rsidR="00587C54" w:rsidRDefault="00587C54" w:rsidP="009376E3">
      <w:pPr>
        <w:rPr>
          <w:rFonts w:ascii="Calibri" w:hAnsi="Calibri" w:cs="Calibri"/>
          <w:sz w:val="22"/>
          <w:szCs w:val="22"/>
          <w:highlight w:val="yellow"/>
        </w:rPr>
      </w:pPr>
    </w:p>
    <w:p w14:paraId="5785364E" w14:textId="3F0BFC01" w:rsidR="009376E3" w:rsidRPr="00DA2BE8" w:rsidRDefault="009376E3" w:rsidP="009376E3">
      <w:pPr>
        <w:rPr>
          <w:rFonts w:ascii="Arial" w:eastAsia="ArialNarrow" w:hAnsi="Arial" w:cs="Arial"/>
          <w:b/>
          <w:bCs/>
          <w:sz w:val="16"/>
          <w:szCs w:val="16"/>
        </w:rPr>
      </w:pPr>
      <w:r w:rsidRPr="006D2BCB">
        <w:rPr>
          <w:rFonts w:ascii="Arial" w:hAnsi="Arial" w:cs="Arial"/>
          <w:sz w:val="18"/>
          <w:szCs w:val="18"/>
        </w:rPr>
        <w:t xml:space="preserve">Tab. </w:t>
      </w:r>
      <w:r w:rsidR="00086B76" w:rsidRPr="006D2BCB">
        <w:rPr>
          <w:rFonts w:ascii="Arial" w:hAnsi="Arial" w:cs="Arial"/>
          <w:sz w:val="18"/>
          <w:szCs w:val="18"/>
        </w:rPr>
        <w:t>č.</w:t>
      </w:r>
      <w:r w:rsidR="00086B76" w:rsidRPr="00DA2BE8">
        <w:rPr>
          <w:rFonts w:ascii="Arial" w:hAnsi="Arial" w:cs="Arial"/>
          <w:sz w:val="18"/>
          <w:szCs w:val="18"/>
        </w:rPr>
        <w:t>IV.2.2.9</w:t>
      </w:r>
      <w:r w:rsidRPr="00DA2BE8">
        <w:rPr>
          <w:rFonts w:ascii="Arial" w:hAnsi="Arial" w:cs="Arial"/>
          <w:sz w:val="18"/>
          <w:szCs w:val="18"/>
        </w:rPr>
        <w:t xml:space="preserve"> Emisné faktory bodových/plošných zdrojov – plynová kotolňa  v špičkovej hodine [g/s]</w:t>
      </w:r>
    </w:p>
    <w:tbl>
      <w:tblPr>
        <w:tblW w:w="9448" w:type="dxa"/>
        <w:tblInd w:w="80" w:type="dxa"/>
        <w:tblCellMar>
          <w:left w:w="70" w:type="dxa"/>
          <w:right w:w="70" w:type="dxa"/>
        </w:tblCellMar>
        <w:tblLook w:val="04A0" w:firstRow="1" w:lastRow="0" w:firstColumn="1" w:lastColumn="0" w:noHBand="0" w:noVBand="1"/>
      </w:tblPr>
      <w:tblGrid>
        <w:gridCol w:w="951"/>
        <w:gridCol w:w="1046"/>
        <w:gridCol w:w="600"/>
        <w:gridCol w:w="609"/>
        <w:gridCol w:w="1123"/>
        <w:gridCol w:w="945"/>
        <w:gridCol w:w="945"/>
        <w:gridCol w:w="968"/>
        <w:gridCol w:w="968"/>
        <w:gridCol w:w="697"/>
        <w:gridCol w:w="596"/>
      </w:tblGrid>
      <w:tr w:rsidR="00024B5B" w:rsidRPr="00024B5B" w14:paraId="001C4578" w14:textId="77777777" w:rsidTr="00024B5B">
        <w:trPr>
          <w:trHeight w:val="551"/>
        </w:trPr>
        <w:tc>
          <w:tcPr>
            <w:tcW w:w="95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34DC83D" w14:textId="77777777" w:rsidR="009376E3" w:rsidRPr="00024B5B" w:rsidRDefault="009376E3" w:rsidP="002F67A9">
            <w:pPr>
              <w:jc w:val="center"/>
              <w:rPr>
                <w:rFonts w:ascii="Calibri" w:hAnsi="Calibri" w:cs="Calibri"/>
                <w:u w:val="single"/>
              </w:rPr>
            </w:pPr>
            <w:r w:rsidRPr="00024B5B">
              <w:rPr>
                <w:rFonts w:ascii="Calibri" w:hAnsi="Calibri" w:cs="Calibri"/>
                <w:u w:val="single"/>
              </w:rPr>
              <w:t>Zdroj</w:t>
            </w:r>
          </w:p>
        </w:tc>
        <w:tc>
          <w:tcPr>
            <w:tcW w:w="104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A07C7DF" w14:textId="77777777" w:rsidR="009376E3" w:rsidRPr="00024B5B" w:rsidRDefault="009376E3" w:rsidP="002F67A9">
            <w:pPr>
              <w:jc w:val="center"/>
              <w:rPr>
                <w:rFonts w:ascii="Calibri" w:hAnsi="Calibri" w:cs="Calibri"/>
              </w:rPr>
            </w:pPr>
            <w:r w:rsidRPr="00024B5B">
              <w:rPr>
                <w:rFonts w:ascii="Calibri" w:hAnsi="Calibri" w:cs="Calibri"/>
              </w:rPr>
              <w:t>Výkon zdroja znečistenia [kW]</w:t>
            </w:r>
          </w:p>
        </w:tc>
        <w:tc>
          <w:tcPr>
            <w:tcW w:w="600" w:type="dxa"/>
            <w:vMerge w:val="restart"/>
            <w:tcBorders>
              <w:top w:val="single" w:sz="8" w:space="0" w:color="auto"/>
              <w:left w:val="single" w:sz="8" w:space="0" w:color="auto"/>
              <w:right w:val="single" w:sz="8" w:space="0" w:color="auto"/>
            </w:tcBorders>
            <w:vAlign w:val="center"/>
          </w:tcPr>
          <w:p w14:paraId="678B654A" w14:textId="77777777" w:rsidR="009376E3" w:rsidRPr="00024B5B" w:rsidRDefault="009376E3" w:rsidP="002F67A9">
            <w:pPr>
              <w:jc w:val="center"/>
              <w:rPr>
                <w:rFonts w:ascii="Calibri" w:hAnsi="Calibri" w:cs="Calibri"/>
                <w:u w:val="single"/>
              </w:rPr>
            </w:pPr>
            <w:r w:rsidRPr="00024B5B">
              <w:rPr>
                <w:rFonts w:ascii="Calibri" w:hAnsi="Calibri" w:cs="Calibri"/>
                <w:u w:val="single"/>
              </w:rPr>
              <w:t>Počet</w:t>
            </w:r>
          </w:p>
        </w:tc>
        <w:tc>
          <w:tcPr>
            <w:tcW w:w="60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9B9B952" w14:textId="77777777" w:rsidR="009376E3" w:rsidRPr="00024B5B" w:rsidRDefault="009376E3" w:rsidP="002F67A9">
            <w:pPr>
              <w:jc w:val="center"/>
              <w:rPr>
                <w:rFonts w:ascii="Calibri" w:hAnsi="Calibri" w:cs="Calibri"/>
                <w:u w:val="single"/>
              </w:rPr>
            </w:pPr>
          </w:p>
          <w:p w14:paraId="15077F25" w14:textId="77777777" w:rsidR="009376E3" w:rsidRPr="00024B5B" w:rsidRDefault="009376E3" w:rsidP="002F67A9">
            <w:pPr>
              <w:jc w:val="center"/>
              <w:rPr>
                <w:rFonts w:ascii="Calibri" w:hAnsi="Calibri" w:cs="Calibri"/>
                <w:u w:val="single"/>
              </w:rPr>
            </w:pPr>
            <w:r w:rsidRPr="00024B5B">
              <w:rPr>
                <w:rFonts w:ascii="Calibri" w:hAnsi="Calibri" w:cs="Calibri"/>
                <w:u w:val="single"/>
              </w:rPr>
              <w:t>Výška</w:t>
            </w:r>
          </w:p>
          <w:p w14:paraId="5BA567AF" w14:textId="77777777" w:rsidR="009376E3" w:rsidRPr="00024B5B" w:rsidRDefault="009376E3" w:rsidP="002F67A9">
            <w:pPr>
              <w:jc w:val="center"/>
              <w:rPr>
                <w:rFonts w:ascii="Calibri" w:hAnsi="Calibri" w:cs="Calibri"/>
                <w:u w:val="single"/>
              </w:rPr>
            </w:pPr>
            <w:r w:rsidRPr="00024B5B">
              <w:rPr>
                <w:rFonts w:ascii="Calibri" w:hAnsi="Calibri" w:cs="Calibri"/>
              </w:rPr>
              <w:t>[m]</w:t>
            </w:r>
          </w:p>
        </w:tc>
        <w:tc>
          <w:tcPr>
            <w:tcW w:w="112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3879C15" w14:textId="77777777" w:rsidR="009376E3" w:rsidRPr="00024B5B" w:rsidRDefault="009376E3" w:rsidP="002F67A9">
            <w:pPr>
              <w:jc w:val="center"/>
              <w:rPr>
                <w:rFonts w:ascii="Calibri" w:hAnsi="Calibri" w:cs="Calibri"/>
              </w:rPr>
            </w:pPr>
            <w:r w:rsidRPr="00024B5B">
              <w:rPr>
                <w:rFonts w:ascii="Calibri" w:hAnsi="Calibri" w:cs="Calibri"/>
              </w:rPr>
              <w:t>Hodinová spotreba zemného plynu[m</w:t>
            </w:r>
            <w:r w:rsidRPr="00024B5B">
              <w:rPr>
                <w:rFonts w:ascii="Calibri" w:hAnsi="Calibri" w:cs="Calibri"/>
                <w:vertAlign w:val="superscript"/>
              </w:rPr>
              <w:t>3</w:t>
            </w:r>
            <w:r w:rsidRPr="00024B5B">
              <w:rPr>
                <w:rFonts w:ascii="Calibri" w:hAnsi="Calibri" w:cs="Calibri"/>
              </w:rPr>
              <w:t>/h]</w:t>
            </w:r>
          </w:p>
        </w:tc>
        <w:tc>
          <w:tcPr>
            <w:tcW w:w="94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47BC6F8" w14:textId="77777777" w:rsidR="009376E3" w:rsidRPr="00024B5B" w:rsidRDefault="009376E3" w:rsidP="002F67A9">
            <w:pPr>
              <w:jc w:val="center"/>
              <w:rPr>
                <w:rFonts w:ascii="Calibri" w:hAnsi="Calibri" w:cs="Calibri"/>
              </w:rPr>
            </w:pPr>
            <w:r w:rsidRPr="00024B5B">
              <w:rPr>
                <w:rFonts w:ascii="Calibri" w:hAnsi="Calibri" w:cs="Calibri"/>
              </w:rPr>
              <w:t>objemový tok vzdušniny [m3/h]</w:t>
            </w:r>
          </w:p>
        </w:tc>
        <w:tc>
          <w:tcPr>
            <w:tcW w:w="94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B8CDCF5" w14:textId="77777777" w:rsidR="009376E3" w:rsidRPr="00024B5B" w:rsidRDefault="009376E3" w:rsidP="002F67A9">
            <w:pPr>
              <w:jc w:val="center"/>
              <w:rPr>
                <w:rFonts w:ascii="Calibri" w:hAnsi="Calibri" w:cs="Calibri"/>
              </w:rPr>
            </w:pPr>
            <w:r w:rsidRPr="00024B5B">
              <w:rPr>
                <w:rFonts w:ascii="Calibri" w:hAnsi="Calibri" w:cs="Calibri"/>
              </w:rPr>
              <w:t>Celkový objemový tok vzdušniny [m3/h]</w:t>
            </w:r>
          </w:p>
        </w:tc>
        <w:tc>
          <w:tcPr>
            <w:tcW w:w="96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60553B5" w14:textId="77777777" w:rsidR="009376E3" w:rsidRPr="00024B5B" w:rsidRDefault="009376E3" w:rsidP="002F67A9">
            <w:pPr>
              <w:jc w:val="center"/>
              <w:rPr>
                <w:rFonts w:ascii="Calibri" w:hAnsi="Calibri" w:cs="Calibri"/>
              </w:rPr>
            </w:pPr>
            <w:r w:rsidRPr="00024B5B">
              <w:rPr>
                <w:rFonts w:ascii="Calibri" w:hAnsi="Calibri" w:cs="Calibri"/>
              </w:rPr>
              <w:t>CO [mg/kWh]</w:t>
            </w:r>
          </w:p>
        </w:tc>
        <w:tc>
          <w:tcPr>
            <w:tcW w:w="968" w:type="dxa"/>
            <w:tcBorders>
              <w:top w:val="single" w:sz="8" w:space="0" w:color="auto"/>
              <w:left w:val="nil"/>
              <w:bottom w:val="nil"/>
              <w:right w:val="single" w:sz="8" w:space="0" w:color="auto"/>
            </w:tcBorders>
            <w:shd w:val="clear" w:color="auto" w:fill="auto"/>
            <w:vAlign w:val="center"/>
            <w:hideMark/>
          </w:tcPr>
          <w:p w14:paraId="05692325" w14:textId="77777777" w:rsidR="009376E3" w:rsidRPr="00024B5B" w:rsidRDefault="009376E3" w:rsidP="002F67A9">
            <w:pPr>
              <w:jc w:val="center"/>
              <w:rPr>
                <w:rFonts w:ascii="Calibri" w:hAnsi="Calibri" w:cs="Calibri"/>
              </w:rPr>
            </w:pPr>
            <w:r w:rsidRPr="00024B5B">
              <w:rPr>
                <w:rFonts w:ascii="Calibri" w:hAnsi="Calibri" w:cs="Calibri"/>
              </w:rPr>
              <w:t>NOx</w:t>
            </w:r>
          </w:p>
        </w:tc>
        <w:tc>
          <w:tcPr>
            <w:tcW w:w="697" w:type="dxa"/>
            <w:tcBorders>
              <w:top w:val="single" w:sz="8" w:space="0" w:color="auto"/>
              <w:left w:val="nil"/>
              <w:bottom w:val="nil"/>
              <w:right w:val="single" w:sz="8" w:space="0" w:color="auto"/>
            </w:tcBorders>
            <w:shd w:val="clear" w:color="auto" w:fill="auto"/>
            <w:vAlign w:val="center"/>
            <w:hideMark/>
          </w:tcPr>
          <w:p w14:paraId="2D75F47F" w14:textId="77777777" w:rsidR="009376E3" w:rsidRPr="00024B5B" w:rsidRDefault="009376E3" w:rsidP="002F67A9">
            <w:pPr>
              <w:jc w:val="center"/>
              <w:rPr>
                <w:rFonts w:ascii="Calibri" w:hAnsi="Calibri" w:cs="Calibri"/>
              </w:rPr>
            </w:pPr>
            <w:r w:rsidRPr="00024B5B">
              <w:rPr>
                <w:rFonts w:ascii="Calibri" w:hAnsi="Calibri" w:cs="Calibri"/>
              </w:rPr>
              <w:t>CO</w:t>
            </w:r>
          </w:p>
        </w:tc>
        <w:tc>
          <w:tcPr>
            <w:tcW w:w="596" w:type="dxa"/>
            <w:tcBorders>
              <w:top w:val="single" w:sz="8" w:space="0" w:color="auto"/>
              <w:left w:val="nil"/>
              <w:bottom w:val="nil"/>
              <w:right w:val="single" w:sz="8" w:space="0" w:color="auto"/>
            </w:tcBorders>
            <w:shd w:val="clear" w:color="auto" w:fill="auto"/>
            <w:vAlign w:val="center"/>
            <w:hideMark/>
          </w:tcPr>
          <w:p w14:paraId="21316C81" w14:textId="77777777" w:rsidR="009376E3" w:rsidRPr="00024B5B" w:rsidRDefault="009376E3" w:rsidP="002F67A9">
            <w:pPr>
              <w:jc w:val="center"/>
              <w:rPr>
                <w:rFonts w:ascii="Calibri" w:hAnsi="Calibri" w:cs="Calibri"/>
              </w:rPr>
            </w:pPr>
            <w:r w:rsidRPr="00024B5B">
              <w:rPr>
                <w:rFonts w:ascii="Calibri" w:hAnsi="Calibri" w:cs="Calibri"/>
              </w:rPr>
              <w:t>NOx</w:t>
            </w:r>
          </w:p>
        </w:tc>
      </w:tr>
      <w:tr w:rsidR="00024B5B" w:rsidRPr="00024B5B" w14:paraId="147623B7" w14:textId="77777777" w:rsidTr="00024B5B">
        <w:trPr>
          <w:trHeight w:val="731"/>
        </w:trPr>
        <w:tc>
          <w:tcPr>
            <w:tcW w:w="951" w:type="dxa"/>
            <w:vMerge/>
            <w:tcBorders>
              <w:top w:val="single" w:sz="8" w:space="0" w:color="auto"/>
              <w:left w:val="single" w:sz="8" w:space="0" w:color="auto"/>
              <w:bottom w:val="single" w:sz="8" w:space="0" w:color="000000"/>
              <w:right w:val="single" w:sz="8" w:space="0" w:color="auto"/>
            </w:tcBorders>
            <w:vAlign w:val="center"/>
            <w:hideMark/>
          </w:tcPr>
          <w:p w14:paraId="57A1AD56" w14:textId="77777777" w:rsidR="009376E3" w:rsidRPr="00024B5B" w:rsidRDefault="009376E3" w:rsidP="002F67A9">
            <w:pPr>
              <w:rPr>
                <w:rFonts w:ascii="Calibri" w:hAnsi="Calibri" w:cs="Calibri"/>
                <w:u w:val="single"/>
              </w:rPr>
            </w:pPr>
          </w:p>
        </w:tc>
        <w:tc>
          <w:tcPr>
            <w:tcW w:w="1046" w:type="dxa"/>
            <w:vMerge/>
            <w:tcBorders>
              <w:top w:val="single" w:sz="8" w:space="0" w:color="auto"/>
              <w:left w:val="single" w:sz="8" w:space="0" w:color="auto"/>
              <w:bottom w:val="single" w:sz="8" w:space="0" w:color="000000"/>
              <w:right w:val="single" w:sz="8" w:space="0" w:color="auto"/>
            </w:tcBorders>
            <w:vAlign w:val="center"/>
            <w:hideMark/>
          </w:tcPr>
          <w:p w14:paraId="7083A48B" w14:textId="77777777" w:rsidR="009376E3" w:rsidRPr="00024B5B" w:rsidRDefault="009376E3" w:rsidP="002F67A9">
            <w:pPr>
              <w:rPr>
                <w:rFonts w:ascii="Calibri" w:hAnsi="Calibri" w:cs="Calibri"/>
              </w:rPr>
            </w:pPr>
          </w:p>
        </w:tc>
        <w:tc>
          <w:tcPr>
            <w:tcW w:w="600" w:type="dxa"/>
            <w:vMerge/>
            <w:tcBorders>
              <w:left w:val="single" w:sz="8" w:space="0" w:color="auto"/>
              <w:bottom w:val="single" w:sz="4" w:space="0" w:color="auto"/>
              <w:right w:val="single" w:sz="8" w:space="0" w:color="auto"/>
            </w:tcBorders>
            <w:vAlign w:val="center"/>
          </w:tcPr>
          <w:p w14:paraId="054C4ABB" w14:textId="77777777" w:rsidR="009376E3" w:rsidRPr="00024B5B" w:rsidRDefault="009376E3" w:rsidP="002F67A9">
            <w:pPr>
              <w:rPr>
                <w:rFonts w:ascii="Calibri" w:hAnsi="Calibri" w:cs="Calibri"/>
                <w:u w:val="single"/>
              </w:rPr>
            </w:pPr>
          </w:p>
        </w:tc>
        <w:tc>
          <w:tcPr>
            <w:tcW w:w="609" w:type="dxa"/>
            <w:vMerge/>
            <w:tcBorders>
              <w:top w:val="single" w:sz="8" w:space="0" w:color="auto"/>
              <w:left w:val="single" w:sz="8" w:space="0" w:color="auto"/>
              <w:bottom w:val="single" w:sz="4" w:space="0" w:color="auto"/>
              <w:right w:val="single" w:sz="8" w:space="0" w:color="auto"/>
            </w:tcBorders>
            <w:vAlign w:val="center"/>
            <w:hideMark/>
          </w:tcPr>
          <w:p w14:paraId="5ADBA081" w14:textId="77777777" w:rsidR="009376E3" w:rsidRPr="00024B5B" w:rsidRDefault="009376E3" w:rsidP="002F67A9">
            <w:pPr>
              <w:rPr>
                <w:rFonts w:ascii="Calibri" w:hAnsi="Calibri" w:cs="Calibri"/>
                <w:u w:val="single"/>
              </w:rPr>
            </w:pPr>
          </w:p>
        </w:tc>
        <w:tc>
          <w:tcPr>
            <w:tcW w:w="1123" w:type="dxa"/>
            <w:vMerge/>
            <w:tcBorders>
              <w:top w:val="single" w:sz="8" w:space="0" w:color="auto"/>
              <w:left w:val="single" w:sz="8" w:space="0" w:color="auto"/>
              <w:bottom w:val="single" w:sz="8" w:space="0" w:color="000000"/>
              <w:right w:val="single" w:sz="8" w:space="0" w:color="auto"/>
            </w:tcBorders>
            <w:vAlign w:val="center"/>
            <w:hideMark/>
          </w:tcPr>
          <w:p w14:paraId="36A95406" w14:textId="77777777" w:rsidR="009376E3" w:rsidRPr="00024B5B" w:rsidRDefault="009376E3" w:rsidP="002F67A9">
            <w:pPr>
              <w:rPr>
                <w:rFonts w:ascii="Calibri" w:hAnsi="Calibri" w:cs="Calibri"/>
              </w:rPr>
            </w:pPr>
          </w:p>
        </w:tc>
        <w:tc>
          <w:tcPr>
            <w:tcW w:w="945" w:type="dxa"/>
            <w:vMerge/>
            <w:tcBorders>
              <w:top w:val="single" w:sz="8" w:space="0" w:color="auto"/>
              <w:left w:val="single" w:sz="8" w:space="0" w:color="auto"/>
              <w:bottom w:val="single" w:sz="8" w:space="0" w:color="000000"/>
              <w:right w:val="single" w:sz="8" w:space="0" w:color="auto"/>
            </w:tcBorders>
            <w:vAlign w:val="center"/>
            <w:hideMark/>
          </w:tcPr>
          <w:p w14:paraId="190937E2" w14:textId="77777777" w:rsidR="009376E3" w:rsidRPr="00024B5B" w:rsidRDefault="009376E3" w:rsidP="002F67A9">
            <w:pPr>
              <w:rPr>
                <w:rFonts w:ascii="Calibri" w:hAnsi="Calibri" w:cs="Calibri"/>
              </w:rPr>
            </w:pPr>
          </w:p>
        </w:tc>
        <w:tc>
          <w:tcPr>
            <w:tcW w:w="945" w:type="dxa"/>
            <w:vMerge/>
            <w:tcBorders>
              <w:top w:val="single" w:sz="8" w:space="0" w:color="auto"/>
              <w:left w:val="single" w:sz="8" w:space="0" w:color="auto"/>
              <w:bottom w:val="single" w:sz="8" w:space="0" w:color="000000"/>
              <w:right w:val="single" w:sz="8" w:space="0" w:color="auto"/>
            </w:tcBorders>
            <w:vAlign w:val="center"/>
            <w:hideMark/>
          </w:tcPr>
          <w:p w14:paraId="11B19A71" w14:textId="77777777" w:rsidR="009376E3" w:rsidRPr="00024B5B" w:rsidRDefault="009376E3" w:rsidP="002F67A9">
            <w:pPr>
              <w:rPr>
                <w:rFonts w:ascii="Calibri" w:hAnsi="Calibri" w:cs="Calibri"/>
              </w:rPr>
            </w:pPr>
          </w:p>
        </w:tc>
        <w:tc>
          <w:tcPr>
            <w:tcW w:w="968" w:type="dxa"/>
            <w:vMerge/>
            <w:tcBorders>
              <w:top w:val="single" w:sz="8" w:space="0" w:color="auto"/>
              <w:left w:val="single" w:sz="8" w:space="0" w:color="auto"/>
              <w:bottom w:val="single" w:sz="8" w:space="0" w:color="000000"/>
              <w:right w:val="single" w:sz="8" w:space="0" w:color="auto"/>
            </w:tcBorders>
            <w:vAlign w:val="center"/>
            <w:hideMark/>
          </w:tcPr>
          <w:p w14:paraId="657EA383" w14:textId="77777777" w:rsidR="009376E3" w:rsidRPr="00024B5B" w:rsidRDefault="009376E3" w:rsidP="002F67A9">
            <w:pPr>
              <w:rPr>
                <w:rFonts w:ascii="Calibri" w:hAnsi="Calibri" w:cs="Calibri"/>
              </w:rPr>
            </w:pPr>
          </w:p>
        </w:tc>
        <w:tc>
          <w:tcPr>
            <w:tcW w:w="968" w:type="dxa"/>
            <w:tcBorders>
              <w:top w:val="nil"/>
              <w:left w:val="nil"/>
              <w:bottom w:val="single" w:sz="8" w:space="0" w:color="auto"/>
              <w:right w:val="single" w:sz="8" w:space="0" w:color="auto"/>
            </w:tcBorders>
            <w:shd w:val="clear" w:color="auto" w:fill="auto"/>
            <w:vAlign w:val="center"/>
            <w:hideMark/>
          </w:tcPr>
          <w:p w14:paraId="4653B6D9" w14:textId="77777777" w:rsidR="009376E3" w:rsidRPr="00024B5B" w:rsidRDefault="009376E3" w:rsidP="002F67A9">
            <w:pPr>
              <w:jc w:val="center"/>
              <w:rPr>
                <w:rFonts w:ascii="Calibri" w:hAnsi="Calibri" w:cs="Calibri"/>
              </w:rPr>
            </w:pPr>
            <w:r w:rsidRPr="00024B5B">
              <w:rPr>
                <w:rFonts w:ascii="Calibri" w:hAnsi="Calibri" w:cs="Calibri"/>
              </w:rPr>
              <w:t>[mg/kWh]</w:t>
            </w:r>
          </w:p>
        </w:tc>
        <w:tc>
          <w:tcPr>
            <w:tcW w:w="697" w:type="dxa"/>
            <w:tcBorders>
              <w:top w:val="nil"/>
              <w:left w:val="nil"/>
              <w:bottom w:val="single" w:sz="8" w:space="0" w:color="auto"/>
              <w:right w:val="single" w:sz="8" w:space="0" w:color="auto"/>
            </w:tcBorders>
            <w:shd w:val="clear" w:color="auto" w:fill="auto"/>
            <w:vAlign w:val="center"/>
            <w:hideMark/>
          </w:tcPr>
          <w:p w14:paraId="149A9001" w14:textId="77777777" w:rsidR="009376E3" w:rsidRPr="00024B5B" w:rsidRDefault="009376E3" w:rsidP="002F67A9">
            <w:pPr>
              <w:jc w:val="center"/>
              <w:rPr>
                <w:rFonts w:ascii="Calibri" w:hAnsi="Calibri" w:cs="Calibri"/>
              </w:rPr>
            </w:pPr>
            <w:r w:rsidRPr="00024B5B">
              <w:rPr>
                <w:rFonts w:ascii="Calibri" w:hAnsi="Calibri" w:cs="Calibri"/>
              </w:rPr>
              <w:t>[g/s]</w:t>
            </w:r>
          </w:p>
        </w:tc>
        <w:tc>
          <w:tcPr>
            <w:tcW w:w="596" w:type="dxa"/>
            <w:tcBorders>
              <w:top w:val="nil"/>
              <w:left w:val="nil"/>
              <w:bottom w:val="single" w:sz="8" w:space="0" w:color="auto"/>
              <w:right w:val="single" w:sz="8" w:space="0" w:color="auto"/>
            </w:tcBorders>
            <w:shd w:val="clear" w:color="auto" w:fill="auto"/>
            <w:vAlign w:val="center"/>
            <w:hideMark/>
          </w:tcPr>
          <w:p w14:paraId="089342CB" w14:textId="77777777" w:rsidR="009376E3" w:rsidRPr="00024B5B" w:rsidRDefault="009376E3" w:rsidP="002F67A9">
            <w:pPr>
              <w:jc w:val="center"/>
              <w:rPr>
                <w:rFonts w:ascii="Calibri" w:hAnsi="Calibri" w:cs="Calibri"/>
              </w:rPr>
            </w:pPr>
            <w:r w:rsidRPr="00024B5B">
              <w:rPr>
                <w:rFonts w:ascii="Calibri" w:hAnsi="Calibri" w:cs="Calibri"/>
              </w:rPr>
              <w:t>[g/s]</w:t>
            </w:r>
          </w:p>
        </w:tc>
      </w:tr>
      <w:tr w:rsidR="00024B5B" w:rsidRPr="00024B5B" w14:paraId="4BEB99C2" w14:textId="77777777" w:rsidTr="00024B5B">
        <w:trPr>
          <w:trHeight w:val="298"/>
        </w:trPr>
        <w:tc>
          <w:tcPr>
            <w:tcW w:w="9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44DF47" w14:textId="77777777" w:rsidR="009376E3" w:rsidRPr="00024B5B" w:rsidRDefault="009376E3" w:rsidP="002F67A9">
            <w:pPr>
              <w:jc w:val="center"/>
              <w:rPr>
                <w:rFonts w:ascii="Calibri" w:hAnsi="Calibri" w:cs="Calibri"/>
              </w:rPr>
            </w:pPr>
            <w:r w:rsidRPr="00024B5B">
              <w:rPr>
                <w:rFonts w:ascii="Calibri" w:hAnsi="Calibri" w:cs="Calibri"/>
              </w:rPr>
              <w:t>Plyn.kotol</w:t>
            </w:r>
          </w:p>
        </w:tc>
        <w:tc>
          <w:tcPr>
            <w:tcW w:w="1046" w:type="dxa"/>
            <w:tcBorders>
              <w:top w:val="single" w:sz="4" w:space="0" w:color="auto"/>
              <w:left w:val="nil"/>
              <w:bottom w:val="single" w:sz="4" w:space="0" w:color="auto"/>
              <w:right w:val="single" w:sz="4" w:space="0" w:color="auto"/>
            </w:tcBorders>
            <w:shd w:val="clear" w:color="auto" w:fill="auto"/>
            <w:vAlign w:val="center"/>
            <w:hideMark/>
          </w:tcPr>
          <w:p w14:paraId="54365852" w14:textId="77777777" w:rsidR="009376E3" w:rsidRPr="00024B5B" w:rsidRDefault="009376E3" w:rsidP="002F67A9">
            <w:pPr>
              <w:jc w:val="center"/>
              <w:rPr>
                <w:rFonts w:ascii="Calibri" w:hAnsi="Calibri" w:cs="Calibri"/>
              </w:rPr>
            </w:pPr>
            <w:r w:rsidRPr="00024B5B">
              <w:rPr>
                <w:rFonts w:ascii="Calibri" w:hAnsi="Calibri" w:cs="Calibri"/>
              </w:rPr>
              <w:t>186</w:t>
            </w:r>
          </w:p>
        </w:tc>
        <w:tc>
          <w:tcPr>
            <w:tcW w:w="600" w:type="dxa"/>
            <w:tcBorders>
              <w:top w:val="single" w:sz="4" w:space="0" w:color="auto"/>
              <w:left w:val="single" w:sz="4" w:space="0" w:color="auto"/>
              <w:bottom w:val="single" w:sz="4" w:space="0" w:color="auto"/>
              <w:right w:val="single" w:sz="4" w:space="0" w:color="auto"/>
            </w:tcBorders>
            <w:vAlign w:val="center"/>
          </w:tcPr>
          <w:p w14:paraId="43E71E1A" w14:textId="77777777" w:rsidR="009376E3" w:rsidRPr="00024B5B" w:rsidRDefault="009376E3" w:rsidP="002F67A9">
            <w:pPr>
              <w:jc w:val="center"/>
              <w:rPr>
                <w:rFonts w:ascii="Calibri" w:hAnsi="Calibri" w:cs="Calibri"/>
              </w:rPr>
            </w:pPr>
            <w:r w:rsidRPr="00024B5B">
              <w:rPr>
                <w:rFonts w:ascii="Calibri" w:hAnsi="Calibri" w:cs="Calibri"/>
              </w:rPr>
              <w:t>2</w:t>
            </w:r>
          </w:p>
        </w:tc>
        <w:tc>
          <w:tcPr>
            <w:tcW w:w="6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7A9CE5" w14:textId="77777777" w:rsidR="009376E3" w:rsidRPr="00024B5B" w:rsidRDefault="009376E3" w:rsidP="002F67A9">
            <w:pPr>
              <w:jc w:val="center"/>
              <w:rPr>
                <w:rFonts w:ascii="Calibri" w:hAnsi="Calibri" w:cs="Calibri"/>
              </w:rPr>
            </w:pPr>
            <w:r w:rsidRPr="00024B5B">
              <w:rPr>
                <w:rFonts w:ascii="Calibri" w:hAnsi="Calibri" w:cs="Calibri"/>
              </w:rPr>
              <w:t>10,5</w:t>
            </w:r>
          </w:p>
        </w:tc>
        <w:tc>
          <w:tcPr>
            <w:tcW w:w="11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1C1AD" w14:textId="77777777" w:rsidR="009376E3" w:rsidRPr="00024B5B" w:rsidRDefault="009376E3" w:rsidP="002F67A9">
            <w:pPr>
              <w:jc w:val="center"/>
              <w:rPr>
                <w:rFonts w:ascii="Calibri" w:hAnsi="Calibri" w:cs="Calibri"/>
              </w:rPr>
            </w:pPr>
            <w:r w:rsidRPr="00024B5B">
              <w:rPr>
                <w:rFonts w:ascii="Calibri" w:hAnsi="Calibri" w:cs="Calibri"/>
              </w:rPr>
              <w:t>20,1</w:t>
            </w:r>
          </w:p>
        </w:tc>
        <w:tc>
          <w:tcPr>
            <w:tcW w:w="945" w:type="dxa"/>
            <w:tcBorders>
              <w:top w:val="single" w:sz="4" w:space="0" w:color="auto"/>
              <w:left w:val="nil"/>
              <w:bottom w:val="single" w:sz="4" w:space="0" w:color="auto"/>
              <w:right w:val="single" w:sz="4" w:space="0" w:color="auto"/>
            </w:tcBorders>
            <w:shd w:val="clear" w:color="auto" w:fill="auto"/>
            <w:vAlign w:val="center"/>
            <w:hideMark/>
          </w:tcPr>
          <w:p w14:paraId="75CFE46F" w14:textId="77777777" w:rsidR="009376E3" w:rsidRPr="00024B5B" w:rsidRDefault="009376E3" w:rsidP="002F67A9">
            <w:pPr>
              <w:jc w:val="center"/>
              <w:rPr>
                <w:rFonts w:ascii="Calibri" w:hAnsi="Calibri" w:cs="Calibri"/>
              </w:rPr>
            </w:pPr>
            <w:r w:rsidRPr="00024B5B">
              <w:rPr>
                <w:rFonts w:ascii="Calibri" w:hAnsi="Calibri" w:cs="Calibri"/>
              </w:rPr>
              <w:t>221,1</w:t>
            </w:r>
          </w:p>
        </w:tc>
        <w:tc>
          <w:tcPr>
            <w:tcW w:w="945" w:type="dxa"/>
            <w:tcBorders>
              <w:top w:val="single" w:sz="4" w:space="0" w:color="auto"/>
              <w:left w:val="nil"/>
              <w:bottom w:val="single" w:sz="4" w:space="0" w:color="auto"/>
              <w:right w:val="single" w:sz="4" w:space="0" w:color="auto"/>
            </w:tcBorders>
            <w:shd w:val="clear" w:color="000000" w:fill="FFFFFF"/>
            <w:vAlign w:val="center"/>
            <w:hideMark/>
          </w:tcPr>
          <w:p w14:paraId="437B6751" w14:textId="77777777" w:rsidR="009376E3" w:rsidRPr="00024B5B" w:rsidRDefault="009376E3" w:rsidP="002F67A9">
            <w:pPr>
              <w:jc w:val="center"/>
              <w:rPr>
                <w:rFonts w:ascii="Calibri" w:hAnsi="Calibri" w:cs="Calibri"/>
              </w:rPr>
            </w:pPr>
            <w:r w:rsidRPr="00024B5B">
              <w:rPr>
                <w:rFonts w:ascii="Calibri" w:hAnsi="Calibri" w:cs="Calibri"/>
              </w:rPr>
              <w:t>442,2</w:t>
            </w:r>
          </w:p>
        </w:tc>
        <w:tc>
          <w:tcPr>
            <w:tcW w:w="968" w:type="dxa"/>
            <w:tcBorders>
              <w:top w:val="single" w:sz="4" w:space="0" w:color="auto"/>
              <w:left w:val="nil"/>
              <w:bottom w:val="single" w:sz="4" w:space="0" w:color="auto"/>
              <w:right w:val="single" w:sz="4" w:space="0" w:color="auto"/>
            </w:tcBorders>
            <w:shd w:val="clear" w:color="auto" w:fill="auto"/>
            <w:vAlign w:val="center"/>
            <w:hideMark/>
          </w:tcPr>
          <w:p w14:paraId="703764F7" w14:textId="77777777" w:rsidR="009376E3" w:rsidRPr="00024B5B" w:rsidRDefault="009376E3" w:rsidP="002F67A9">
            <w:pPr>
              <w:jc w:val="center"/>
              <w:rPr>
                <w:rFonts w:ascii="Calibri" w:hAnsi="Calibri" w:cs="Calibri"/>
              </w:rPr>
            </w:pPr>
            <w:r w:rsidRPr="00024B5B">
              <w:rPr>
                <w:rFonts w:ascii="Calibri" w:hAnsi="Calibri" w:cs="Calibri"/>
              </w:rPr>
              <w:t>20</w:t>
            </w:r>
          </w:p>
        </w:tc>
        <w:tc>
          <w:tcPr>
            <w:tcW w:w="968" w:type="dxa"/>
            <w:tcBorders>
              <w:top w:val="single" w:sz="4" w:space="0" w:color="auto"/>
              <w:left w:val="nil"/>
              <w:bottom w:val="single" w:sz="4" w:space="0" w:color="auto"/>
              <w:right w:val="single" w:sz="4" w:space="0" w:color="auto"/>
            </w:tcBorders>
            <w:shd w:val="clear" w:color="auto" w:fill="auto"/>
            <w:vAlign w:val="center"/>
            <w:hideMark/>
          </w:tcPr>
          <w:p w14:paraId="18295011" w14:textId="77777777" w:rsidR="009376E3" w:rsidRPr="00024B5B" w:rsidRDefault="009376E3" w:rsidP="002F67A9">
            <w:pPr>
              <w:jc w:val="center"/>
              <w:rPr>
                <w:rFonts w:ascii="Calibri" w:hAnsi="Calibri" w:cs="Calibri"/>
              </w:rPr>
            </w:pPr>
            <w:r w:rsidRPr="00024B5B">
              <w:rPr>
                <w:rFonts w:ascii="Calibri" w:hAnsi="Calibri" w:cs="Calibri"/>
              </w:rPr>
              <w:t>40</w:t>
            </w:r>
          </w:p>
        </w:tc>
        <w:tc>
          <w:tcPr>
            <w:tcW w:w="697" w:type="dxa"/>
            <w:tcBorders>
              <w:top w:val="single" w:sz="4" w:space="0" w:color="auto"/>
              <w:left w:val="nil"/>
              <w:bottom w:val="single" w:sz="4" w:space="0" w:color="auto"/>
              <w:right w:val="single" w:sz="4" w:space="0" w:color="auto"/>
            </w:tcBorders>
            <w:shd w:val="clear" w:color="auto" w:fill="auto"/>
            <w:vAlign w:val="center"/>
            <w:hideMark/>
          </w:tcPr>
          <w:p w14:paraId="03F16B3B" w14:textId="77777777" w:rsidR="009376E3" w:rsidRPr="00024B5B" w:rsidRDefault="009376E3" w:rsidP="002F67A9">
            <w:pPr>
              <w:jc w:val="center"/>
              <w:rPr>
                <w:rFonts w:ascii="Calibri" w:hAnsi="Calibri" w:cs="Calibri"/>
              </w:rPr>
            </w:pPr>
            <w:r w:rsidRPr="00024B5B">
              <w:rPr>
                <w:rFonts w:ascii="Calibri" w:hAnsi="Calibri" w:cs="Calibri"/>
              </w:rPr>
              <w:t>0,0021</w:t>
            </w:r>
          </w:p>
        </w:tc>
        <w:tc>
          <w:tcPr>
            <w:tcW w:w="596" w:type="dxa"/>
            <w:tcBorders>
              <w:top w:val="single" w:sz="4" w:space="0" w:color="auto"/>
              <w:left w:val="nil"/>
              <w:bottom w:val="single" w:sz="4" w:space="0" w:color="auto"/>
              <w:right w:val="single" w:sz="4" w:space="0" w:color="auto"/>
            </w:tcBorders>
            <w:shd w:val="clear" w:color="auto" w:fill="auto"/>
            <w:vAlign w:val="center"/>
            <w:hideMark/>
          </w:tcPr>
          <w:p w14:paraId="5FAB5BBF" w14:textId="77777777" w:rsidR="009376E3" w:rsidRPr="00024B5B" w:rsidRDefault="009376E3" w:rsidP="002F67A9">
            <w:pPr>
              <w:jc w:val="center"/>
              <w:rPr>
                <w:rFonts w:ascii="Calibri" w:hAnsi="Calibri" w:cs="Calibri"/>
              </w:rPr>
            </w:pPr>
            <w:r w:rsidRPr="00024B5B">
              <w:rPr>
                <w:rFonts w:ascii="Calibri" w:hAnsi="Calibri" w:cs="Calibri"/>
              </w:rPr>
              <w:t>0,004</w:t>
            </w:r>
          </w:p>
        </w:tc>
      </w:tr>
    </w:tbl>
    <w:p w14:paraId="6B7FF21B" w14:textId="4EB81E7F" w:rsidR="00CC284B" w:rsidRPr="00024B5B" w:rsidRDefault="00CC284B" w:rsidP="001A2F9B">
      <w:pPr>
        <w:pStyle w:val="A-Text11"/>
        <w:rPr>
          <w:noProof/>
        </w:rPr>
      </w:pPr>
      <w:r w:rsidRPr="00024B5B">
        <w:t xml:space="preserve">Z údajov bol následne vyhodnotený stav imisného zaťaženia v riešenom území po realizácii navrhovaného projektu (kapitola 6). </w:t>
      </w:r>
      <w:r w:rsidRPr="00024B5B">
        <w:rPr>
          <w:noProof/>
        </w:rPr>
        <w:t xml:space="preserve">Grafický výstup z modelácie v softvéri CadnaA </w:t>
      </w:r>
      <w:r w:rsidRPr="00024B5B">
        <w:t xml:space="preserve">(DataKustik, vers. 4.4.145) </w:t>
      </w:r>
      <w:r w:rsidRPr="00024B5B">
        <w:rPr>
          <w:noProof/>
        </w:rPr>
        <w:t>je uvedený v prílohe rozptylovej štúdie.</w:t>
      </w:r>
    </w:p>
    <w:p w14:paraId="454A2077" w14:textId="1C6201E7" w:rsidR="005A7555" w:rsidRPr="00024B5B" w:rsidRDefault="005A7555" w:rsidP="001A2F9B">
      <w:pPr>
        <w:pStyle w:val="A-Text11"/>
      </w:pPr>
      <w:bookmarkStart w:id="265" w:name="_Toc86179374"/>
      <w:r w:rsidRPr="00024B5B">
        <w:t>NÁHRADNÝ ZDROJ EL. ENERGIE</w:t>
      </w:r>
      <w:bookmarkEnd w:id="265"/>
    </w:p>
    <w:p w14:paraId="05162ACD" w14:textId="77777777" w:rsidR="005A7555" w:rsidRPr="00024B5B" w:rsidRDefault="005A7555" w:rsidP="001A2F9B">
      <w:pPr>
        <w:pStyle w:val="A-Text11"/>
        <w:rPr>
          <w:rFonts w:eastAsia="ArialMT"/>
        </w:rPr>
      </w:pPr>
      <w:r w:rsidRPr="00024B5B">
        <w:rPr>
          <w:rFonts w:eastAsia="ArialMT"/>
        </w:rPr>
        <w:t>VARIANT 1</w:t>
      </w:r>
    </w:p>
    <w:p w14:paraId="7A54B1F5" w14:textId="77777777" w:rsidR="007B2187" w:rsidRDefault="005A7555" w:rsidP="001A2F9B">
      <w:pPr>
        <w:pStyle w:val="A-Text11"/>
      </w:pPr>
      <w:r w:rsidRPr="00024B5B">
        <w:t xml:space="preserve">Dieselagregát bude cez rozvádzače jednotlivých objektov zabezpečovať zálohované napájanie technických zariadení príslušných objektov, podľa požiadaviek jednotlivých profesií. Dokumentácia v tomto stupni nešpecifikuje bližšie typ náhradného zdroja – rozptylová štúdia uvažuje teda s dieselagregátom výkonu cca 200 kVA / 160 kW. </w:t>
      </w:r>
    </w:p>
    <w:p w14:paraId="5F194E4D" w14:textId="1E66C5A6" w:rsidR="001A2F9B" w:rsidRPr="00024B5B" w:rsidRDefault="0042577A" w:rsidP="001A2F9B">
      <w:pPr>
        <w:pStyle w:val="A-Text11"/>
      </w:pPr>
      <w:r>
        <w:t>K</w:t>
      </w:r>
      <w:r w:rsidRPr="00367872">
        <w:t>onkrétne vybran</w:t>
      </w:r>
      <w:r>
        <w:t>ý</w:t>
      </w:r>
      <w:r w:rsidRPr="00367872">
        <w:t xml:space="preserve"> typ dieselagregátu vzíde z výberového konania.</w:t>
      </w:r>
      <w:r>
        <w:t xml:space="preserve"> </w:t>
      </w:r>
      <w:r w:rsidR="005A7555" w:rsidRPr="00024B5B">
        <w:t>Ako príklad diese</w:t>
      </w:r>
      <w:r>
        <w:t>l</w:t>
      </w:r>
      <w:r w:rsidR="005A7555" w:rsidRPr="00024B5B">
        <w:t xml:space="preserve">agregátu s požadovaným výkonom </w:t>
      </w:r>
      <w:r w:rsidR="00DC49BE">
        <w:t xml:space="preserve">možno </w:t>
      </w:r>
      <w:r w:rsidR="005A7555" w:rsidRPr="00024B5B">
        <w:t>uv</w:t>
      </w:r>
      <w:r w:rsidR="00DC49BE">
        <w:t>iesť</w:t>
      </w:r>
      <w:r w:rsidR="005A7555" w:rsidRPr="00024B5B">
        <w:t xml:space="preserve"> typ </w:t>
      </w:r>
      <w:r w:rsidR="005A7555" w:rsidRPr="00DC49BE">
        <w:rPr>
          <w:bCs/>
        </w:rPr>
        <w:t>TTS MP 200 I :</w:t>
      </w:r>
    </w:p>
    <w:p w14:paraId="43276FD5" w14:textId="77777777" w:rsidR="005A7555" w:rsidRPr="00024B5B" w:rsidRDefault="005A7555" w:rsidP="005A7555">
      <w:pPr>
        <w:autoSpaceDE w:val="0"/>
        <w:autoSpaceDN w:val="0"/>
        <w:adjustRightInd w:val="0"/>
        <w:jc w:val="both"/>
        <w:rPr>
          <w:rFonts w:ascii="Arial" w:hAnsi="Arial" w:cs="Arial"/>
          <w:bCs/>
          <w:i/>
          <w:iCs/>
          <w:sz w:val="22"/>
          <w:szCs w:val="22"/>
        </w:rPr>
      </w:pPr>
      <w:r w:rsidRPr="00024B5B">
        <w:rPr>
          <w:rFonts w:ascii="Arial" w:hAnsi="Arial" w:cs="Arial"/>
          <w:bCs/>
          <w:i/>
          <w:iCs/>
          <w:sz w:val="22"/>
          <w:szCs w:val="22"/>
        </w:rPr>
        <w:t>Výstupné parametre:</w:t>
      </w:r>
    </w:p>
    <w:p w14:paraId="5AFA1080"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Menovitý základný výkon PRP:</w:t>
      </w:r>
      <w:r w:rsidRPr="00024B5B">
        <w:rPr>
          <w:rFonts w:ascii="Arial" w:hAnsi="Arial" w:cs="Arial"/>
          <w:sz w:val="22"/>
          <w:szCs w:val="22"/>
        </w:rPr>
        <w:tab/>
        <w:t>205 kVA / 164 kW</w:t>
      </w:r>
    </w:p>
    <w:p w14:paraId="4657DB56"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Menovitý záložný výkon ESP:</w:t>
      </w:r>
      <w:r w:rsidRPr="00024B5B">
        <w:rPr>
          <w:rFonts w:ascii="Arial" w:hAnsi="Arial" w:cs="Arial"/>
          <w:sz w:val="22"/>
          <w:szCs w:val="22"/>
        </w:rPr>
        <w:tab/>
        <w:t>225 kVA / 180 kW</w:t>
      </w:r>
    </w:p>
    <w:p w14:paraId="33864E1B"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Menovitý prúd:</w:t>
      </w:r>
      <w:r w:rsidRPr="00024B5B">
        <w:rPr>
          <w:rFonts w:ascii="Arial" w:hAnsi="Arial" w:cs="Arial"/>
          <w:sz w:val="22"/>
          <w:szCs w:val="22"/>
        </w:rPr>
        <w:tab/>
      </w:r>
      <w:r w:rsidRPr="00024B5B">
        <w:rPr>
          <w:rFonts w:ascii="Arial" w:hAnsi="Arial" w:cs="Arial"/>
          <w:sz w:val="22"/>
          <w:szCs w:val="22"/>
        </w:rPr>
        <w:tab/>
      </w:r>
      <w:r w:rsidRPr="00024B5B">
        <w:rPr>
          <w:rFonts w:ascii="Arial" w:hAnsi="Arial" w:cs="Arial"/>
          <w:sz w:val="22"/>
          <w:szCs w:val="22"/>
        </w:rPr>
        <w:tab/>
        <w:t>296 A</w:t>
      </w:r>
    </w:p>
    <w:p w14:paraId="426F2FCF"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Napätie:</w:t>
      </w:r>
      <w:r w:rsidRPr="00024B5B">
        <w:rPr>
          <w:rFonts w:ascii="Arial" w:hAnsi="Arial" w:cs="Arial"/>
          <w:sz w:val="22"/>
          <w:szCs w:val="22"/>
        </w:rPr>
        <w:tab/>
      </w:r>
      <w:r w:rsidRPr="00024B5B">
        <w:rPr>
          <w:rFonts w:ascii="Arial" w:hAnsi="Arial" w:cs="Arial"/>
          <w:sz w:val="22"/>
          <w:szCs w:val="22"/>
        </w:rPr>
        <w:tab/>
      </w:r>
      <w:r w:rsidRPr="00024B5B">
        <w:rPr>
          <w:rFonts w:ascii="Arial" w:hAnsi="Arial" w:cs="Arial"/>
          <w:sz w:val="22"/>
          <w:szCs w:val="22"/>
        </w:rPr>
        <w:tab/>
      </w:r>
      <w:r w:rsidRPr="00024B5B">
        <w:rPr>
          <w:rFonts w:ascii="Arial" w:hAnsi="Arial" w:cs="Arial"/>
          <w:sz w:val="22"/>
          <w:szCs w:val="22"/>
        </w:rPr>
        <w:tab/>
        <w:t>400 V / 230 V</w:t>
      </w:r>
    </w:p>
    <w:p w14:paraId="3E89F569"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Frekvencia:</w:t>
      </w:r>
      <w:r w:rsidRPr="00024B5B">
        <w:rPr>
          <w:rFonts w:ascii="Arial" w:hAnsi="Arial" w:cs="Arial"/>
          <w:sz w:val="22"/>
          <w:szCs w:val="22"/>
        </w:rPr>
        <w:tab/>
      </w:r>
      <w:r w:rsidRPr="00024B5B">
        <w:rPr>
          <w:rFonts w:ascii="Arial" w:hAnsi="Arial" w:cs="Arial"/>
          <w:sz w:val="22"/>
          <w:szCs w:val="22"/>
        </w:rPr>
        <w:tab/>
      </w:r>
      <w:r w:rsidRPr="00024B5B">
        <w:rPr>
          <w:rFonts w:ascii="Arial" w:hAnsi="Arial" w:cs="Arial"/>
          <w:sz w:val="22"/>
          <w:szCs w:val="22"/>
        </w:rPr>
        <w:tab/>
      </w:r>
      <w:r w:rsidRPr="00024B5B">
        <w:rPr>
          <w:rFonts w:ascii="Arial" w:hAnsi="Arial" w:cs="Arial"/>
          <w:sz w:val="22"/>
          <w:szCs w:val="22"/>
        </w:rPr>
        <w:tab/>
        <w:t>50 Hz</w:t>
      </w:r>
    </w:p>
    <w:p w14:paraId="4D98957C"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Napäťový systém:</w:t>
      </w:r>
      <w:r w:rsidRPr="00024B5B">
        <w:rPr>
          <w:rFonts w:ascii="Arial" w:hAnsi="Arial" w:cs="Arial"/>
          <w:sz w:val="22"/>
          <w:szCs w:val="22"/>
        </w:rPr>
        <w:tab/>
      </w:r>
      <w:r w:rsidRPr="00024B5B">
        <w:rPr>
          <w:rFonts w:ascii="Arial" w:hAnsi="Arial" w:cs="Arial"/>
          <w:sz w:val="22"/>
          <w:szCs w:val="22"/>
        </w:rPr>
        <w:tab/>
      </w:r>
      <w:r w:rsidRPr="00024B5B">
        <w:rPr>
          <w:rFonts w:ascii="Arial" w:hAnsi="Arial" w:cs="Arial"/>
          <w:sz w:val="22"/>
          <w:szCs w:val="22"/>
        </w:rPr>
        <w:tab/>
        <w:t>TN-C</w:t>
      </w:r>
    </w:p>
    <w:p w14:paraId="6A57ABBC" w14:textId="77777777" w:rsidR="005A7555" w:rsidRPr="00024B5B" w:rsidRDefault="005A7555" w:rsidP="005A7555">
      <w:pPr>
        <w:autoSpaceDE w:val="0"/>
        <w:autoSpaceDN w:val="0"/>
        <w:adjustRightInd w:val="0"/>
        <w:jc w:val="both"/>
        <w:rPr>
          <w:rFonts w:ascii="Arial" w:hAnsi="Arial" w:cs="Arial"/>
          <w:b/>
          <w:sz w:val="22"/>
          <w:szCs w:val="22"/>
        </w:rPr>
      </w:pPr>
    </w:p>
    <w:p w14:paraId="5E9EDEEB" w14:textId="1229D832" w:rsidR="005A7555" w:rsidRPr="00024B5B" w:rsidRDefault="005A7555" w:rsidP="005A7555">
      <w:pPr>
        <w:autoSpaceDE w:val="0"/>
        <w:autoSpaceDN w:val="0"/>
        <w:adjustRightInd w:val="0"/>
        <w:jc w:val="both"/>
        <w:rPr>
          <w:rFonts w:ascii="Arial" w:hAnsi="Arial" w:cs="Arial"/>
          <w:b/>
          <w:sz w:val="22"/>
          <w:szCs w:val="22"/>
        </w:rPr>
      </w:pPr>
      <w:r w:rsidRPr="00024B5B">
        <w:rPr>
          <w:rFonts w:ascii="Arial" w:hAnsi="Arial" w:cs="Arial"/>
          <w:b/>
          <w:sz w:val="22"/>
          <w:szCs w:val="22"/>
        </w:rPr>
        <w:t>Základné informácie:</w:t>
      </w:r>
    </w:p>
    <w:p w14:paraId="0FDACA8B"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Typ motora:</w:t>
      </w:r>
      <w:r w:rsidRPr="00024B5B">
        <w:rPr>
          <w:rFonts w:ascii="Arial" w:hAnsi="Arial" w:cs="Arial"/>
          <w:sz w:val="22"/>
          <w:szCs w:val="22"/>
        </w:rPr>
        <w:tab/>
      </w:r>
      <w:r w:rsidRPr="00024B5B">
        <w:rPr>
          <w:rFonts w:ascii="Arial" w:hAnsi="Arial" w:cs="Arial"/>
          <w:sz w:val="22"/>
          <w:szCs w:val="22"/>
        </w:rPr>
        <w:tab/>
      </w:r>
      <w:r w:rsidRPr="00024B5B">
        <w:rPr>
          <w:rFonts w:ascii="Arial" w:hAnsi="Arial" w:cs="Arial"/>
          <w:sz w:val="22"/>
          <w:szCs w:val="22"/>
        </w:rPr>
        <w:tab/>
      </w:r>
      <w:r w:rsidRPr="00024B5B">
        <w:rPr>
          <w:rFonts w:ascii="Arial" w:hAnsi="Arial" w:cs="Arial"/>
          <w:sz w:val="22"/>
          <w:szCs w:val="22"/>
        </w:rPr>
        <w:tab/>
        <w:t>N67TM7 (4-dobý vznetový motor)</w:t>
      </w:r>
    </w:p>
    <w:p w14:paraId="579902EC"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Otáčky:</w:t>
      </w:r>
      <w:r w:rsidRPr="00024B5B">
        <w:rPr>
          <w:rFonts w:ascii="Arial" w:hAnsi="Arial" w:cs="Arial"/>
          <w:sz w:val="22"/>
          <w:szCs w:val="22"/>
        </w:rPr>
        <w:tab/>
      </w:r>
      <w:r w:rsidRPr="00024B5B">
        <w:rPr>
          <w:rFonts w:ascii="Arial" w:hAnsi="Arial" w:cs="Arial"/>
          <w:sz w:val="22"/>
          <w:szCs w:val="22"/>
        </w:rPr>
        <w:tab/>
      </w:r>
      <w:r w:rsidRPr="00024B5B">
        <w:rPr>
          <w:rFonts w:ascii="Arial" w:hAnsi="Arial" w:cs="Arial"/>
          <w:sz w:val="22"/>
          <w:szCs w:val="22"/>
        </w:rPr>
        <w:tab/>
      </w:r>
      <w:r w:rsidRPr="00024B5B">
        <w:rPr>
          <w:rFonts w:ascii="Arial" w:hAnsi="Arial" w:cs="Arial"/>
          <w:sz w:val="22"/>
          <w:szCs w:val="22"/>
        </w:rPr>
        <w:tab/>
        <w:t>1500 min</w:t>
      </w:r>
      <w:r w:rsidRPr="00024B5B">
        <w:rPr>
          <w:rFonts w:ascii="Arial" w:hAnsi="Arial" w:cs="Arial"/>
          <w:sz w:val="22"/>
          <w:szCs w:val="22"/>
          <w:vertAlign w:val="superscript"/>
        </w:rPr>
        <w:t>-1</w:t>
      </w:r>
    </w:p>
    <w:p w14:paraId="2411FC11"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Štandardná kapacita nádrže:</w:t>
      </w:r>
      <w:r w:rsidRPr="00024B5B">
        <w:rPr>
          <w:rFonts w:ascii="Arial" w:hAnsi="Arial" w:cs="Arial"/>
          <w:sz w:val="22"/>
          <w:szCs w:val="22"/>
        </w:rPr>
        <w:tab/>
      </w:r>
      <w:r w:rsidRPr="00024B5B">
        <w:rPr>
          <w:rFonts w:ascii="Arial" w:hAnsi="Arial" w:cs="Arial"/>
          <w:sz w:val="22"/>
          <w:szCs w:val="22"/>
        </w:rPr>
        <w:tab/>
        <w:t>300 l</w:t>
      </w:r>
    </w:p>
    <w:p w14:paraId="60FFD3F8" w14:textId="77777777" w:rsidR="005A7555" w:rsidRPr="005A7555" w:rsidRDefault="005A7555" w:rsidP="005A7555">
      <w:pPr>
        <w:autoSpaceDE w:val="0"/>
        <w:autoSpaceDN w:val="0"/>
        <w:adjustRightInd w:val="0"/>
        <w:jc w:val="both"/>
        <w:rPr>
          <w:rFonts w:ascii="Arial" w:hAnsi="Arial" w:cs="Arial"/>
          <w:color w:val="0070C0"/>
          <w:sz w:val="22"/>
          <w:szCs w:val="22"/>
        </w:rPr>
      </w:pPr>
    </w:p>
    <w:p w14:paraId="5173A8FC" w14:textId="77777777" w:rsidR="005A7555" w:rsidRPr="00024B5B" w:rsidRDefault="005A7555" w:rsidP="005A7555">
      <w:pPr>
        <w:autoSpaceDE w:val="0"/>
        <w:autoSpaceDN w:val="0"/>
        <w:adjustRightInd w:val="0"/>
        <w:jc w:val="both"/>
        <w:rPr>
          <w:rFonts w:ascii="Arial" w:hAnsi="Arial" w:cs="Arial"/>
          <w:b/>
          <w:sz w:val="22"/>
          <w:szCs w:val="22"/>
        </w:rPr>
      </w:pPr>
      <w:r w:rsidRPr="00024B5B">
        <w:rPr>
          <w:rFonts w:ascii="Arial" w:hAnsi="Arial" w:cs="Arial"/>
          <w:b/>
          <w:sz w:val="22"/>
          <w:szCs w:val="22"/>
        </w:rPr>
        <w:t>Podrobné informácie o motore:</w:t>
      </w:r>
    </w:p>
    <w:p w14:paraId="5D26A7DB"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Základný výkon PRP:</w:t>
      </w:r>
      <w:r w:rsidRPr="00024B5B">
        <w:rPr>
          <w:rFonts w:ascii="Arial" w:hAnsi="Arial" w:cs="Arial"/>
          <w:sz w:val="22"/>
          <w:szCs w:val="22"/>
        </w:rPr>
        <w:tab/>
      </w:r>
      <w:r w:rsidRPr="00024B5B">
        <w:rPr>
          <w:rFonts w:ascii="Arial" w:hAnsi="Arial" w:cs="Arial"/>
          <w:sz w:val="22"/>
          <w:szCs w:val="22"/>
        </w:rPr>
        <w:tab/>
      </w:r>
      <w:r w:rsidRPr="00024B5B">
        <w:rPr>
          <w:rFonts w:ascii="Arial" w:hAnsi="Arial" w:cs="Arial"/>
          <w:sz w:val="22"/>
          <w:szCs w:val="22"/>
        </w:rPr>
        <w:tab/>
        <w:t>177 kW</w:t>
      </w:r>
    </w:p>
    <w:p w14:paraId="2F02745F"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Záložný výkon ESP:</w:t>
      </w:r>
      <w:r w:rsidRPr="00024B5B">
        <w:rPr>
          <w:rFonts w:ascii="Arial" w:hAnsi="Arial" w:cs="Arial"/>
          <w:sz w:val="22"/>
          <w:szCs w:val="22"/>
        </w:rPr>
        <w:tab/>
      </w:r>
      <w:r w:rsidRPr="00024B5B">
        <w:rPr>
          <w:rFonts w:ascii="Arial" w:hAnsi="Arial" w:cs="Arial"/>
          <w:sz w:val="22"/>
          <w:szCs w:val="22"/>
        </w:rPr>
        <w:tab/>
      </w:r>
      <w:r w:rsidRPr="00024B5B">
        <w:rPr>
          <w:rFonts w:ascii="Arial" w:hAnsi="Arial" w:cs="Arial"/>
          <w:sz w:val="22"/>
          <w:szCs w:val="22"/>
        </w:rPr>
        <w:tab/>
        <w:t>195 kW</w:t>
      </w:r>
    </w:p>
    <w:p w14:paraId="0C372500"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Zdvihový objem:</w:t>
      </w:r>
      <w:r w:rsidRPr="00024B5B">
        <w:rPr>
          <w:rFonts w:ascii="Arial" w:hAnsi="Arial" w:cs="Arial"/>
          <w:sz w:val="22"/>
          <w:szCs w:val="22"/>
        </w:rPr>
        <w:tab/>
      </w:r>
      <w:r w:rsidRPr="00024B5B">
        <w:rPr>
          <w:rFonts w:ascii="Arial" w:hAnsi="Arial" w:cs="Arial"/>
          <w:sz w:val="22"/>
          <w:szCs w:val="22"/>
        </w:rPr>
        <w:tab/>
      </w:r>
      <w:r w:rsidRPr="00024B5B">
        <w:rPr>
          <w:rFonts w:ascii="Arial" w:hAnsi="Arial" w:cs="Arial"/>
          <w:sz w:val="22"/>
          <w:szCs w:val="22"/>
        </w:rPr>
        <w:tab/>
        <w:t>6,7 dm</w:t>
      </w:r>
      <w:r w:rsidRPr="00024B5B">
        <w:rPr>
          <w:rFonts w:ascii="Arial" w:hAnsi="Arial" w:cs="Arial"/>
          <w:sz w:val="22"/>
          <w:szCs w:val="22"/>
          <w:vertAlign w:val="superscript"/>
        </w:rPr>
        <w:t>3</w:t>
      </w:r>
    </w:p>
    <w:p w14:paraId="3A93253A"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Množstvo vzduchu na sanie:</w:t>
      </w:r>
      <w:r w:rsidRPr="00024B5B">
        <w:rPr>
          <w:rFonts w:ascii="Arial" w:hAnsi="Arial" w:cs="Arial"/>
          <w:sz w:val="22"/>
          <w:szCs w:val="22"/>
        </w:rPr>
        <w:tab/>
      </w:r>
      <w:r w:rsidRPr="00024B5B">
        <w:rPr>
          <w:rFonts w:ascii="Arial" w:hAnsi="Arial" w:cs="Arial"/>
          <w:sz w:val="22"/>
          <w:szCs w:val="22"/>
        </w:rPr>
        <w:tab/>
        <w:t>11,3 m</w:t>
      </w:r>
      <w:r w:rsidRPr="00024B5B">
        <w:rPr>
          <w:rFonts w:ascii="Arial" w:hAnsi="Arial" w:cs="Arial"/>
          <w:sz w:val="22"/>
          <w:szCs w:val="22"/>
          <w:vertAlign w:val="superscript"/>
        </w:rPr>
        <w:t>3</w:t>
      </w:r>
      <w:r w:rsidRPr="00024B5B">
        <w:rPr>
          <w:rFonts w:ascii="Arial" w:hAnsi="Arial" w:cs="Arial"/>
          <w:sz w:val="22"/>
          <w:szCs w:val="22"/>
        </w:rPr>
        <w:t>/min</w:t>
      </w:r>
    </w:p>
    <w:p w14:paraId="3A07ECB3"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Množstvo vzduchu na chladenie:</w:t>
      </w:r>
      <w:r w:rsidRPr="00024B5B">
        <w:rPr>
          <w:rFonts w:ascii="Arial" w:hAnsi="Arial" w:cs="Arial"/>
          <w:sz w:val="22"/>
          <w:szCs w:val="22"/>
        </w:rPr>
        <w:tab/>
        <w:t>180 m</w:t>
      </w:r>
      <w:r w:rsidRPr="00024B5B">
        <w:rPr>
          <w:rFonts w:ascii="Arial" w:hAnsi="Arial" w:cs="Arial"/>
          <w:sz w:val="22"/>
          <w:szCs w:val="22"/>
          <w:vertAlign w:val="superscript"/>
        </w:rPr>
        <w:t>3</w:t>
      </w:r>
      <w:r w:rsidRPr="00024B5B">
        <w:rPr>
          <w:rFonts w:ascii="Arial" w:hAnsi="Arial" w:cs="Arial"/>
          <w:sz w:val="22"/>
          <w:szCs w:val="22"/>
        </w:rPr>
        <w:t>/min</w:t>
      </w:r>
    </w:p>
    <w:p w14:paraId="5D106591"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Množstvo výfukových plynov:</w:t>
      </w:r>
      <w:r w:rsidRPr="00024B5B">
        <w:rPr>
          <w:rFonts w:ascii="Arial" w:hAnsi="Arial" w:cs="Arial"/>
          <w:sz w:val="22"/>
          <w:szCs w:val="22"/>
        </w:rPr>
        <w:tab/>
        <w:t>34 m</w:t>
      </w:r>
      <w:r w:rsidRPr="00024B5B">
        <w:rPr>
          <w:rFonts w:ascii="Arial" w:hAnsi="Arial" w:cs="Arial"/>
          <w:sz w:val="22"/>
          <w:szCs w:val="22"/>
          <w:vertAlign w:val="superscript"/>
        </w:rPr>
        <w:t>3</w:t>
      </w:r>
      <w:r w:rsidRPr="00024B5B">
        <w:rPr>
          <w:rFonts w:ascii="Arial" w:hAnsi="Arial" w:cs="Arial"/>
          <w:sz w:val="22"/>
          <w:szCs w:val="22"/>
        </w:rPr>
        <w:t>/min</w:t>
      </w:r>
    </w:p>
    <w:p w14:paraId="59156402"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Max. teplota výfukových plynov:</w:t>
      </w:r>
      <w:r w:rsidRPr="00024B5B">
        <w:rPr>
          <w:rFonts w:ascii="Arial" w:hAnsi="Arial" w:cs="Arial"/>
          <w:sz w:val="22"/>
          <w:szCs w:val="22"/>
        </w:rPr>
        <w:tab/>
        <w:t>560 °C</w:t>
      </w:r>
    </w:p>
    <w:p w14:paraId="24AA95FE"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Objem oleja v motore:</w:t>
      </w:r>
      <w:r w:rsidRPr="00024B5B">
        <w:rPr>
          <w:rFonts w:ascii="Arial" w:hAnsi="Arial" w:cs="Arial"/>
          <w:sz w:val="22"/>
          <w:szCs w:val="22"/>
        </w:rPr>
        <w:tab/>
      </w:r>
      <w:r w:rsidRPr="00024B5B">
        <w:rPr>
          <w:rFonts w:ascii="Arial" w:hAnsi="Arial" w:cs="Arial"/>
          <w:sz w:val="22"/>
          <w:szCs w:val="22"/>
        </w:rPr>
        <w:tab/>
        <w:t>17 l</w:t>
      </w:r>
    </w:p>
    <w:p w14:paraId="3F48EF04" w14:textId="77777777" w:rsidR="005A7555" w:rsidRPr="00024B5B" w:rsidRDefault="005A7555" w:rsidP="005A7555">
      <w:pPr>
        <w:autoSpaceDE w:val="0"/>
        <w:autoSpaceDN w:val="0"/>
        <w:adjustRightInd w:val="0"/>
        <w:jc w:val="both"/>
        <w:rPr>
          <w:rFonts w:ascii="Arial" w:hAnsi="Arial" w:cs="Arial"/>
          <w:sz w:val="22"/>
          <w:szCs w:val="22"/>
        </w:rPr>
      </w:pPr>
      <w:r w:rsidRPr="00024B5B">
        <w:rPr>
          <w:rFonts w:ascii="Arial" w:hAnsi="Arial" w:cs="Arial"/>
          <w:sz w:val="22"/>
          <w:szCs w:val="22"/>
        </w:rPr>
        <w:t>Objem chladiacej kvapaliny:</w:t>
      </w:r>
      <w:r w:rsidRPr="00024B5B">
        <w:rPr>
          <w:rFonts w:ascii="Arial" w:hAnsi="Arial" w:cs="Arial"/>
          <w:sz w:val="22"/>
          <w:szCs w:val="22"/>
        </w:rPr>
        <w:tab/>
      </w:r>
      <w:r w:rsidRPr="00024B5B">
        <w:rPr>
          <w:rFonts w:ascii="Arial" w:hAnsi="Arial" w:cs="Arial"/>
          <w:sz w:val="22"/>
          <w:szCs w:val="22"/>
        </w:rPr>
        <w:tab/>
        <w:t>26 l</w:t>
      </w:r>
    </w:p>
    <w:p w14:paraId="28F79664" w14:textId="3A766350" w:rsidR="007C2812" w:rsidRDefault="007C2812" w:rsidP="00F26029">
      <w:pPr>
        <w:spacing w:line="276" w:lineRule="auto"/>
        <w:rPr>
          <w:rFonts w:ascii="Arial" w:hAnsi="Arial" w:cs="Arial"/>
          <w:i/>
          <w:iCs/>
          <w:sz w:val="18"/>
          <w:szCs w:val="18"/>
        </w:rPr>
      </w:pPr>
    </w:p>
    <w:p w14:paraId="6ACCC0C9" w14:textId="4C0CDF39" w:rsidR="00394BB0" w:rsidRDefault="00394BB0" w:rsidP="00F26029">
      <w:pPr>
        <w:spacing w:line="276" w:lineRule="auto"/>
        <w:rPr>
          <w:rFonts w:ascii="Arial" w:hAnsi="Arial" w:cs="Arial"/>
          <w:i/>
          <w:iCs/>
          <w:sz w:val="18"/>
          <w:szCs w:val="18"/>
        </w:rPr>
      </w:pPr>
    </w:p>
    <w:p w14:paraId="24DC5F75" w14:textId="3546C580" w:rsidR="00394BB0" w:rsidRDefault="00394BB0" w:rsidP="00F26029">
      <w:pPr>
        <w:spacing w:line="276" w:lineRule="auto"/>
        <w:rPr>
          <w:rFonts w:ascii="Arial" w:hAnsi="Arial" w:cs="Arial"/>
          <w:i/>
          <w:iCs/>
          <w:sz w:val="18"/>
          <w:szCs w:val="18"/>
        </w:rPr>
      </w:pPr>
    </w:p>
    <w:p w14:paraId="4D85AE22" w14:textId="62BA87C6" w:rsidR="00F26029" w:rsidRPr="00F26029" w:rsidRDefault="00F26029" w:rsidP="00F26029">
      <w:pPr>
        <w:spacing w:line="276" w:lineRule="auto"/>
        <w:rPr>
          <w:rFonts w:ascii="Arial" w:hAnsi="Arial" w:cs="Arial"/>
          <w:i/>
          <w:iCs/>
          <w:sz w:val="18"/>
          <w:szCs w:val="18"/>
        </w:rPr>
      </w:pPr>
      <w:r w:rsidRPr="00F26029">
        <w:rPr>
          <w:rFonts w:ascii="Arial" w:hAnsi="Arial" w:cs="Arial"/>
          <w:i/>
          <w:iCs/>
          <w:sz w:val="18"/>
          <w:szCs w:val="18"/>
        </w:rPr>
        <w:lastRenderedPageBreak/>
        <w:t xml:space="preserve">Tab. č. IV.2.2.10: </w:t>
      </w:r>
      <w:r w:rsidR="005A7555" w:rsidRPr="00F26029">
        <w:rPr>
          <w:rFonts w:ascii="Arial" w:hAnsi="Arial" w:cs="Arial"/>
          <w:i/>
          <w:iCs/>
          <w:sz w:val="18"/>
          <w:szCs w:val="18"/>
        </w:rPr>
        <w:t xml:space="preserve">Emisné faktory podľa </w:t>
      </w:r>
      <w:hyperlink r:id="rId65" w:history="1">
        <w:r w:rsidR="005A7555" w:rsidRPr="00F26029">
          <w:rPr>
            <w:i/>
            <w:iCs/>
            <w:sz w:val="18"/>
            <w:szCs w:val="18"/>
          </w:rPr>
          <w:t>https://dieselnet.com/standards/eu/nonroad.php#s3</w:t>
        </w:r>
      </w:hyperlink>
      <w:r w:rsidR="005A7555" w:rsidRPr="00F26029">
        <w:rPr>
          <w:rFonts w:ascii="Arial" w:hAnsi="Arial" w:cs="Arial"/>
          <w:i/>
          <w:iCs/>
          <w:sz w:val="18"/>
          <w:szCs w:val="18"/>
        </w:rPr>
        <w:t xml:space="preserve"> pre</w:t>
      </w:r>
      <w:r w:rsidRPr="00F26029">
        <w:rPr>
          <w:rFonts w:ascii="Arial" w:hAnsi="Arial" w:cs="Arial"/>
          <w:i/>
          <w:iCs/>
          <w:sz w:val="18"/>
          <w:szCs w:val="18"/>
        </w:rPr>
        <w:t xml:space="preserve"> </w:t>
      </w:r>
      <w:r w:rsidR="005A7555" w:rsidRPr="00F26029">
        <w:rPr>
          <w:rFonts w:ascii="Arial" w:hAnsi="Arial" w:cs="Arial"/>
          <w:i/>
          <w:iCs/>
          <w:sz w:val="18"/>
          <w:szCs w:val="18"/>
        </w:rPr>
        <w:t xml:space="preserve">kategóriu </w:t>
      </w:r>
      <w:r w:rsidRPr="00F26029">
        <w:rPr>
          <w:rFonts w:ascii="Arial" w:hAnsi="Arial" w:cs="Arial"/>
          <w:i/>
          <w:iCs/>
          <w:sz w:val="18"/>
          <w:szCs w:val="18"/>
        </w:rPr>
        <w:t xml:space="preserve"> </w:t>
      </w:r>
      <w:r w:rsidR="005A7555" w:rsidRPr="00F26029">
        <w:rPr>
          <w:rFonts w:ascii="Arial" w:hAnsi="Arial" w:cs="Arial"/>
          <w:i/>
          <w:iCs/>
          <w:sz w:val="18"/>
          <w:szCs w:val="18"/>
        </w:rPr>
        <w:t xml:space="preserve">STAGE IIIA </w:t>
      </w:r>
      <w:r w:rsidRPr="00F26029">
        <w:rPr>
          <w:rFonts w:ascii="Arial" w:hAnsi="Arial" w:cs="Arial"/>
          <w:i/>
          <w:iCs/>
          <w:sz w:val="18"/>
          <w:szCs w:val="18"/>
        </w:rPr>
        <w:t xml:space="preserve"> </w:t>
      </w:r>
    </w:p>
    <w:p w14:paraId="53669F47" w14:textId="09278E2B" w:rsidR="005A7555" w:rsidRPr="005A7555" w:rsidRDefault="005A7555" w:rsidP="00F26029">
      <w:pPr>
        <w:spacing w:line="276" w:lineRule="auto"/>
        <w:jc w:val="both"/>
        <w:rPr>
          <w:rFonts w:ascii="Arial" w:hAnsi="Arial" w:cs="Arial"/>
          <w:color w:val="0070C0"/>
          <w:sz w:val="22"/>
          <w:szCs w:val="22"/>
          <w:highlight w:val="yellow"/>
        </w:rPr>
      </w:pPr>
      <w:r w:rsidRPr="005A7555">
        <w:rPr>
          <w:rFonts w:ascii="Arial" w:hAnsi="Arial" w:cs="Arial"/>
          <w:noProof/>
          <w:color w:val="0070C0"/>
          <w:sz w:val="22"/>
          <w:szCs w:val="22"/>
        </w:rPr>
        <w:drawing>
          <wp:inline distT="0" distB="0" distL="0" distR="0" wp14:anchorId="13E81BD4" wp14:editId="4911187D">
            <wp:extent cx="5772701" cy="1913860"/>
            <wp:effectExtent l="0" t="0" r="0" b="0"/>
            <wp:docPr id="42" name="Obrázo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2919" t="22913" r="29335" b="46455"/>
                    <a:stretch/>
                  </pic:blipFill>
                  <pic:spPr bwMode="auto">
                    <a:xfrm>
                      <a:off x="0" y="0"/>
                      <a:ext cx="5817105" cy="1928582"/>
                    </a:xfrm>
                    <a:prstGeom prst="rect">
                      <a:avLst/>
                    </a:prstGeom>
                    <a:ln>
                      <a:noFill/>
                    </a:ln>
                    <a:extLst>
                      <a:ext uri="{53640926-AAD7-44D8-BBD7-CCE9431645EC}">
                        <a14:shadowObscured xmlns:a14="http://schemas.microsoft.com/office/drawing/2010/main"/>
                      </a:ext>
                    </a:extLst>
                  </pic:spPr>
                </pic:pic>
              </a:graphicData>
            </a:graphic>
          </wp:inline>
        </w:drawing>
      </w:r>
    </w:p>
    <w:p w14:paraId="22F950BE" w14:textId="77777777" w:rsidR="005A7555" w:rsidRPr="005A7555" w:rsidRDefault="005A7555" w:rsidP="005A7555">
      <w:pPr>
        <w:spacing w:line="276" w:lineRule="auto"/>
        <w:rPr>
          <w:rFonts w:ascii="Arial" w:hAnsi="Arial" w:cs="Arial"/>
          <w:b/>
          <w:bCs/>
          <w:i/>
          <w:iCs/>
          <w:color w:val="0070C0"/>
          <w:sz w:val="22"/>
          <w:szCs w:val="22"/>
        </w:rPr>
      </w:pPr>
    </w:p>
    <w:p w14:paraId="519B5CB8" w14:textId="152AA708" w:rsidR="005A7555" w:rsidRPr="00DA2BE8" w:rsidRDefault="005A7555" w:rsidP="005A7555">
      <w:pPr>
        <w:spacing w:line="276" w:lineRule="auto"/>
        <w:rPr>
          <w:rFonts w:ascii="Arial" w:hAnsi="Arial" w:cs="Arial"/>
          <w:sz w:val="18"/>
          <w:szCs w:val="18"/>
          <w:highlight w:val="yellow"/>
        </w:rPr>
      </w:pPr>
      <w:r w:rsidRPr="00DA2BE8">
        <w:rPr>
          <w:rFonts w:ascii="Arial" w:hAnsi="Arial" w:cs="Arial"/>
          <w:i/>
          <w:iCs/>
          <w:sz w:val="18"/>
          <w:szCs w:val="18"/>
        </w:rPr>
        <w:t>Tab</w:t>
      </w:r>
      <w:r w:rsidR="00024B5B" w:rsidRPr="00DA2BE8">
        <w:rPr>
          <w:rFonts w:ascii="Arial" w:hAnsi="Arial" w:cs="Arial"/>
          <w:i/>
          <w:iCs/>
          <w:sz w:val="18"/>
          <w:szCs w:val="18"/>
        </w:rPr>
        <w:t xml:space="preserve">. </w:t>
      </w:r>
      <w:r w:rsidR="005E35B4" w:rsidRPr="00DA2BE8">
        <w:rPr>
          <w:rFonts w:ascii="Arial" w:hAnsi="Arial" w:cs="Arial"/>
          <w:sz w:val="18"/>
          <w:szCs w:val="18"/>
        </w:rPr>
        <w:t>č.</w:t>
      </w:r>
      <w:r w:rsidR="00DA2BE8">
        <w:rPr>
          <w:rFonts w:ascii="Arial" w:hAnsi="Arial" w:cs="Arial"/>
          <w:sz w:val="18"/>
          <w:szCs w:val="18"/>
        </w:rPr>
        <w:t xml:space="preserve"> </w:t>
      </w:r>
      <w:r w:rsidR="005E35B4" w:rsidRPr="00DA2BE8">
        <w:rPr>
          <w:rFonts w:ascii="Arial" w:hAnsi="Arial" w:cs="Arial"/>
          <w:sz w:val="18"/>
          <w:szCs w:val="18"/>
        </w:rPr>
        <w:t>IV.2.2.1</w:t>
      </w:r>
      <w:r w:rsidR="00B76BE0">
        <w:rPr>
          <w:rFonts w:ascii="Arial" w:hAnsi="Arial" w:cs="Arial"/>
          <w:sz w:val="18"/>
          <w:szCs w:val="18"/>
        </w:rPr>
        <w:t>1</w:t>
      </w:r>
      <w:r w:rsidRPr="00DA2BE8">
        <w:rPr>
          <w:rFonts w:ascii="Arial" w:hAnsi="Arial" w:cs="Arial"/>
          <w:i/>
          <w:iCs/>
          <w:sz w:val="18"/>
          <w:szCs w:val="18"/>
        </w:rPr>
        <w:t>: Prepočet emisných parametrov</w:t>
      </w:r>
    </w:p>
    <w:tbl>
      <w:tblPr>
        <w:tblStyle w:val="Mriekatabuky"/>
        <w:tblW w:w="0" w:type="auto"/>
        <w:tblLook w:val="04A0" w:firstRow="1" w:lastRow="0" w:firstColumn="1" w:lastColumn="0" w:noHBand="0" w:noVBand="1"/>
      </w:tblPr>
      <w:tblGrid>
        <w:gridCol w:w="1600"/>
        <w:gridCol w:w="1761"/>
        <w:gridCol w:w="1566"/>
        <w:gridCol w:w="1567"/>
        <w:gridCol w:w="1285"/>
        <w:gridCol w:w="1283"/>
      </w:tblGrid>
      <w:tr w:rsidR="00024B5B" w:rsidRPr="00024B5B" w14:paraId="47AC18D7" w14:textId="77777777" w:rsidTr="002F67A9">
        <w:tc>
          <w:tcPr>
            <w:tcW w:w="1668" w:type="dxa"/>
          </w:tcPr>
          <w:p w14:paraId="5040D490" w14:textId="77777777" w:rsidR="005A7555" w:rsidRPr="00024B5B" w:rsidRDefault="005A7555" w:rsidP="002F67A9">
            <w:pPr>
              <w:spacing w:line="276" w:lineRule="auto"/>
              <w:jc w:val="center"/>
              <w:rPr>
                <w:rFonts w:ascii="Arial" w:hAnsi="Arial" w:cs="Arial"/>
                <w:sz w:val="22"/>
                <w:szCs w:val="22"/>
              </w:rPr>
            </w:pPr>
            <w:r w:rsidRPr="00024B5B">
              <w:rPr>
                <w:rFonts w:ascii="Arial" w:hAnsi="Arial" w:cs="Arial"/>
                <w:sz w:val="22"/>
                <w:szCs w:val="22"/>
              </w:rPr>
              <w:t>Zariadenie</w:t>
            </w:r>
          </w:p>
        </w:tc>
        <w:tc>
          <w:tcPr>
            <w:tcW w:w="1946" w:type="dxa"/>
          </w:tcPr>
          <w:p w14:paraId="62276A5B" w14:textId="77777777" w:rsidR="005A7555" w:rsidRPr="00024B5B" w:rsidRDefault="005A7555" w:rsidP="002F67A9">
            <w:pPr>
              <w:spacing w:line="276" w:lineRule="auto"/>
              <w:jc w:val="center"/>
              <w:rPr>
                <w:rFonts w:ascii="Arial" w:hAnsi="Arial" w:cs="Arial"/>
                <w:sz w:val="22"/>
                <w:szCs w:val="22"/>
              </w:rPr>
            </w:pPr>
            <w:r w:rsidRPr="00024B5B">
              <w:rPr>
                <w:rFonts w:ascii="Arial" w:hAnsi="Arial" w:cs="Arial"/>
                <w:sz w:val="22"/>
                <w:szCs w:val="22"/>
              </w:rPr>
              <w:t>Výkon</w:t>
            </w:r>
          </w:p>
        </w:tc>
        <w:tc>
          <w:tcPr>
            <w:tcW w:w="1710" w:type="dxa"/>
          </w:tcPr>
          <w:p w14:paraId="1D28214B" w14:textId="77777777" w:rsidR="005A7555" w:rsidRPr="00024B5B" w:rsidRDefault="005A7555" w:rsidP="002F67A9">
            <w:pPr>
              <w:spacing w:line="276" w:lineRule="auto"/>
              <w:jc w:val="center"/>
              <w:rPr>
                <w:rFonts w:ascii="Arial" w:hAnsi="Arial" w:cs="Arial"/>
                <w:sz w:val="22"/>
                <w:szCs w:val="22"/>
              </w:rPr>
            </w:pPr>
            <w:r w:rsidRPr="00024B5B">
              <w:rPr>
                <w:rFonts w:ascii="Arial" w:hAnsi="Arial" w:cs="Arial"/>
                <w:sz w:val="22"/>
                <w:szCs w:val="22"/>
              </w:rPr>
              <w:t>NOx</w:t>
            </w:r>
          </w:p>
        </w:tc>
        <w:tc>
          <w:tcPr>
            <w:tcW w:w="1711" w:type="dxa"/>
          </w:tcPr>
          <w:p w14:paraId="2791F3DE" w14:textId="77777777" w:rsidR="005A7555" w:rsidRPr="00024B5B" w:rsidRDefault="005A7555" w:rsidP="002F67A9">
            <w:pPr>
              <w:spacing w:line="276" w:lineRule="auto"/>
              <w:jc w:val="center"/>
              <w:rPr>
                <w:rFonts w:ascii="Arial" w:hAnsi="Arial" w:cs="Arial"/>
                <w:sz w:val="22"/>
                <w:szCs w:val="22"/>
              </w:rPr>
            </w:pPr>
            <w:r w:rsidRPr="00024B5B">
              <w:rPr>
                <w:rFonts w:ascii="Arial" w:hAnsi="Arial" w:cs="Arial"/>
                <w:sz w:val="22"/>
                <w:szCs w:val="22"/>
              </w:rPr>
              <w:t>CO</w:t>
            </w:r>
          </w:p>
        </w:tc>
        <w:tc>
          <w:tcPr>
            <w:tcW w:w="1409" w:type="dxa"/>
          </w:tcPr>
          <w:p w14:paraId="25455947" w14:textId="77777777" w:rsidR="005A7555" w:rsidRPr="00024B5B" w:rsidRDefault="005A7555" w:rsidP="002F67A9">
            <w:pPr>
              <w:spacing w:line="276" w:lineRule="auto"/>
              <w:jc w:val="center"/>
              <w:rPr>
                <w:rFonts w:ascii="Arial" w:hAnsi="Arial" w:cs="Arial"/>
                <w:sz w:val="22"/>
                <w:szCs w:val="22"/>
              </w:rPr>
            </w:pPr>
            <w:r w:rsidRPr="00024B5B">
              <w:rPr>
                <w:rFonts w:ascii="Arial" w:hAnsi="Arial" w:cs="Arial"/>
                <w:sz w:val="22"/>
                <w:szCs w:val="22"/>
              </w:rPr>
              <w:t>NOx</w:t>
            </w:r>
          </w:p>
        </w:tc>
        <w:tc>
          <w:tcPr>
            <w:tcW w:w="1409" w:type="dxa"/>
          </w:tcPr>
          <w:p w14:paraId="707EB329" w14:textId="77777777" w:rsidR="005A7555" w:rsidRPr="00024B5B" w:rsidRDefault="005A7555" w:rsidP="002F67A9">
            <w:pPr>
              <w:spacing w:line="276" w:lineRule="auto"/>
              <w:jc w:val="center"/>
              <w:rPr>
                <w:rFonts w:ascii="Arial" w:hAnsi="Arial" w:cs="Arial"/>
                <w:sz w:val="22"/>
                <w:szCs w:val="22"/>
              </w:rPr>
            </w:pPr>
            <w:r w:rsidRPr="00024B5B">
              <w:rPr>
                <w:rFonts w:ascii="Arial" w:hAnsi="Arial" w:cs="Arial"/>
                <w:sz w:val="22"/>
                <w:szCs w:val="22"/>
              </w:rPr>
              <w:t>CO</w:t>
            </w:r>
          </w:p>
        </w:tc>
      </w:tr>
      <w:tr w:rsidR="005A7555" w:rsidRPr="00024B5B" w14:paraId="05986988" w14:textId="77777777" w:rsidTr="002F67A9">
        <w:tc>
          <w:tcPr>
            <w:tcW w:w="1668" w:type="dxa"/>
          </w:tcPr>
          <w:p w14:paraId="3041CE24" w14:textId="77777777" w:rsidR="005A7555" w:rsidRPr="00024B5B" w:rsidRDefault="005A7555" w:rsidP="002F67A9">
            <w:pPr>
              <w:spacing w:line="276" w:lineRule="auto"/>
              <w:jc w:val="center"/>
              <w:rPr>
                <w:rFonts w:ascii="Arial" w:hAnsi="Arial" w:cs="Arial"/>
                <w:sz w:val="22"/>
                <w:szCs w:val="22"/>
              </w:rPr>
            </w:pPr>
            <w:r w:rsidRPr="00024B5B">
              <w:rPr>
                <w:rFonts w:ascii="Arial" w:hAnsi="Arial" w:cs="Arial"/>
                <w:sz w:val="22"/>
                <w:szCs w:val="22"/>
              </w:rPr>
              <w:t xml:space="preserve">DAG  </w:t>
            </w:r>
          </w:p>
        </w:tc>
        <w:tc>
          <w:tcPr>
            <w:tcW w:w="1946" w:type="dxa"/>
          </w:tcPr>
          <w:p w14:paraId="678E1357" w14:textId="77777777" w:rsidR="005A7555" w:rsidRPr="00024B5B" w:rsidRDefault="005A7555" w:rsidP="002F67A9">
            <w:pPr>
              <w:spacing w:line="276" w:lineRule="auto"/>
              <w:jc w:val="center"/>
              <w:rPr>
                <w:rFonts w:ascii="Arial" w:hAnsi="Arial" w:cs="Arial"/>
                <w:sz w:val="22"/>
                <w:szCs w:val="22"/>
              </w:rPr>
            </w:pPr>
            <w:r w:rsidRPr="00024B5B">
              <w:rPr>
                <w:rFonts w:ascii="Arial" w:hAnsi="Arial" w:cs="Arial"/>
                <w:sz w:val="22"/>
                <w:szCs w:val="22"/>
              </w:rPr>
              <w:t>195 kW</w:t>
            </w:r>
          </w:p>
        </w:tc>
        <w:tc>
          <w:tcPr>
            <w:tcW w:w="1710" w:type="dxa"/>
          </w:tcPr>
          <w:p w14:paraId="5088EFC2" w14:textId="77777777" w:rsidR="005A7555" w:rsidRPr="00024B5B" w:rsidRDefault="005A7555" w:rsidP="002F67A9">
            <w:pPr>
              <w:spacing w:line="276" w:lineRule="auto"/>
              <w:jc w:val="center"/>
              <w:rPr>
                <w:rFonts w:ascii="Arial" w:hAnsi="Arial" w:cs="Arial"/>
                <w:sz w:val="22"/>
                <w:szCs w:val="22"/>
              </w:rPr>
            </w:pPr>
            <w:r w:rsidRPr="00024B5B">
              <w:rPr>
                <w:rFonts w:ascii="Arial" w:hAnsi="Arial" w:cs="Arial"/>
                <w:sz w:val="22"/>
                <w:szCs w:val="22"/>
              </w:rPr>
              <w:t>4 g/kWh</w:t>
            </w:r>
          </w:p>
        </w:tc>
        <w:tc>
          <w:tcPr>
            <w:tcW w:w="1711" w:type="dxa"/>
          </w:tcPr>
          <w:p w14:paraId="3062C8AF" w14:textId="77777777" w:rsidR="005A7555" w:rsidRPr="00024B5B" w:rsidRDefault="005A7555" w:rsidP="002F67A9">
            <w:pPr>
              <w:spacing w:line="276" w:lineRule="auto"/>
              <w:jc w:val="center"/>
              <w:rPr>
                <w:rFonts w:ascii="Arial" w:hAnsi="Arial" w:cs="Arial"/>
                <w:sz w:val="22"/>
                <w:szCs w:val="22"/>
              </w:rPr>
            </w:pPr>
            <w:r w:rsidRPr="00024B5B">
              <w:rPr>
                <w:rFonts w:ascii="Arial" w:hAnsi="Arial" w:cs="Arial"/>
                <w:sz w:val="22"/>
                <w:szCs w:val="22"/>
              </w:rPr>
              <w:t>3,5 g/kWh</w:t>
            </w:r>
          </w:p>
        </w:tc>
        <w:tc>
          <w:tcPr>
            <w:tcW w:w="1409" w:type="dxa"/>
          </w:tcPr>
          <w:p w14:paraId="58B9A7EE" w14:textId="77777777" w:rsidR="005A7555" w:rsidRPr="00024B5B" w:rsidRDefault="005A7555" w:rsidP="002F67A9">
            <w:pPr>
              <w:spacing w:line="276" w:lineRule="auto"/>
              <w:jc w:val="center"/>
              <w:rPr>
                <w:rFonts w:ascii="Arial" w:hAnsi="Arial" w:cs="Arial"/>
                <w:sz w:val="22"/>
                <w:szCs w:val="22"/>
              </w:rPr>
            </w:pPr>
            <w:r w:rsidRPr="00024B5B">
              <w:rPr>
                <w:rFonts w:ascii="Arial" w:hAnsi="Arial" w:cs="Arial"/>
                <w:sz w:val="22"/>
                <w:szCs w:val="22"/>
              </w:rPr>
              <w:t>0,22 g/s</w:t>
            </w:r>
          </w:p>
        </w:tc>
        <w:tc>
          <w:tcPr>
            <w:tcW w:w="1409" w:type="dxa"/>
          </w:tcPr>
          <w:p w14:paraId="656C44CD" w14:textId="77777777" w:rsidR="005A7555" w:rsidRPr="00024B5B" w:rsidRDefault="005A7555" w:rsidP="002F67A9">
            <w:pPr>
              <w:spacing w:line="276" w:lineRule="auto"/>
              <w:jc w:val="center"/>
              <w:rPr>
                <w:rFonts w:ascii="Arial" w:hAnsi="Arial" w:cs="Arial"/>
                <w:sz w:val="22"/>
                <w:szCs w:val="22"/>
              </w:rPr>
            </w:pPr>
            <w:r w:rsidRPr="00024B5B">
              <w:rPr>
                <w:rFonts w:ascii="Arial" w:hAnsi="Arial" w:cs="Arial"/>
                <w:sz w:val="22"/>
                <w:szCs w:val="22"/>
              </w:rPr>
              <w:t>0,19 g/s</w:t>
            </w:r>
          </w:p>
        </w:tc>
      </w:tr>
    </w:tbl>
    <w:p w14:paraId="43153FF4" w14:textId="77777777" w:rsidR="005A7555" w:rsidRPr="00024B5B" w:rsidRDefault="005A7555" w:rsidP="005A7555">
      <w:pPr>
        <w:spacing w:line="276" w:lineRule="auto"/>
        <w:jc w:val="center"/>
        <w:rPr>
          <w:rFonts w:ascii="Arial" w:hAnsi="Arial" w:cs="Arial"/>
          <w:sz w:val="22"/>
          <w:szCs w:val="22"/>
        </w:rPr>
      </w:pPr>
    </w:p>
    <w:p w14:paraId="21433A4D" w14:textId="7BFF9892" w:rsidR="005A7555" w:rsidRPr="00024B5B" w:rsidRDefault="005A7555" w:rsidP="001A2F9B">
      <w:pPr>
        <w:pStyle w:val="A-Text11"/>
      </w:pPr>
      <w:r w:rsidRPr="00024B5B">
        <w:t>Pre určenie podielu NO</w:t>
      </w:r>
      <w:r w:rsidRPr="00C527A5">
        <w:rPr>
          <w:vertAlign w:val="subscript"/>
        </w:rPr>
        <w:t>2</w:t>
      </w:r>
      <w:r w:rsidRPr="00024B5B">
        <w:t xml:space="preserve"> v celkovom NOx </w:t>
      </w:r>
      <w:r w:rsidR="007C2812">
        <w:t>sa vychádzalo</w:t>
      </w:r>
      <w:r w:rsidRPr="00024B5B">
        <w:t xml:space="preserve"> z údajov uvedených v obdobných riešených projektoch a z údajov z internej databázy spoločnosti VALERON Enviro Consulting s.r.o. Na základe spomenutého je možné konštatovať, že NO2 tvorí 6% objemového podielu, resp. 9,5% hmotnostného podielu. Emisia uvažovaná pre výpočet teda bude:</w:t>
      </w:r>
    </w:p>
    <w:p w14:paraId="133B4D71" w14:textId="77777777" w:rsidR="005A7555" w:rsidRPr="00024B5B" w:rsidRDefault="005A7555" w:rsidP="0095439F">
      <w:pPr>
        <w:pStyle w:val="Odsekzoznamu"/>
        <w:numPr>
          <w:ilvl w:val="0"/>
          <w:numId w:val="30"/>
        </w:numPr>
        <w:spacing w:line="276" w:lineRule="auto"/>
        <w:rPr>
          <w:rFonts w:ascii="Arial" w:hAnsi="Arial" w:cs="Arial"/>
          <w:sz w:val="22"/>
          <w:szCs w:val="22"/>
        </w:rPr>
      </w:pPr>
      <w:r w:rsidRPr="00024B5B">
        <w:rPr>
          <w:rFonts w:ascii="Arial" w:hAnsi="Arial" w:cs="Arial"/>
          <w:sz w:val="22"/>
          <w:szCs w:val="22"/>
        </w:rPr>
        <w:t>0,0209 g/s - NO</w:t>
      </w:r>
      <w:r w:rsidRPr="00024B5B">
        <w:rPr>
          <w:rFonts w:ascii="Arial" w:hAnsi="Arial" w:cs="Arial"/>
          <w:sz w:val="22"/>
          <w:szCs w:val="22"/>
          <w:vertAlign w:val="subscript"/>
        </w:rPr>
        <w:t xml:space="preserve">2 </w:t>
      </w:r>
    </w:p>
    <w:p w14:paraId="6516A318" w14:textId="6591D17A" w:rsidR="005A7555" w:rsidRPr="00024B5B" w:rsidRDefault="005A7555" w:rsidP="0095439F">
      <w:pPr>
        <w:pStyle w:val="Odsekzoznamu"/>
        <w:numPr>
          <w:ilvl w:val="0"/>
          <w:numId w:val="30"/>
        </w:numPr>
        <w:spacing w:line="276" w:lineRule="auto"/>
        <w:rPr>
          <w:rFonts w:ascii="Arial" w:hAnsi="Arial" w:cs="Arial"/>
          <w:sz w:val="22"/>
          <w:szCs w:val="22"/>
        </w:rPr>
      </w:pPr>
      <w:r w:rsidRPr="00024B5B">
        <w:rPr>
          <w:rFonts w:ascii="Arial" w:hAnsi="Arial" w:cs="Arial"/>
          <w:sz w:val="22"/>
          <w:szCs w:val="22"/>
        </w:rPr>
        <w:t xml:space="preserve">0,19 g/s – CO </w:t>
      </w:r>
    </w:p>
    <w:p w14:paraId="608FAD2E" w14:textId="60F10828" w:rsidR="005A7555" w:rsidRPr="00024B5B" w:rsidRDefault="005A7555" w:rsidP="00024B5B">
      <w:pPr>
        <w:spacing w:before="120"/>
        <w:rPr>
          <w:rFonts w:ascii="Arial" w:eastAsia="ArialMT" w:hAnsi="Arial" w:cs="Arial"/>
          <w:sz w:val="22"/>
          <w:szCs w:val="22"/>
        </w:rPr>
      </w:pPr>
      <w:r w:rsidRPr="00024B5B">
        <w:rPr>
          <w:rFonts w:ascii="Arial" w:eastAsia="ArialMT" w:hAnsi="Arial" w:cs="Arial"/>
          <w:sz w:val="22"/>
          <w:szCs w:val="22"/>
        </w:rPr>
        <w:t xml:space="preserve">VARIANT </w:t>
      </w:r>
      <w:r w:rsidR="00587C54">
        <w:rPr>
          <w:rFonts w:ascii="Arial" w:eastAsia="ArialMT" w:hAnsi="Arial" w:cs="Arial"/>
          <w:sz w:val="22"/>
          <w:szCs w:val="22"/>
        </w:rPr>
        <w:t>č.</w:t>
      </w:r>
      <w:r w:rsidRPr="00024B5B">
        <w:rPr>
          <w:rFonts w:ascii="Arial" w:eastAsia="ArialMT" w:hAnsi="Arial" w:cs="Arial"/>
          <w:sz w:val="22"/>
          <w:szCs w:val="22"/>
        </w:rPr>
        <w:t>2</w:t>
      </w:r>
    </w:p>
    <w:p w14:paraId="589C1047" w14:textId="77777777" w:rsidR="005A7555" w:rsidRPr="00024B5B" w:rsidRDefault="005A7555" w:rsidP="001A2F9B">
      <w:pPr>
        <w:pStyle w:val="A-Text11"/>
      </w:pPr>
      <w:r w:rsidRPr="00024B5B">
        <w:t xml:space="preserve">Zálohované napájanie VZT podzemnej garáže bude zabezpečovať </w:t>
      </w:r>
      <w:r w:rsidRPr="00024B5B">
        <w:rPr>
          <w:b/>
          <w:bCs/>
        </w:rPr>
        <w:t xml:space="preserve">UPS batériový zdroj – </w:t>
      </w:r>
      <w:r w:rsidRPr="00024B5B">
        <w:t>tento nie je zdrojom znečisťovania ovzdušia, preto nie je jeho vplyv ďalej posudzovaný.</w:t>
      </w:r>
    </w:p>
    <w:p w14:paraId="479C896F" w14:textId="307BAEA7" w:rsidR="005A7555" w:rsidRPr="00024B5B" w:rsidRDefault="005A7555" w:rsidP="001A2F9B">
      <w:pPr>
        <w:pStyle w:val="A-Text11"/>
        <w:rPr>
          <w:noProof/>
          <w:highlight w:val="yellow"/>
        </w:rPr>
      </w:pPr>
      <w:r w:rsidRPr="00024B5B">
        <w:rPr>
          <w:lang w:eastAsia="ar-SA"/>
        </w:rPr>
        <w:t>Z údajov bol následne vyhodnotený stav imisného zaťaženia v riešenom území po realizácii navrhovaného projektu  vrátane kumulatívneho  vplyvu ostatných zdrojov.</w:t>
      </w:r>
    </w:p>
    <w:p w14:paraId="4AEC64A9" w14:textId="68FF4EB9" w:rsidR="00E65CA9" w:rsidRPr="00F00095" w:rsidRDefault="00E65CA9" w:rsidP="00FA6773">
      <w:pPr>
        <w:pStyle w:val="A-Text11"/>
        <w:ind w:firstLine="0"/>
        <w:rPr>
          <w:b/>
          <w:i/>
        </w:rPr>
      </w:pPr>
      <w:bookmarkStart w:id="266" w:name="_Toc395894095"/>
      <w:bookmarkStart w:id="267" w:name="_Toc403849687"/>
      <w:bookmarkStart w:id="268" w:name="_Toc417141528"/>
      <w:bookmarkStart w:id="269" w:name="_Toc417142364"/>
      <w:r w:rsidRPr="00F00095">
        <w:rPr>
          <w:b/>
          <w:i/>
        </w:rPr>
        <w:t>Zdroje znečistenia vôd</w:t>
      </w:r>
      <w:bookmarkEnd w:id="266"/>
      <w:bookmarkEnd w:id="267"/>
      <w:bookmarkEnd w:id="268"/>
      <w:bookmarkEnd w:id="269"/>
    </w:p>
    <w:p w14:paraId="69DE8E92" w14:textId="36173AC4" w:rsidR="00E65CA9" w:rsidRPr="00F00095" w:rsidRDefault="00E65CA9" w:rsidP="001A2F9B">
      <w:pPr>
        <w:pStyle w:val="A-Text11"/>
        <w:rPr>
          <w:bCs/>
          <w:szCs w:val="24"/>
        </w:rPr>
      </w:pPr>
      <w:r w:rsidRPr="00F00095">
        <w:rPr>
          <w:bCs/>
          <w:szCs w:val="24"/>
        </w:rPr>
        <w:t xml:space="preserve">Zdrojom znečisťovania vôd je voda z povrchového odtoku – (dažďová voda) zo striech a spevnených plôch  a splašková voda. </w:t>
      </w:r>
    </w:p>
    <w:p w14:paraId="793A5C76" w14:textId="77C07D5C" w:rsidR="00196CD3" w:rsidRDefault="00246BDA" w:rsidP="001A2F9B">
      <w:pPr>
        <w:pStyle w:val="A-Text11"/>
      </w:pPr>
      <w:r w:rsidRPr="00F00095">
        <w:t>V</w:t>
      </w:r>
      <w:r w:rsidR="00196CD3" w:rsidRPr="00F00095">
        <w:t xml:space="preserve">ody z povrchového odtoku zo spevnených plôch a zo striech budú odvádzané nepriamo do podzemných vôd vsakovaním. Pred spracovaním realizačného projektu je potrebné overiť v mieste navrhovaných vsakovaní filtračný koeficient čerpacím pokusom. </w:t>
      </w:r>
      <w:r w:rsidRPr="00F00095">
        <w:t>Podrobnejš</w:t>
      </w:r>
      <w:r w:rsidR="00C5401C" w:rsidRPr="00F00095">
        <w:t>í opis  riešenia viď kapitolu II.8</w:t>
      </w:r>
      <w:r w:rsidR="00F00095" w:rsidRPr="00F00095">
        <w:t>.2.</w:t>
      </w:r>
    </w:p>
    <w:p w14:paraId="60490747" w14:textId="401A9B28" w:rsidR="008F3C25" w:rsidRPr="00B5310D" w:rsidRDefault="00FA6773" w:rsidP="001A2F9B">
      <w:pPr>
        <w:pStyle w:val="A-Text11"/>
      </w:pPr>
      <w:r w:rsidRPr="00B5310D">
        <w:t xml:space="preserve">Splašková kanalizácia </w:t>
      </w:r>
    </w:p>
    <w:p w14:paraId="52EE67F2" w14:textId="420DD100" w:rsidR="008F3C25" w:rsidRDefault="008F3C25" w:rsidP="008F3C25">
      <w:pPr>
        <w:pStyle w:val="A-Text11"/>
        <w:rPr>
          <w:lang w:eastAsia="ar-SA"/>
        </w:rPr>
      </w:pPr>
      <w:r w:rsidRPr="00B5310D">
        <w:rPr>
          <w:lang w:eastAsia="ar-SA"/>
        </w:rPr>
        <w:t>V lokalite sa nachádza tiež verejná splašková kanalizácia DN300 na ulici Banšelov</w:t>
      </w:r>
      <w:r w:rsidR="007C2812" w:rsidRPr="00B5310D">
        <w:rPr>
          <w:lang w:eastAsia="ar-SA"/>
        </w:rPr>
        <w:t>a</w:t>
      </w:r>
      <w:r w:rsidRPr="00B5310D">
        <w:rPr>
          <w:lang w:eastAsia="ar-SA"/>
        </w:rPr>
        <w:t xml:space="preserve">. V najvhodnejšom mieste navrhujem vyhotoviť novú vetvu kanalizácie smerom na ulicu Terchovská. Následne sa vyhotoví hlavná revízna šachta na pozemku investora a pripojí sa na revíznu šachtu na ulici Terchovská. </w:t>
      </w:r>
    </w:p>
    <w:p w14:paraId="550EC4F8" w14:textId="77777777" w:rsidR="00695723" w:rsidRPr="00B7343C" w:rsidRDefault="00695723" w:rsidP="00695723">
      <w:pPr>
        <w:pStyle w:val="A-Text11"/>
        <w:spacing w:line="240" w:lineRule="auto"/>
      </w:pPr>
      <w:r w:rsidRPr="00B7343C">
        <w:t xml:space="preserve">Prevádzkové kvapaliny (motorová nafta, chladiaca zmes, olej) sú znečisťujúcimi látkami v zmysle zákona o vodách č. 364/2004 Z.z.  a uplatňuje sa k nim najmä vyhláška č. 200/2018 Z.z.  Na umiestnenie dieselagregátu je potrebný aj súhlas orgánu štátnej vodnej správy podľa §27 vodného zákona. </w:t>
      </w:r>
    </w:p>
    <w:p w14:paraId="1F1685DF" w14:textId="1F06F4EA" w:rsidR="008F3C25" w:rsidRPr="00B5310D" w:rsidRDefault="008F3C25" w:rsidP="008F3C25">
      <w:pPr>
        <w:pStyle w:val="A-Text11"/>
        <w:rPr>
          <w:lang w:eastAsia="ar-SA"/>
        </w:rPr>
      </w:pPr>
      <w:r w:rsidRPr="00B5310D">
        <w:rPr>
          <w:lang w:eastAsia="ar-SA"/>
        </w:rPr>
        <w:lastRenderedPageBreak/>
        <w:t>Navrhuje</w:t>
      </w:r>
      <w:r w:rsidR="00695723">
        <w:rPr>
          <w:lang w:eastAsia="ar-SA"/>
        </w:rPr>
        <w:t xml:space="preserve"> sa </w:t>
      </w:r>
      <w:r w:rsidRPr="00B5310D">
        <w:rPr>
          <w:lang w:eastAsia="ar-SA"/>
        </w:rPr>
        <w:t xml:space="preserve"> vyhotoviť novú vetvu areálovej kanalizácie po areáli investora tak, aby boli pripojiteľné všetky stavebné objekty na splaškovú kanalizáciu.</w:t>
      </w:r>
      <w:r w:rsidR="002D33A6">
        <w:rPr>
          <w:lang w:eastAsia="ar-SA"/>
        </w:rPr>
        <w:t xml:space="preserve"> </w:t>
      </w:r>
      <w:r w:rsidR="00DB2DF1">
        <w:rPr>
          <w:lang w:eastAsia="ar-SA"/>
        </w:rPr>
        <w:t xml:space="preserve">Objem splaškových vôd  sa predpokladá </w:t>
      </w:r>
      <w:r w:rsidR="00EB5C11">
        <w:rPr>
          <w:lang w:eastAsia="ar-SA"/>
        </w:rPr>
        <w:t xml:space="preserve">rovný objemu potreby pitnej vody. </w:t>
      </w:r>
    </w:p>
    <w:p w14:paraId="18E5EC8E" w14:textId="77777777" w:rsidR="008F3C25" w:rsidRPr="00B5310D" w:rsidRDefault="008F3C25" w:rsidP="00B5310D">
      <w:pPr>
        <w:spacing w:before="120"/>
        <w:ind w:firstLine="425"/>
        <w:rPr>
          <w:rFonts w:ascii="Arial" w:hAnsi="Arial" w:cs="Arial"/>
          <w:sz w:val="22"/>
          <w:szCs w:val="22"/>
        </w:rPr>
      </w:pPr>
      <w:r w:rsidRPr="00B5310D">
        <w:rPr>
          <w:rFonts w:ascii="Arial" w:hAnsi="Arial" w:cs="Arial"/>
          <w:sz w:val="22"/>
          <w:szCs w:val="22"/>
        </w:rPr>
        <w:t>Bilancie potreby vody sú priamo úmerné splaškovej vode</w:t>
      </w:r>
    </w:p>
    <w:p w14:paraId="47B0D482" w14:textId="77777777" w:rsidR="008F3C25" w:rsidRPr="00B5310D" w:rsidRDefault="008F3C25" w:rsidP="008F3C25">
      <w:pPr>
        <w:spacing w:line="276" w:lineRule="auto"/>
        <w:rPr>
          <w:rFonts w:ascii="Arial" w:hAnsi="Arial" w:cs="Arial"/>
          <w:b/>
          <w:bCs/>
          <w:sz w:val="22"/>
          <w:szCs w:val="22"/>
        </w:rPr>
      </w:pPr>
      <w:r w:rsidRPr="00B5310D">
        <w:rPr>
          <w:rFonts w:ascii="Arial" w:hAnsi="Arial" w:cs="Arial"/>
          <w:b/>
          <w:bCs/>
          <w:sz w:val="22"/>
          <w:szCs w:val="22"/>
        </w:rPr>
        <w:t>Výpočet potreby vody v zmysle vyhlášky 684/2006 z.z.:</w:t>
      </w:r>
    </w:p>
    <w:p w14:paraId="65D55FA8" w14:textId="77777777" w:rsidR="008F3C25" w:rsidRPr="00B5310D" w:rsidRDefault="008F3C25" w:rsidP="008F3C25">
      <w:pPr>
        <w:spacing w:line="276" w:lineRule="auto"/>
        <w:rPr>
          <w:rFonts w:ascii="Arial" w:hAnsi="Arial" w:cs="Arial"/>
          <w:sz w:val="22"/>
          <w:szCs w:val="22"/>
          <w:u w:val="single"/>
        </w:rPr>
      </w:pPr>
      <w:r w:rsidRPr="00B5310D">
        <w:rPr>
          <w:rFonts w:ascii="Arial" w:hAnsi="Arial" w:cs="Arial"/>
          <w:sz w:val="22"/>
          <w:szCs w:val="22"/>
          <w:u w:val="single"/>
        </w:rPr>
        <w:t>1.,  Priemerná denná potreba vody : QP</w:t>
      </w:r>
    </w:p>
    <w:p w14:paraId="45C3A778" w14:textId="77777777" w:rsidR="008F3C25" w:rsidRPr="00B5310D" w:rsidRDefault="008F3C25" w:rsidP="008F3C25">
      <w:pPr>
        <w:spacing w:line="276" w:lineRule="auto"/>
        <w:rPr>
          <w:rFonts w:ascii="Arial" w:hAnsi="Arial" w:cs="Arial"/>
          <w:sz w:val="22"/>
          <w:szCs w:val="22"/>
        </w:rPr>
      </w:pPr>
      <w:r w:rsidRPr="00B5310D">
        <w:rPr>
          <w:rFonts w:ascii="Arial" w:hAnsi="Arial" w:cs="Arial"/>
          <w:sz w:val="22"/>
          <w:szCs w:val="22"/>
        </w:rPr>
        <w:tab/>
        <w:t>QP = q x n = 145 x 299 = 43 355 l/deň = 0,502 l/s</w:t>
      </w:r>
    </w:p>
    <w:p w14:paraId="7DFC6E99" w14:textId="77777777" w:rsidR="008F3C25" w:rsidRPr="00B5310D" w:rsidRDefault="008F3C25" w:rsidP="008F3C25">
      <w:pPr>
        <w:spacing w:line="276" w:lineRule="auto"/>
        <w:ind w:firstLine="708"/>
        <w:rPr>
          <w:rFonts w:ascii="Arial" w:hAnsi="Arial" w:cs="Arial"/>
          <w:sz w:val="22"/>
          <w:szCs w:val="22"/>
        </w:rPr>
      </w:pPr>
      <w:r w:rsidRPr="00B5310D">
        <w:rPr>
          <w:rFonts w:ascii="Arial" w:hAnsi="Arial" w:cs="Arial"/>
          <w:sz w:val="22"/>
          <w:szCs w:val="22"/>
        </w:rPr>
        <w:t>kde: q =145 l/osoba*deň, je priemerná špecifická potreba vody pre byty ústredným ohrevom)</w:t>
      </w:r>
    </w:p>
    <w:p w14:paraId="582BD2C6" w14:textId="77777777" w:rsidR="008F3C25" w:rsidRPr="00B5310D" w:rsidRDefault="008F3C25" w:rsidP="008F3C25">
      <w:pPr>
        <w:spacing w:line="276" w:lineRule="auto"/>
        <w:rPr>
          <w:rFonts w:ascii="Arial" w:hAnsi="Arial" w:cs="Arial"/>
          <w:sz w:val="22"/>
          <w:szCs w:val="22"/>
        </w:rPr>
      </w:pPr>
      <w:r w:rsidRPr="00B5310D">
        <w:rPr>
          <w:rFonts w:ascii="Arial" w:hAnsi="Arial" w:cs="Arial"/>
          <w:sz w:val="22"/>
          <w:szCs w:val="22"/>
        </w:rPr>
        <w:t>Priemerná potreba teplej vody- 40%: QPT</w:t>
      </w:r>
    </w:p>
    <w:p w14:paraId="2441E50D" w14:textId="77777777" w:rsidR="008F3C25" w:rsidRPr="00B5310D" w:rsidRDefault="008F3C25" w:rsidP="008F3C25">
      <w:pPr>
        <w:spacing w:line="276" w:lineRule="auto"/>
        <w:rPr>
          <w:rFonts w:ascii="Arial" w:hAnsi="Arial" w:cs="Arial"/>
          <w:sz w:val="22"/>
          <w:szCs w:val="22"/>
        </w:rPr>
      </w:pPr>
      <w:r w:rsidRPr="00B5310D">
        <w:rPr>
          <w:rFonts w:ascii="Arial" w:hAnsi="Arial" w:cs="Arial"/>
          <w:sz w:val="22"/>
          <w:szCs w:val="22"/>
        </w:rPr>
        <w:tab/>
        <w:t>QPT = QP x 0,4 = 43 355 x 0,4 = 17 342 l/deň = 0,201 l/s</w:t>
      </w:r>
    </w:p>
    <w:p w14:paraId="0EFCE583" w14:textId="77777777" w:rsidR="008F3C25" w:rsidRPr="00B5310D" w:rsidRDefault="008F3C25" w:rsidP="008F3C25">
      <w:pPr>
        <w:spacing w:line="276" w:lineRule="auto"/>
        <w:rPr>
          <w:rFonts w:ascii="Arial" w:hAnsi="Arial" w:cs="Arial"/>
          <w:sz w:val="22"/>
          <w:szCs w:val="22"/>
          <w:u w:val="single"/>
        </w:rPr>
      </w:pPr>
      <w:r w:rsidRPr="00B5310D">
        <w:rPr>
          <w:rFonts w:ascii="Arial" w:hAnsi="Arial" w:cs="Arial"/>
          <w:sz w:val="22"/>
          <w:szCs w:val="22"/>
          <w:u w:val="single"/>
        </w:rPr>
        <w:t>2., Maximálna denná potreba vody : QM</w:t>
      </w:r>
    </w:p>
    <w:p w14:paraId="16FD9880" w14:textId="77777777" w:rsidR="008F3C25" w:rsidRPr="00B5310D" w:rsidRDefault="008F3C25" w:rsidP="008F3C25">
      <w:pPr>
        <w:spacing w:line="276" w:lineRule="auto"/>
        <w:rPr>
          <w:rFonts w:ascii="Arial" w:hAnsi="Arial" w:cs="Arial"/>
          <w:sz w:val="22"/>
          <w:szCs w:val="22"/>
        </w:rPr>
      </w:pPr>
      <w:r w:rsidRPr="00B5310D">
        <w:rPr>
          <w:rFonts w:ascii="Arial" w:hAnsi="Arial" w:cs="Arial"/>
          <w:sz w:val="22"/>
          <w:szCs w:val="22"/>
        </w:rPr>
        <w:tab/>
        <w:t>QM = QP x kD = 43 355 x 1,2 = 52 026  l/deň = 0,602 l/s</w:t>
      </w:r>
    </w:p>
    <w:p w14:paraId="19D02C09" w14:textId="77777777" w:rsidR="008F3C25" w:rsidRPr="00B5310D" w:rsidRDefault="008F3C25" w:rsidP="008F3C25">
      <w:pPr>
        <w:spacing w:line="276" w:lineRule="auto"/>
        <w:rPr>
          <w:rFonts w:ascii="Arial" w:hAnsi="Arial" w:cs="Arial"/>
          <w:sz w:val="22"/>
          <w:szCs w:val="22"/>
        </w:rPr>
      </w:pPr>
      <w:r w:rsidRPr="00B5310D">
        <w:rPr>
          <w:rFonts w:ascii="Arial" w:hAnsi="Arial" w:cs="Arial"/>
          <w:sz w:val="22"/>
          <w:szCs w:val="22"/>
        </w:rPr>
        <w:tab/>
      </w:r>
      <w:r w:rsidRPr="00B5310D">
        <w:rPr>
          <w:rFonts w:ascii="Arial" w:hAnsi="Arial" w:cs="Arial"/>
          <w:sz w:val="22"/>
          <w:szCs w:val="22"/>
        </w:rPr>
        <w:tab/>
        <w:t>kde : kD = 1,2   je súčiniteľ dennej nerovnomernosti (nad 100 000 obyvateľov)</w:t>
      </w:r>
    </w:p>
    <w:p w14:paraId="62361E53" w14:textId="77777777" w:rsidR="008F3C25" w:rsidRPr="00B5310D" w:rsidRDefault="008F3C25" w:rsidP="008F3C25">
      <w:pPr>
        <w:spacing w:line="276" w:lineRule="auto"/>
        <w:rPr>
          <w:rFonts w:ascii="Arial" w:hAnsi="Arial" w:cs="Arial"/>
          <w:sz w:val="22"/>
          <w:szCs w:val="22"/>
          <w:u w:val="single"/>
        </w:rPr>
      </w:pPr>
      <w:r w:rsidRPr="00B5310D">
        <w:rPr>
          <w:rFonts w:ascii="Arial" w:hAnsi="Arial" w:cs="Arial"/>
          <w:sz w:val="22"/>
          <w:szCs w:val="22"/>
          <w:u w:val="single"/>
        </w:rPr>
        <w:t>3., Maximálna hodinová potreba vody : QH</w:t>
      </w:r>
    </w:p>
    <w:p w14:paraId="513633D0" w14:textId="77777777" w:rsidR="008F3C25" w:rsidRPr="00B5310D" w:rsidRDefault="008F3C25" w:rsidP="008F3C25">
      <w:pPr>
        <w:spacing w:line="276" w:lineRule="auto"/>
        <w:rPr>
          <w:rFonts w:ascii="Arial" w:hAnsi="Arial" w:cs="Arial"/>
          <w:sz w:val="22"/>
          <w:szCs w:val="22"/>
        </w:rPr>
      </w:pPr>
      <w:r w:rsidRPr="00B5310D">
        <w:rPr>
          <w:rFonts w:ascii="Arial" w:hAnsi="Arial" w:cs="Arial"/>
          <w:sz w:val="22"/>
          <w:szCs w:val="22"/>
        </w:rPr>
        <w:tab/>
        <w:t>QH =(QM x kH) / h = (52 026 x 2,1) / 24 = 4 552  l/hod = 1,265 l/s</w:t>
      </w:r>
    </w:p>
    <w:p w14:paraId="276E8E5A" w14:textId="77777777" w:rsidR="008F3C25" w:rsidRPr="00B5310D" w:rsidRDefault="008F3C25" w:rsidP="008F3C25">
      <w:pPr>
        <w:spacing w:line="276" w:lineRule="auto"/>
        <w:rPr>
          <w:rFonts w:ascii="Arial" w:hAnsi="Arial" w:cs="Arial"/>
          <w:sz w:val="22"/>
          <w:szCs w:val="22"/>
        </w:rPr>
      </w:pPr>
    </w:p>
    <w:p w14:paraId="604895E7" w14:textId="77777777" w:rsidR="008F3C25" w:rsidRPr="00B5310D" w:rsidRDefault="008F3C25" w:rsidP="008F3C25">
      <w:pPr>
        <w:spacing w:line="276" w:lineRule="auto"/>
        <w:rPr>
          <w:rFonts w:ascii="Arial" w:hAnsi="Arial" w:cs="Arial"/>
          <w:sz w:val="22"/>
          <w:szCs w:val="22"/>
        </w:rPr>
      </w:pPr>
      <w:r w:rsidRPr="00B5310D">
        <w:rPr>
          <w:rFonts w:ascii="Arial" w:hAnsi="Arial" w:cs="Arial"/>
          <w:sz w:val="22"/>
          <w:szCs w:val="22"/>
        </w:rPr>
        <w:t>Maximálna hodinová potreba teplej vody- 40%: QPTH</w:t>
      </w:r>
    </w:p>
    <w:p w14:paraId="5BAB96E2" w14:textId="77777777" w:rsidR="008F3C25" w:rsidRPr="00B5310D" w:rsidRDefault="008F3C25" w:rsidP="008F3C25">
      <w:pPr>
        <w:spacing w:line="276" w:lineRule="auto"/>
        <w:rPr>
          <w:rFonts w:ascii="Arial" w:hAnsi="Arial" w:cs="Arial"/>
          <w:sz w:val="22"/>
          <w:szCs w:val="22"/>
        </w:rPr>
      </w:pPr>
      <w:r w:rsidRPr="00B5310D">
        <w:rPr>
          <w:rFonts w:ascii="Arial" w:hAnsi="Arial" w:cs="Arial"/>
          <w:sz w:val="22"/>
          <w:szCs w:val="22"/>
        </w:rPr>
        <w:tab/>
        <w:t>QPTH = QH x 0,4 = 4 553 x 0,4 =  1 821  l/hod = 0,506 l/s</w:t>
      </w:r>
    </w:p>
    <w:p w14:paraId="60C83F61" w14:textId="77777777" w:rsidR="008F3C25" w:rsidRPr="00B5310D" w:rsidRDefault="008F3C25" w:rsidP="008F3C25">
      <w:pPr>
        <w:spacing w:line="276" w:lineRule="auto"/>
        <w:ind w:left="708" w:firstLine="708"/>
        <w:rPr>
          <w:rFonts w:ascii="Arial" w:hAnsi="Arial" w:cs="Arial"/>
          <w:sz w:val="22"/>
          <w:szCs w:val="22"/>
        </w:rPr>
      </w:pPr>
      <w:r w:rsidRPr="00B5310D">
        <w:rPr>
          <w:rFonts w:ascii="Arial" w:hAnsi="Arial" w:cs="Arial"/>
          <w:sz w:val="22"/>
          <w:szCs w:val="22"/>
        </w:rPr>
        <w:t xml:space="preserve">kde : </w:t>
      </w:r>
      <w:r w:rsidRPr="00B5310D">
        <w:rPr>
          <w:rFonts w:ascii="Arial" w:hAnsi="Arial" w:cs="Arial"/>
          <w:sz w:val="22"/>
          <w:szCs w:val="22"/>
        </w:rPr>
        <w:tab/>
        <w:t>kD = 1,2   je súčiniteľ dennej nerovnomernosti</w:t>
      </w:r>
    </w:p>
    <w:p w14:paraId="7D345FED" w14:textId="77777777" w:rsidR="008F3C25" w:rsidRPr="00B5310D" w:rsidRDefault="008F3C25" w:rsidP="008F3C25">
      <w:pPr>
        <w:spacing w:line="276" w:lineRule="auto"/>
        <w:ind w:left="708" w:firstLine="708"/>
        <w:rPr>
          <w:rFonts w:ascii="Arial" w:hAnsi="Arial" w:cs="Arial"/>
          <w:sz w:val="22"/>
          <w:szCs w:val="22"/>
        </w:rPr>
      </w:pPr>
      <w:r w:rsidRPr="00B5310D">
        <w:rPr>
          <w:rFonts w:ascii="Arial" w:hAnsi="Arial" w:cs="Arial"/>
          <w:sz w:val="22"/>
          <w:szCs w:val="22"/>
        </w:rPr>
        <w:t>kH = 2,1   je súčiniteľ hodinovej nerovnomernosti</w:t>
      </w:r>
    </w:p>
    <w:p w14:paraId="5D50F252" w14:textId="77777777" w:rsidR="008F3C25" w:rsidRPr="00B5310D" w:rsidRDefault="008F3C25" w:rsidP="008F3C25">
      <w:pPr>
        <w:spacing w:line="276" w:lineRule="auto"/>
        <w:ind w:left="708" w:firstLine="708"/>
        <w:rPr>
          <w:rFonts w:ascii="Arial" w:hAnsi="Arial" w:cs="Arial"/>
          <w:sz w:val="22"/>
          <w:szCs w:val="22"/>
        </w:rPr>
      </w:pPr>
      <w:r w:rsidRPr="00B5310D">
        <w:rPr>
          <w:rFonts w:ascii="Arial" w:hAnsi="Arial" w:cs="Arial"/>
          <w:sz w:val="22"/>
          <w:szCs w:val="22"/>
        </w:rPr>
        <w:t>h   = 24    je počet hodín za deň</w:t>
      </w:r>
    </w:p>
    <w:p w14:paraId="056D0AEF" w14:textId="77777777" w:rsidR="008F3C25" w:rsidRPr="00B5310D" w:rsidRDefault="008F3C25" w:rsidP="008F3C25">
      <w:pPr>
        <w:spacing w:line="276" w:lineRule="auto"/>
        <w:rPr>
          <w:rFonts w:ascii="Arial" w:hAnsi="Arial" w:cs="Arial"/>
          <w:sz w:val="22"/>
          <w:szCs w:val="22"/>
          <w:u w:val="single"/>
        </w:rPr>
      </w:pPr>
      <w:r w:rsidRPr="00B5310D">
        <w:rPr>
          <w:rFonts w:ascii="Arial" w:hAnsi="Arial" w:cs="Arial"/>
          <w:sz w:val="22"/>
          <w:szCs w:val="22"/>
          <w:u w:val="single"/>
        </w:rPr>
        <w:t>4., Ročná potreba vody: QR</w:t>
      </w:r>
    </w:p>
    <w:p w14:paraId="43492FD1" w14:textId="77777777" w:rsidR="008F3C25" w:rsidRPr="00B5310D" w:rsidRDefault="008F3C25" w:rsidP="008F3C25">
      <w:pPr>
        <w:spacing w:line="276" w:lineRule="auto"/>
        <w:rPr>
          <w:rFonts w:ascii="Arial" w:hAnsi="Arial" w:cs="Arial"/>
          <w:sz w:val="22"/>
          <w:szCs w:val="22"/>
        </w:rPr>
      </w:pPr>
      <w:r w:rsidRPr="00B5310D">
        <w:rPr>
          <w:rFonts w:ascii="Arial" w:hAnsi="Arial" w:cs="Arial"/>
          <w:sz w:val="22"/>
          <w:szCs w:val="22"/>
        </w:rPr>
        <w:tab/>
        <w:t>QR =(QP x d) = (43 355 x 365)= 15 824 575 l/rok = 15 824,58 m3/rok</w:t>
      </w:r>
    </w:p>
    <w:p w14:paraId="69BC3938" w14:textId="515DAA40" w:rsidR="008F3C25" w:rsidRPr="00B5310D" w:rsidRDefault="008F3C25" w:rsidP="008F3C25">
      <w:pPr>
        <w:spacing w:line="276" w:lineRule="auto"/>
        <w:ind w:firstLine="708"/>
        <w:rPr>
          <w:rFonts w:ascii="Arial" w:hAnsi="Arial" w:cs="Arial"/>
          <w:sz w:val="22"/>
          <w:szCs w:val="22"/>
        </w:rPr>
      </w:pPr>
      <w:r w:rsidRPr="00B5310D">
        <w:rPr>
          <w:rFonts w:ascii="Arial" w:hAnsi="Arial" w:cs="Arial"/>
          <w:sz w:val="22"/>
          <w:szCs w:val="22"/>
        </w:rPr>
        <w:t xml:space="preserve">kde : </w:t>
      </w:r>
      <w:r w:rsidRPr="00B5310D">
        <w:rPr>
          <w:rFonts w:ascii="Arial" w:hAnsi="Arial" w:cs="Arial"/>
          <w:sz w:val="22"/>
          <w:szCs w:val="22"/>
        </w:rPr>
        <w:tab/>
        <w:t>d= 365 sú pracovné dni alebo dni používania budovy</w:t>
      </w:r>
    </w:p>
    <w:p w14:paraId="56B4F898" w14:textId="0BA4549D" w:rsidR="00FA6773" w:rsidRPr="00B5310D" w:rsidRDefault="00FA6773" w:rsidP="00FA6773">
      <w:pPr>
        <w:pStyle w:val="A-Text11"/>
        <w:rPr>
          <w:lang w:eastAsia="ar-SA"/>
        </w:rPr>
      </w:pPr>
      <w:r w:rsidRPr="00B5310D">
        <w:rPr>
          <w:lang w:eastAsia="ar-SA"/>
        </w:rPr>
        <w:t>Dažďová kanalizácia</w:t>
      </w:r>
    </w:p>
    <w:p w14:paraId="77B1C5B8" w14:textId="43AECE8E" w:rsidR="00FA6773" w:rsidRPr="00B5310D" w:rsidRDefault="00FA6773" w:rsidP="00FA6773">
      <w:pPr>
        <w:pStyle w:val="A-Text11"/>
        <w:rPr>
          <w:lang w:eastAsia="ar-SA"/>
        </w:rPr>
      </w:pPr>
      <w:r w:rsidRPr="00B5310D">
        <w:rPr>
          <w:lang w:eastAsia="ar-SA"/>
        </w:rPr>
        <w:t xml:space="preserve">Odvádzanie dažďových vôd zo striech bude zabezpečené pomocou dažďovej areálovej kanalizácie do plošných vsakov umiestnených na pozemku. Pred zaústením kanalizácie do vsaku bude osadená revízna filtračná šachta. </w:t>
      </w:r>
    </w:p>
    <w:p w14:paraId="79FB1043" w14:textId="77777777" w:rsidR="00FA6773" w:rsidRPr="00B5310D" w:rsidRDefault="00FA6773" w:rsidP="00FA6773">
      <w:pPr>
        <w:pStyle w:val="A-Text11"/>
        <w:rPr>
          <w:lang w:eastAsia="ar-SA"/>
        </w:rPr>
      </w:pPr>
      <w:r w:rsidRPr="00B5310D">
        <w:rPr>
          <w:lang w:eastAsia="ar-SA"/>
        </w:rPr>
        <w:t xml:space="preserve">Pri uvažovaných parametroch odvodňovanej plochy pre jeden vsak, s uvažovaným 20 ročným-15 minútovým dažďom je orientačná veľkosť vsakovacích zariadení je pre: </w:t>
      </w:r>
    </w:p>
    <w:p w14:paraId="2FABD440" w14:textId="77777777" w:rsidR="00FA6773" w:rsidRPr="00B5310D" w:rsidRDefault="00FA6773" w:rsidP="00FA6773">
      <w:pPr>
        <w:pStyle w:val="A-Text11"/>
        <w:rPr>
          <w:lang w:eastAsia="ar-SA"/>
        </w:rPr>
      </w:pPr>
      <w:r w:rsidRPr="00B5310D">
        <w:rPr>
          <w:lang w:eastAsia="ar-SA"/>
        </w:rPr>
        <w:t>VSB1= 1,8x9,0x1,8 m ( pričom jeden blok sa uvažuje o veľkosti 0,6x0,6x0,6m)</w:t>
      </w:r>
    </w:p>
    <w:p w14:paraId="6DFA631B" w14:textId="77777777" w:rsidR="00FA6773" w:rsidRPr="00B5310D" w:rsidRDefault="00FA6773" w:rsidP="00FA6773">
      <w:pPr>
        <w:pStyle w:val="A-Text11"/>
        <w:rPr>
          <w:lang w:eastAsia="ar-SA"/>
        </w:rPr>
      </w:pPr>
      <w:r w:rsidRPr="00B5310D">
        <w:rPr>
          <w:lang w:eastAsia="ar-SA"/>
        </w:rPr>
        <w:t>VSB2= 1,8x4,8x1,2 m ( pričom jeden blok sa uvažuje o veľkosti 0,6x0,6x0,6m)</w:t>
      </w:r>
    </w:p>
    <w:p w14:paraId="39B8E411" w14:textId="06C2A78B" w:rsidR="00FA6773" w:rsidRPr="00B5310D" w:rsidRDefault="00FA6773" w:rsidP="00FA6773">
      <w:pPr>
        <w:pStyle w:val="A-Text11"/>
        <w:rPr>
          <w:lang w:eastAsia="ar-SA"/>
        </w:rPr>
      </w:pPr>
      <w:r w:rsidRPr="00B5310D">
        <w:rPr>
          <w:lang w:eastAsia="ar-SA"/>
        </w:rPr>
        <w:t xml:space="preserve"> Podzemné parkovacie plochy budú odvodňované pomocou vyparovacích žľabov, alebo pomocou vyspádovania suterénu vedené do žľabov a jímok. V podzemnom parkovacom priestore sa neuvažuje s výskytom vody, preto bude navrhnuté ORL pre potreby vypúšťania čistiaceho vozidla parkoviska. Čistiace vozidlo by malo byť navrhnuté tak, aby jeho výkon pokryl plochu parkoviska cca 2900 m2.  Priemerne </w:t>
      </w:r>
      <w:r w:rsidR="00CE3338" w:rsidRPr="00B5310D">
        <w:rPr>
          <w:lang w:eastAsia="ar-SA"/>
        </w:rPr>
        <w:t>čistiace</w:t>
      </w:r>
      <w:r w:rsidRPr="00B5310D">
        <w:rPr>
          <w:lang w:eastAsia="ar-SA"/>
        </w:rPr>
        <w:t xml:space="preserve"> vozidlo s plošným výkonom 3150 m</w:t>
      </w:r>
      <w:r w:rsidRPr="00CE3338">
        <w:rPr>
          <w:vertAlign w:val="superscript"/>
          <w:lang w:eastAsia="ar-SA"/>
        </w:rPr>
        <w:t>2</w:t>
      </w:r>
      <w:r w:rsidRPr="00B5310D">
        <w:rPr>
          <w:lang w:eastAsia="ar-SA"/>
        </w:rPr>
        <w:t>/hod  má objem špinavej vody 110 litrov (0,00028 l/s). ORL je uvažované ako železobetónové s prietokom 3 l/s. s výstupnou hodnotou vyčistenej vody z ORL do 0,1 mg/l NEL. ORL pokrýva potrebu prečistenia odpadovej vody z čistiaceho vozidla.</w:t>
      </w:r>
    </w:p>
    <w:p w14:paraId="1D03587B" w14:textId="61F3A667" w:rsidR="00B76BE0" w:rsidRPr="00B5310D" w:rsidRDefault="00FA6773" w:rsidP="00B5310D">
      <w:pPr>
        <w:pStyle w:val="A-Text11"/>
        <w:spacing w:after="120" w:line="240" w:lineRule="auto"/>
        <w:ind w:firstLine="425"/>
        <w:rPr>
          <w:lang w:eastAsia="ar-SA"/>
        </w:rPr>
      </w:pPr>
      <w:r w:rsidRPr="00B5310D">
        <w:rPr>
          <w:lang w:eastAsia="ar-SA"/>
        </w:rPr>
        <w:t xml:space="preserve">Spevnené plochy budú odvodnené pomocou priesaku cez škáry v dlažbe. Verejné komunikačné plochy budú odvodnené do okolitých vsakovacích zelených pásov vyspádovaním telesa cesty tak, aby bol zabezpečený plynulý odtok vôd. Pre chodníky sa </w:t>
      </w:r>
      <w:r w:rsidRPr="00B5310D">
        <w:rPr>
          <w:lang w:eastAsia="ar-SA"/>
        </w:rPr>
        <w:lastRenderedPageBreak/>
        <w:t>navrhuje podklad z drveného kameniva bez cementovej stabilizácie s možnosťou priesaku zrážkových vôd do podložia cez škáry –zámková dlažba.</w:t>
      </w:r>
    </w:p>
    <w:p w14:paraId="56866426" w14:textId="34EBC493" w:rsidR="00F26029" w:rsidRPr="00B5310D" w:rsidRDefault="00F26029" w:rsidP="00B76BE0">
      <w:pPr>
        <w:spacing w:line="276" w:lineRule="auto"/>
        <w:rPr>
          <w:rFonts w:ascii="Arial" w:hAnsi="Arial" w:cs="Arial"/>
          <w:i/>
          <w:iCs/>
          <w:sz w:val="18"/>
          <w:szCs w:val="18"/>
        </w:rPr>
      </w:pPr>
      <w:r w:rsidRPr="00B5310D">
        <w:rPr>
          <w:rFonts w:ascii="Arial" w:hAnsi="Arial" w:cs="Arial"/>
          <w:i/>
          <w:iCs/>
          <w:sz w:val="18"/>
          <w:szCs w:val="18"/>
        </w:rPr>
        <w:t>Tab. IV.2.2.1</w:t>
      </w:r>
      <w:r w:rsidR="00B76BE0" w:rsidRPr="00B5310D">
        <w:rPr>
          <w:rFonts w:ascii="Arial" w:hAnsi="Arial" w:cs="Arial"/>
          <w:i/>
          <w:iCs/>
          <w:sz w:val="18"/>
          <w:szCs w:val="18"/>
        </w:rPr>
        <w:t>2</w:t>
      </w:r>
      <w:r w:rsidRPr="00B5310D">
        <w:rPr>
          <w:rFonts w:ascii="Arial" w:hAnsi="Arial" w:cs="Arial"/>
          <w:i/>
          <w:iCs/>
          <w:sz w:val="18"/>
          <w:szCs w:val="18"/>
        </w:rPr>
        <w:t xml:space="preserve"> Bilancie pre celý objekt</w:t>
      </w:r>
    </w:p>
    <w:p w14:paraId="3B9888D7" w14:textId="04DFE605" w:rsidR="00F26029" w:rsidRPr="00B5310D" w:rsidRDefault="00F26029" w:rsidP="00F26029">
      <w:pPr>
        <w:pStyle w:val="A-Text11"/>
        <w:ind w:firstLine="0"/>
        <w:jc w:val="center"/>
        <w:rPr>
          <w:lang w:eastAsia="ar-SA"/>
        </w:rPr>
      </w:pPr>
      <w:r w:rsidRPr="00B5310D">
        <w:rPr>
          <w:noProof/>
        </w:rPr>
        <w:drawing>
          <wp:inline distT="0" distB="0" distL="0" distR="0" wp14:anchorId="1C880F15" wp14:editId="2AB76B1E">
            <wp:extent cx="5372100" cy="1850390"/>
            <wp:effectExtent l="0" t="0" r="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ok 4"/>
                    <pic:cNvPicPr>
                      <a:picLocks noChangeAspect="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72100" cy="1850390"/>
                    </a:xfrm>
                    <a:prstGeom prst="rect">
                      <a:avLst/>
                    </a:prstGeom>
                    <a:noFill/>
                    <a:ln>
                      <a:noFill/>
                    </a:ln>
                  </pic:spPr>
                </pic:pic>
              </a:graphicData>
            </a:graphic>
          </wp:inline>
        </w:drawing>
      </w:r>
    </w:p>
    <w:p w14:paraId="69827850" w14:textId="24661657" w:rsidR="00FA6773" w:rsidRPr="00B5310D" w:rsidRDefault="00F26029" w:rsidP="00B76BE0">
      <w:pPr>
        <w:spacing w:line="276" w:lineRule="auto"/>
        <w:rPr>
          <w:rFonts w:ascii="Arial" w:hAnsi="Arial" w:cs="Arial"/>
          <w:i/>
          <w:iCs/>
          <w:sz w:val="18"/>
          <w:szCs w:val="18"/>
        </w:rPr>
      </w:pPr>
      <w:bookmarkStart w:id="270" w:name="_Toc395894096"/>
      <w:bookmarkStart w:id="271" w:name="_Toc403849688"/>
      <w:bookmarkStart w:id="272" w:name="_Toc417141529"/>
      <w:bookmarkStart w:id="273" w:name="_Toc417142365"/>
      <w:r w:rsidRPr="00B5310D">
        <w:rPr>
          <w:rFonts w:ascii="Arial" w:hAnsi="Arial" w:cs="Arial"/>
          <w:i/>
          <w:iCs/>
          <w:sz w:val="18"/>
          <w:szCs w:val="18"/>
        </w:rPr>
        <w:t>Tab. IV.2.2.12 Bilancie pre rozdelenie na dva vsakovacie objekty: VSB 1</w:t>
      </w:r>
    </w:p>
    <w:p w14:paraId="48D61EDD" w14:textId="39F879DA" w:rsidR="00B76BE0" w:rsidRPr="00B5310D" w:rsidRDefault="00B76BE0" w:rsidP="00B76BE0">
      <w:pPr>
        <w:pStyle w:val="A-Text11"/>
        <w:ind w:firstLine="0"/>
        <w:rPr>
          <w:b/>
          <w:i/>
        </w:rPr>
      </w:pPr>
      <w:r w:rsidRPr="00B5310D">
        <w:rPr>
          <w:noProof/>
        </w:rPr>
        <w:drawing>
          <wp:inline distT="0" distB="0" distL="0" distR="0" wp14:anchorId="39CD8CCE" wp14:editId="6F31B456">
            <wp:extent cx="5760720" cy="1519555"/>
            <wp:effectExtent l="0" t="0" r="0" b="4445"/>
            <wp:docPr id="3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ok 1"/>
                    <pic:cNvPicPr>
                      <a:picLocks noChangeAspect="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519555"/>
                    </a:xfrm>
                    <a:prstGeom prst="rect">
                      <a:avLst/>
                    </a:prstGeom>
                    <a:noFill/>
                    <a:ln>
                      <a:noFill/>
                    </a:ln>
                  </pic:spPr>
                </pic:pic>
              </a:graphicData>
            </a:graphic>
          </wp:inline>
        </w:drawing>
      </w:r>
    </w:p>
    <w:p w14:paraId="615A0692" w14:textId="77777777" w:rsidR="00EB5C11" w:rsidRDefault="00EB5C11" w:rsidP="00B76BE0">
      <w:pPr>
        <w:spacing w:line="276" w:lineRule="auto"/>
        <w:rPr>
          <w:rFonts w:ascii="Arial" w:hAnsi="Arial" w:cs="Arial"/>
          <w:i/>
          <w:iCs/>
          <w:sz w:val="18"/>
          <w:szCs w:val="18"/>
        </w:rPr>
      </w:pPr>
    </w:p>
    <w:p w14:paraId="57124DCB" w14:textId="79197993" w:rsidR="00FA6773" w:rsidRPr="00B5310D" w:rsidRDefault="00B76BE0" w:rsidP="00B76BE0">
      <w:pPr>
        <w:spacing w:line="276" w:lineRule="auto"/>
        <w:rPr>
          <w:rFonts w:ascii="Arial" w:hAnsi="Arial" w:cs="Arial"/>
          <w:i/>
          <w:iCs/>
          <w:sz w:val="18"/>
          <w:szCs w:val="18"/>
        </w:rPr>
      </w:pPr>
      <w:r w:rsidRPr="00B5310D">
        <w:rPr>
          <w:rFonts w:ascii="Arial" w:hAnsi="Arial" w:cs="Arial"/>
          <w:i/>
          <w:iCs/>
          <w:sz w:val="18"/>
          <w:szCs w:val="18"/>
        </w:rPr>
        <w:t>Tab. IV.2.2.13 Bilancie pre rozdelenie na dva vsakovacie objekty: VSB 2</w:t>
      </w:r>
    </w:p>
    <w:p w14:paraId="334C6941" w14:textId="05BCCBC9" w:rsidR="00B76BE0" w:rsidRPr="00B5310D" w:rsidRDefault="00B76BE0" w:rsidP="00B76BE0">
      <w:pPr>
        <w:spacing w:line="276" w:lineRule="auto"/>
        <w:rPr>
          <w:rFonts w:ascii="Arial" w:hAnsi="Arial" w:cs="Arial"/>
          <w:i/>
          <w:iCs/>
          <w:sz w:val="18"/>
          <w:szCs w:val="18"/>
        </w:rPr>
      </w:pPr>
      <w:r w:rsidRPr="00B5310D">
        <w:rPr>
          <w:noProof/>
        </w:rPr>
        <w:drawing>
          <wp:inline distT="0" distB="0" distL="0" distR="0" wp14:anchorId="36E29EC2" wp14:editId="70C4B2E0">
            <wp:extent cx="5760720" cy="1386840"/>
            <wp:effectExtent l="0" t="0" r="0" b="3810"/>
            <wp:docPr id="35"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ok 2"/>
                    <pic:cNvPicPr>
                      <a:picLocks noChangeAspect="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60720" cy="1386840"/>
                    </a:xfrm>
                    <a:prstGeom prst="rect">
                      <a:avLst/>
                    </a:prstGeom>
                    <a:noFill/>
                    <a:ln>
                      <a:noFill/>
                    </a:ln>
                  </pic:spPr>
                </pic:pic>
              </a:graphicData>
            </a:graphic>
          </wp:inline>
        </w:drawing>
      </w:r>
    </w:p>
    <w:p w14:paraId="1A105574" w14:textId="20F27D24" w:rsidR="00E65CA9" w:rsidRDefault="00E65CA9" w:rsidP="001A2F9B">
      <w:pPr>
        <w:pStyle w:val="A-Text11"/>
        <w:rPr>
          <w:b/>
          <w:i/>
        </w:rPr>
      </w:pPr>
      <w:r w:rsidRPr="00F00095">
        <w:rPr>
          <w:b/>
          <w:i/>
        </w:rPr>
        <w:t>Nakladanie s</w:t>
      </w:r>
      <w:r w:rsidR="0086284B">
        <w:rPr>
          <w:b/>
          <w:i/>
        </w:rPr>
        <w:t> </w:t>
      </w:r>
      <w:r w:rsidRPr="00F00095">
        <w:rPr>
          <w:b/>
          <w:i/>
        </w:rPr>
        <w:t>odpadmi</w:t>
      </w:r>
      <w:bookmarkEnd w:id="270"/>
      <w:bookmarkEnd w:id="271"/>
      <w:bookmarkEnd w:id="272"/>
      <w:bookmarkEnd w:id="273"/>
    </w:p>
    <w:p w14:paraId="6C259FF8" w14:textId="77777777" w:rsidR="0086284B" w:rsidRPr="00AE7B2F" w:rsidRDefault="0086284B" w:rsidP="0086284B">
      <w:pPr>
        <w:pStyle w:val="A-Text11"/>
      </w:pPr>
      <w:r w:rsidRPr="00AE7B2F">
        <w:t>Pre bytový dom sú v dotknutom území v oblasti upokojenej Terchovskej ulice navrhnuté tri kontajnerové stanovištia, v ktorých je umiestnených spolu 12 kontajnerov o kapacite 1100l a 2 nádoby o kapacite 240l. Rozmiestnenie kontajnerov zodpovedá kapacitným požiadavkám v rámci jednotlivých segmentov triedeného odpadu, a to ako celku, tak aj na jednotlivých miestach.</w:t>
      </w:r>
    </w:p>
    <w:p w14:paraId="3F1E527F" w14:textId="77777777" w:rsidR="0086284B" w:rsidRPr="00AE7B2F" w:rsidRDefault="0086284B" w:rsidP="0086284B">
      <w:pPr>
        <w:pStyle w:val="A-Text11"/>
        <w:rPr>
          <w:bCs/>
          <w:i/>
          <w:iCs/>
        </w:rPr>
      </w:pPr>
      <w:r w:rsidRPr="00AE7B2F">
        <w:rPr>
          <w:bCs/>
          <w:i/>
          <w:iCs/>
        </w:rPr>
        <w:t>Výpočet</w:t>
      </w:r>
    </w:p>
    <w:p w14:paraId="094F9CFE" w14:textId="5664130A" w:rsidR="0086284B" w:rsidRPr="00AE7B2F" w:rsidRDefault="0086284B" w:rsidP="0086284B">
      <w:pPr>
        <w:pStyle w:val="A-Text11"/>
      </w:pPr>
      <w:r w:rsidRPr="00AE7B2F">
        <w:t>Bytový d</w:t>
      </w:r>
      <w:r w:rsidR="00C16CE4" w:rsidRPr="00AE7B2F">
        <w:t>o</w:t>
      </w:r>
      <w:r w:rsidRPr="00AE7B2F">
        <w:t>m Terchovská - predpoklad celkom 299 osôb</w:t>
      </w:r>
    </w:p>
    <w:p w14:paraId="0FED888B" w14:textId="77777777" w:rsidR="00394BB0" w:rsidRDefault="00394BB0" w:rsidP="0086284B">
      <w:pPr>
        <w:pStyle w:val="A-Text11"/>
      </w:pPr>
    </w:p>
    <w:p w14:paraId="01DD6C09" w14:textId="5982F493" w:rsidR="0086284B" w:rsidRPr="00AE7B2F" w:rsidRDefault="0086284B" w:rsidP="0086284B">
      <w:pPr>
        <w:pStyle w:val="A-Text11"/>
      </w:pPr>
      <w:r w:rsidRPr="00AE7B2F">
        <w:t>Komunálny odpad:</w:t>
      </w:r>
    </w:p>
    <w:p w14:paraId="26863EEE" w14:textId="300BAD0B" w:rsidR="0086284B" w:rsidRPr="00AE7B2F" w:rsidRDefault="0022747E" w:rsidP="0086284B">
      <w:pPr>
        <w:pStyle w:val="A-Text11"/>
      </w:pPr>
      <w:r w:rsidRPr="00AE7B2F">
        <w:t>podľa</w:t>
      </w:r>
      <w:r w:rsidR="0086284B" w:rsidRPr="00AE7B2F">
        <w:t xml:space="preserve"> VZN - 30 os</w:t>
      </w:r>
      <w:r w:rsidRPr="00AE7B2F">
        <w:t>ô</w:t>
      </w:r>
      <w:r w:rsidR="0086284B" w:rsidRPr="00AE7B2F">
        <w:t xml:space="preserve">b / 1100 l / 1x </w:t>
      </w:r>
      <w:r w:rsidRPr="00AE7B2F">
        <w:t>týždenne</w:t>
      </w:r>
    </w:p>
    <w:p w14:paraId="07290A02" w14:textId="6F7405F3" w:rsidR="0086284B" w:rsidRPr="00AE7B2F" w:rsidRDefault="0086284B" w:rsidP="0086284B">
      <w:pPr>
        <w:pStyle w:val="A-Text11"/>
      </w:pPr>
      <w:r w:rsidRPr="00AE7B2F">
        <w:lastRenderedPageBreak/>
        <w:t>299 os</w:t>
      </w:r>
      <w:r w:rsidR="0022747E" w:rsidRPr="00AE7B2F">
        <w:t>ô</w:t>
      </w:r>
      <w:r w:rsidRPr="00AE7B2F">
        <w:t xml:space="preserve">b = 4,98 nádoby / 1100 l / 2x </w:t>
      </w:r>
      <w:r w:rsidR="0022747E" w:rsidRPr="00AE7B2F">
        <w:t>týždenne</w:t>
      </w:r>
    </w:p>
    <w:p w14:paraId="4C71952A" w14:textId="03CDEE71" w:rsidR="0086284B" w:rsidRPr="00AE7B2F" w:rsidRDefault="0086284B" w:rsidP="0086284B">
      <w:pPr>
        <w:pStyle w:val="A-Text11"/>
      </w:pPr>
      <w:r w:rsidRPr="00AE7B2F">
        <w:t>návrh: 6 nádob / 1100 l / 2x t</w:t>
      </w:r>
      <w:r w:rsidR="0022747E" w:rsidRPr="00AE7B2F">
        <w:t xml:space="preserve"> týždenne</w:t>
      </w:r>
    </w:p>
    <w:p w14:paraId="54BD52BA" w14:textId="3444AA20" w:rsidR="0086284B" w:rsidRPr="00AE7B2F" w:rsidRDefault="0086284B" w:rsidP="0086284B">
      <w:pPr>
        <w:pStyle w:val="A-Text11"/>
      </w:pPr>
      <w:r w:rsidRPr="00AE7B2F">
        <w:t>Po zm</w:t>
      </w:r>
      <w:r w:rsidR="00C16CE4" w:rsidRPr="00AE7B2F">
        <w:t>e</w:t>
      </w:r>
      <w:r w:rsidRPr="00AE7B2F">
        <w:t>n</w:t>
      </w:r>
      <w:r w:rsidR="00C16CE4" w:rsidRPr="00AE7B2F">
        <w:t>e</w:t>
      </w:r>
      <w:r w:rsidRPr="00AE7B2F">
        <w:t xml:space="preserve"> legislat</w:t>
      </w:r>
      <w:r w:rsidR="0022747E" w:rsidRPr="00AE7B2F">
        <w:t>í</w:t>
      </w:r>
      <w:r w:rsidRPr="00AE7B2F">
        <w:t>vy (plánovaná novela VZN r.2023):</w:t>
      </w:r>
    </w:p>
    <w:p w14:paraId="7E1B8355" w14:textId="3D9C5C9B" w:rsidR="0086284B" w:rsidRPr="00AE7B2F" w:rsidRDefault="0022747E" w:rsidP="0086284B">
      <w:pPr>
        <w:pStyle w:val="A-Text11"/>
      </w:pPr>
      <w:r w:rsidRPr="00AE7B2F">
        <w:t>k</w:t>
      </w:r>
      <w:r w:rsidR="0086284B" w:rsidRPr="00AE7B2F">
        <w:t>omunáln</w:t>
      </w:r>
      <w:r w:rsidRPr="00AE7B2F">
        <w:t xml:space="preserve">y </w:t>
      </w:r>
      <w:r w:rsidR="0086284B" w:rsidRPr="00AE7B2F">
        <w:t xml:space="preserve">odpad – 2,49 nádoby / 1100 l / 3x </w:t>
      </w:r>
      <w:r w:rsidRPr="00AE7B2F">
        <w:t>týždenne</w:t>
      </w:r>
    </w:p>
    <w:p w14:paraId="008A44F3" w14:textId="07D8635E" w:rsidR="0086284B" w:rsidRPr="00AE7B2F" w:rsidRDefault="0086284B" w:rsidP="0086284B">
      <w:pPr>
        <w:pStyle w:val="A-Text11"/>
      </w:pPr>
      <w:r w:rsidRPr="00AE7B2F">
        <w:t>kuchy</w:t>
      </w:r>
      <w:r w:rsidR="0022747E" w:rsidRPr="00AE7B2F">
        <w:t>n</w:t>
      </w:r>
      <w:r w:rsidRPr="00AE7B2F">
        <w:t xml:space="preserve">ský odpad – (6,6l/os – 1,495) 2 nádoby / 660 l / 2x </w:t>
      </w:r>
      <w:r w:rsidR="0022747E" w:rsidRPr="00AE7B2F">
        <w:t>týždenne</w:t>
      </w:r>
    </w:p>
    <w:p w14:paraId="03A26453" w14:textId="348B7EC6" w:rsidR="0086284B" w:rsidRPr="00AE7B2F" w:rsidRDefault="0022747E" w:rsidP="0086284B">
      <w:pPr>
        <w:pStyle w:val="A-Text11"/>
      </w:pPr>
      <w:r w:rsidRPr="00AE7B2F">
        <w:t>Triedený</w:t>
      </w:r>
      <w:r w:rsidR="0086284B" w:rsidRPr="00AE7B2F">
        <w:t xml:space="preserve"> odpad:</w:t>
      </w:r>
    </w:p>
    <w:p w14:paraId="07EF7469" w14:textId="5A4E71C4" w:rsidR="0086284B" w:rsidRPr="00AE7B2F" w:rsidRDefault="0086284B" w:rsidP="0086284B">
      <w:pPr>
        <w:pStyle w:val="A-Text11"/>
      </w:pPr>
      <w:r w:rsidRPr="00AE7B2F">
        <w:t>pap</w:t>
      </w:r>
      <w:r w:rsidR="0022747E" w:rsidRPr="00AE7B2F">
        <w:t>ier</w:t>
      </w:r>
      <w:r w:rsidRPr="00AE7B2F">
        <w:t>:</w:t>
      </w:r>
    </w:p>
    <w:p w14:paraId="085192BA" w14:textId="5DE78547" w:rsidR="0086284B" w:rsidRPr="00AE7B2F" w:rsidRDefault="0086284B" w:rsidP="0086284B">
      <w:pPr>
        <w:pStyle w:val="A-Text11"/>
      </w:pPr>
      <w:r w:rsidRPr="00AE7B2F">
        <w:t xml:space="preserve">1 osoba / 16,5 l / 1x </w:t>
      </w:r>
      <w:r w:rsidR="0022747E" w:rsidRPr="00AE7B2F">
        <w:t>týždenne</w:t>
      </w:r>
    </w:p>
    <w:p w14:paraId="3C768DFC" w14:textId="317CA9E9" w:rsidR="0086284B" w:rsidRPr="00AE7B2F" w:rsidRDefault="0086284B" w:rsidP="0086284B">
      <w:pPr>
        <w:pStyle w:val="A-Text11"/>
      </w:pPr>
      <w:r w:rsidRPr="00AE7B2F">
        <w:t>299 os</w:t>
      </w:r>
      <w:r w:rsidR="0022747E" w:rsidRPr="00AE7B2F">
        <w:t>ô</w:t>
      </w:r>
      <w:r w:rsidRPr="00AE7B2F">
        <w:t xml:space="preserve">b = 2,24 nádoby / 1100 l / 2x </w:t>
      </w:r>
      <w:r w:rsidR="0022747E" w:rsidRPr="00AE7B2F">
        <w:t>týždenne</w:t>
      </w:r>
    </w:p>
    <w:p w14:paraId="2B31E107" w14:textId="095D5815" w:rsidR="0086284B" w:rsidRPr="00AE7B2F" w:rsidRDefault="0086284B" w:rsidP="0086284B">
      <w:pPr>
        <w:pStyle w:val="A-Text11"/>
      </w:pPr>
      <w:r w:rsidRPr="00AE7B2F">
        <w:t xml:space="preserve">návrh: 3 nádoby / 1100 l / 2x </w:t>
      </w:r>
      <w:r w:rsidR="0022747E" w:rsidRPr="00AE7B2F">
        <w:t>týždenne</w:t>
      </w:r>
    </w:p>
    <w:p w14:paraId="1928B415" w14:textId="77777777" w:rsidR="0086284B" w:rsidRPr="00AE7B2F" w:rsidRDefault="0086284B" w:rsidP="0086284B">
      <w:pPr>
        <w:pStyle w:val="A-Text11"/>
      </w:pPr>
      <w:r w:rsidRPr="00AE7B2F">
        <w:t>Plast:</w:t>
      </w:r>
    </w:p>
    <w:p w14:paraId="49914054" w14:textId="35567579" w:rsidR="0086284B" w:rsidRPr="00AE7B2F" w:rsidRDefault="0086284B" w:rsidP="0086284B">
      <w:pPr>
        <w:pStyle w:val="A-Text11"/>
      </w:pPr>
      <w:r w:rsidRPr="00AE7B2F">
        <w:t xml:space="preserve">1 osoba = 16,5 l / 1x </w:t>
      </w:r>
      <w:r w:rsidR="0022747E" w:rsidRPr="00AE7B2F">
        <w:t>týždenne</w:t>
      </w:r>
    </w:p>
    <w:p w14:paraId="645DA0EB" w14:textId="43029273" w:rsidR="0086284B" w:rsidRPr="00AE7B2F" w:rsidRDefault="0086284B" w:rsidP="0086284B">
      <w:pPr>
        <w:pStyle w:val="A-Text11"/>
      </w:pPr>
      <w:r w:rsidRPr="00AE7B2F">
        <w:t>299 os</w:t>
      </w:r>
      <w:r w:rsidR="0022747E" w:rsidRPr="00AE7B2F">
        <w:t>ô</w:t>
      </w:r>
      <w:r w:rsidRPr="00AE7B2F">
        <w:t xml:space="preserve">b = 2,24 nádoby / 1100 l / 2x </w:t>
      </w:r>
      <w:r w:rsidR="0022747E" w:rsidRPr="00AE7B2F">
        <w:t>týždenne</w:t>
      </w:r>
    </w:p>
    <w:p w14:paraId="76F33F5E" w14:textId="64258585" w:rsidR="0086284B" w:rsidRPr="00AE7B2F" w:rsidRDefault="0086284B" w:rsidP="0086284B">
      <w:pPr>
        <w:pStyle w:val="A-Text11"/>
      </w:pPr>
      <w:r w:rsidRPr="00AE7B2F">
        <w:t xml:space="preserve">návrh: 3 nádoby / 1100 l / 2x </w:t>
      </w:r>
      <w:r w:rsidR="0022747E" w:rsidRPr="00AE7B2F">
        <w:t>týždenne</w:t>
      </w:r>
    </w:p>
    <w:p w14:paraId="75613BAE" w14:textId="77777777" w:rsidR="0086284B" w:rsidRPr="00AE7B2F" w:rsidRDefault="0086284B" w:rsidP="0086284B">
      <w:pPr>
        <w:pStyle w:val="A-Text11"/>
      </w:pPr>
      <w:r w:rsidRPr="00AE7B2F">
        <w:t>Sklo:</w:t>
      </w:r>
    </w:p>
    <w:p w14:paraId="2E3B77ED" w14:textId="5D691D49" w:rsidR="0086284B" w:rsidRPr="00AE7B2F" w:rsidRDefault="0086284B" w:rsidP="0086284B">
      <w:pPr>
        <w:pStyle w:val="A-Text11"/>
      </w:pPr>
      <w:r w:rsidRPr="00AE7B2F">
        <w:t xml:space="preserve">1 osoba / 1,69 l / 1x </w:t>
      </w:r>
      <w:r w:rsidR="0022747E" w:rsidRPr="00AE7B2F">
        <w:t>týždenne</w:t>
      </w:r>
    </w:p>
    <w:p w14:paraId="3A74805C" w14:textId="665A0248" w:rsidR="0086284B" w:rsidRPr="00AE7B2F" w:rsidRDefault="0086284B" w:rsidP="0086284B">
      <w:pPr>
        <w:pStyle w:val="A-Text11"/>
      </w:pPr>
      <w:r w:rsidRPr="00AE7B2F">
        <w:t>299 os</w:t>
      </w:r>
      <w:r w:rsidR="0022747E" w:rsidRPr="00AE7B2F">
        <w:t>ô</w:t>
      </w:r>
      <w:r w:rsidRPr="00AE7B2F">
        <w:t xml:space="preserve">b = 2,1 nádoby / 240 l / 1x </w:t>
      </w:r>
      <w:r w:rsidR="0022747E" w:rsidRPr="00AE7B2F">
        <w:t>týždenne</w:t>
      </w:r>
    </w:p>
    <w:p w14:paraId="226D2B48" w14:textId="4F2ED158" w:rsidR="0086284B" w:rsidRPr="00AE7B2F" w:rsidRDefault="0086284B" w:rsidP="0086284B">
      <w:pPr>
        <w:pStyle w:val="A-Text11"/>
      </w:pPr>
      <w:r w:rsidRPr="00AE7B2F">
        <w:t>návrh: 2 nádoby / 240 l / 2x t</w:t>
      </w:r>
      <w:r w:rsidR="0022747E" w:rsidRPr="00AE7B2F">
        <w:t xml:space="preserve"> týždenne</w:t>
      </w:r>
    </w:p>
    <w:p w14:paraId="25F8F5C8" w14:textId="5004E1DE" w:rsidR="0086284B" w:rsidRPr="00AE7B2F" w:rsidRDefault="0086284B" w:rsidP="0086284B">
      <w:pPr>
        <w:pStyle w:val="A-Text11"/>
        <w:rPr>
          <w:bCs/>
          <w:i/>
          <w:iCs/>
        </w:rPr>
      </w:pPr>
      <w:r w:rsidRPr="00AE7B2F">
        <w:rPr>
          <w:bCs/>
          <w:i/>
          <w:iCs/>
        </w:rPr>
        <w:t>Celkom:</w:t>
      </w:r>
    </w:p>
    <w:p w14:paraId="5AF9C99A" w14:textId="4B921AAB" w:rsidR="0086284B" w:rsidRPr="00AE7B2F" w:rsidRDefault="0086284B" w:rsidP="00394BB0">
      <w:pPr>
        <w:pStyle w:val="A-Text11"/>
        <w:spacing w:before="0" w:line="240" w:lineRule="auto"/>
        <w:ind w:firstLine="425"/>
      </w:pPr>
      <w:r w:rsidRPr="00AE7B2F">
        <w:t>komunáln</w:t>
      </w:r>
      <w:r w:rsidR="0022747E" w:rsidRPr="00AE7B2F">
        <w:t>y</w:t>
      </w:r>
      <w:r w:rsidRPr="00AE7B2F">
        <w:t xml:space="preserve"> odpad 6 ks 1100 l s odvoz</w:t>
      </w:r>
      <w:r w:rsidR="0022747E" w:rsidRPr="00AE7B2F">
        <w:t>o</w:t>
      </w:r>
      <w:r w:rsidRPr="00AE7B2F">
        <w:t xml:space="preserve">m 2x </w:t>
      </w:r>
      <w:r w:rsidR="0022747E" w:rsidRPr="00AE7B2F">
        <w:t>týždenne</w:t>
      </w:r>
    </w:p>
    <w:p w14:paraId="3BB811E1" w14:textId="433B3327" w:rsidR="0086284B" w:rsidRPr="00AE7B2F" w:rsidRDefault="0086284B" w:rsidP="00394BB0">
      <w:pPr>
        <w:pStyle w:val="A-Text11"/>
        <w:spacing w:before="0" w:line="240" w:lineRule="auto"/>
        <w:ind w:firstLine="425"/>
      </w:pPr>
      <w:r w:rsidRPr="00AE7B2F">
        <w:t>pap</w:t>
      </w:r>
      <w:r w:rsidR="0022747E" w:rsidRPr="00AE7B2F">
        <w:t>ie</w:t>
      </w:r>
      <w:r w:rsidRPr="00AE7B2F">
        <w:t>r 3ks 1100 l s odvoz</w:t>
      </w:r>
      <w:r w:rsidR="0022747E" w:rsidRPr="00AE7B2F">
        <w:t>o</w:t>
      </w:r>
      <w:r w:rsidRPr="00AE7B2F">
        <w:t xml:space="preserve">m 2x </w:t>
      </w:r>
      <w:r w:rsidR="0022747E" w:rsidRPr="00AE7B2F">
        <w:t>týždenne</w:t>
      </w:r>
    </w:p>
    <w:p w14:paraId="1F92C506" w14:textId="40B3C6ED" w:rsidR="0086284B" w:rsidRPr="00AE7B2F" w:rsidRDefault="0086284B" w:rsidP="00394BB0">
      <w:pPr>
        <w:pStyle w:val="A-Text11"/>
        <w:spacing w:before="0" w:line="240" w:lineRule="auto"/>
        <w:ind w:firstLine="425"/>
      </w:pPr>
      <w:r w:rsidRPr="00AE7B2F">
        <w:t>plast 3ks 1100 l s odvoz</w:t>
      </w:r>
      <w:r w:rsidR="0022747E" w:rsidRPr="00AE7B2F">
        <w:t>o</w:t>
      </w:r>
      <w:r w:rsidRPr="00AE7B2F">
        <w:t xml:space="preserve">m 2x </w:t>
      </w:r>
      <w:r w:rsidR="0022747E" w:rsidRPr="00AE7B2F">
        <w:t>týždenne</w:t>
      </w:r>
    </w:p>
    <w:p w14:paraId="5C9D3A50" w14:textId="1CA6BCFC" w:rsidR="0086284B" w:rsidRPr="00AE7B2F" w:rsidRDefault="0086284B" w:rsidP="00394BB0">
      <w:pPr>
        <w:pStyle w:val="A-Text11"/>
        <w:spacing w:before="0" w:line="240" w:lineRule="auto"/>
        <w:ind w:firstLine="425"/>
      </w:pPr>
      <w:r w:rsidRPr="00AE7B2F">
        <w:t>sklo 2ks 240 l s odvoz</w:t>
      </w:r>
      <w:r w:rsidR="0022747E" w:rsidRPr="00AE7B2F">
        <w:t>o</w:t>
      </w:r>
      <w:r w:rsidRPr="00AE7B2F">
        <w:t xml:space="preserve">m 2x </w:t>
      </w:r>
      <w:r w:rsidR="0022747E" w:rsidRPr="00AE7B2F">
        <w:t>týždenne</w:t>
      </w:r>
    </w:p>
    <w:p w14:paraId="388D85EE" w14:textId="67AF62B9" w:rsidR="0086284B" w:rsidRPr="00AE7B2F" w:rsidRDefault="0086284B" w:rsidP="0086284B">
      <w:pPr>
        <w:pStyle w:val="A-Text11"/>
      </w:pPr>
      <w:r w:rsidRPr="00AE7B2F">
        <w:t>Celkom navrhnut</w:t>
      </w:r>
      <w:r w:rsidR="00B76BE0" w:rsidRPr="00AE7B2F">
        <w:t>é</w:t>
      </w:r>
      <w:r w:rsidRPr="00AE7B2F">
        <w:t xml:space="preserve"> 12 kontejner</w:t>
      </w:r>
      <w:r w:rsidR="00B76BE0" w:rsidRPr="00AE7B2F">
        <w:t>ov</w:t>
      </w:r>
      <w:r w:rsidRPr="00AE7B2F">
        <w:t xml:space="preserve"> a 2 nádoby na sklo.</w:t>
      </w:r>
    </w:p>
    <w:p w14:paraId="4B1D8DF9" w14:textId="7FF6761F" w:rsidR="0086284B" w:rsidRPr="00AE7B2F" w:rsidRDefault="0086284B" w:rsidP="0086284B">
      <w:pPr>
        <w:pStyle w:val="Bezriadkovania"/>
        <w:jc w:val="center"/>
      </w:pPr>
      <w:r w:rsidRPr="00AE7B2F">
        <w:rPr>
          <w:noProof/>
        </w:rPr>
        <w:drawing>
          <wp:inline distT="0" distB="0" distL="0" distR="0" wp14:anchorId="3D40706B" wp14:editId="4D0EE8C2">
            <wp:extent cx="3971290" cy="1865410"/>
            <wp:effectExtent l="19050" t="19050" r="10160" b="20955"/>
            <wp:docPr id="15"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78396" cy="1868748"/>
                    </a:xfrm>
                    <a:prstGeom prst="rect">
                      <a:avLst/>
                    </a:prstGeom>
                    <a:noFill/>
                    <a:ln w="12700">
                      <a:solidFill>
                        <a:schemeClr val="tx1"/>
                      </a:solidFill>
                    </a:ln>
                  </pic:spPr>
                </pic:pic>
              </a:graphicData>
            </a:graphic>
          </wp:inline>
        </w:drawing>
      </w:r>
    </w:p>
    <w:p w14:paraId="699C5201" w14:textId="067F4123" w:rsidR="0086284B" w:rsidRPr="00AE7B2F" w:rsidRDefault="0086284B" w:rsidP="0086284B">
      <w:pPr>
        <w:pStyle w:val="Bezriadkovania"/>
        <w:spacing w:before="120"/>
        <w:jc w:val="center"/>
        <w:rPr>
          <w:i/>
          <w:iCs/>
          <w:lang w:val="sk-SK"/>
        </w:rPr>
      </w:pPr>
      <w:r w:rsidRPr="00AE7B2F">
        <w:rPr>
          <w:i/>
          <w:iCs/>
          <w:lang w:val="sk-SK"/>
        </w:rPr>
        <w:t>Obrázok IV.2.2.</w:t>
      </w:r>
      <w:r w:rsidR="00C16CE4" w:rsidRPr="00AE7B2F">
        <w:rPr>
          <w:i/>
          <w:iCs/>
          <w:lang w:val="sk-SK"/>
        </w:rPr>
        <w:t>2</w:t>
      </w:r>
      <w:r w:rsidRPr="00AE7B2F">
        <w:rPr>
          <w:i/>
          <w:iCs/>
          <w:lang w:val="sk-SK"/>
        </w:rPr>
        <w:t>: umiest</w:t>
      </w:r>
      <w:r w:rsidR="00C16CE4" w:rsidRPr="00AE7B2F">
        <w:rPr>
          <w:i/>
          <w:iCs/>
          <w:lang w:val="sk-SK"/>
        </w:rPr>
        <w:t>ne</w:t>
      </w:r>
      <w:r w:rsidRPr="00AE7B2F">
        <w:rPr>
          <w:i/>
          <w:iCs/>
          <w:lang w:val="sk-SK"/>
        </w:rPr>
        <w:t>nie stanovísk odpadu</w:t>
      </w:r>
    </w:p>
    <w:p w14:paraId="7FAAF185" w14:textId="43ACE21E" w:rsidR="00E65CA9" w:rsidRPr="00AE7B2F" w:rsidRDefault="00E65CA9" w:rsidP="001A2F9B">
      <w:pPr>
        <w:pStyle w:val="A-Text11"/>
        <w:rPr>
          <w:b/>
          <w:bCs/>
        </w:rPr>
      </w:pPr>
      <w:r w:rsidRPr="00AE7B2F">
        <w:t>Od 1.1.2016 vypracovanie Program</w:t>
      </w:r>
      <w:r w:rsidR="0022747E" w:rsidRPr="00AE7B2F">
        <w:t>u</w:t>
      </w:r>
      <w:r w:rsidRPr="00AE7B2F">
        <w:t xml:space="preserve"> odpadového hospodárstva (POH) zákon č. 79/2015 Z.z. nepožaduje.</w:t>
      </w:r>
    </w:p>
    <w:p w14:paraId="5C0065DD" w14:textId="77777777" w:rsidR="00E65CA9" w:rsidRPr="00AE7B2F" w:rsidRDefault="00E65CA9" w:rsidP="001A2F9B">
      <w:pPr>
        <w:pStyle w:val="A-Text11"/>
        <w:rPr>
          <w:b/>
          <w:bCs/>
        </w:rPr>
      </w:pPr>
      <w:r w:rsidRPr="00AE7B2F">
        <w:lastRenderedPageBreak/>
        <w:t>Produkované odpady budú odovzdávané na zhodnocovanie, alebo zneškodňovanie firmám oprávneným na vykonávanie týchto činností.</w:t>
      </w:r>
    </w:p>
    <w:p w14:paraId="1650B484" w14:textId="77777777" w:rsidR="00E65CA9" w:rsidRPr="00AE7B2F" w:rsidRDefault="00E65CA9" w:rsidP="001A2F9B">
      <w:pPr>
        <w:pStyle w:val="A-Text11"/>
        <w:rPr>
          <w:szCs w:val="24"/>
        </w:rPr>
      </w:pPr>
      <w:r w:rsidRPr="00AE7B2F">
        <w:rPr>
          <w:bCs/>
          <w:szCs w:val="24"/>
        </w:rPr>
        <w:t xml:space="preserve">V objektoch </w:t>
      </w:r>
      <w:r w:rsidRPr="00AE7B2F">
        <w:rPr>
          <w:szCs w:val="24"/>
        </w:rPr>
        <w:t>možno predpokladať vznik týchto druhov odpadov:</w:t>
      </w:r>
    </w:p>
    <w:p w14:paraId="3129EEA4" w14:textId="77777777" w:rsidR="00E65CA9" w:rsidRPr="00AE7B2F" w:rsidRDefault="00E65CA9" w:rsidP="00DE561A">
      <w:pPr>
        <w:widowControl/>
        <w:numPr>
          <w:ilvl w:val="0"/>
          <w:numId w:val="5"/>
        </w:numPr>
        <w:ind w:left="714" w:hanging="357"/>
        <w:jc w:val="both"/>
        <w:rPr>
          <w:rFonts w:ascii="Arial" w:hAnsi="Arial" w:cs="Arial"/>
          <w:i/>
          <w:iCs/>
          <w:sz w:val="22"/>
          <w:szCs w:val="24"/>
          <w:lang w:eastAsia="en-US"/>
        </w:rPr>
      </w:pPr>
      <w:r w:rsidRPr="00AE7B2F">
        <w:rPr>
          <w:rFonts w:ascii="Arial" w:hAnsi="Arial" w:cs="Arial"/>
          <w:i/>
          <w:iCs/>
          <w:sz w:val="22"/>
          <w:szCs w:val="24"/>
          <w:lang w:eastAsia="en-US"/>
        </w:rPr>
        <w:t xml:space="preserve">obalový materiál </w:t>
      </w:r>
    </w:p>
    <w:p w14:paraId="30B4D662" w14:textId="77777777" w:rsidR="00E65CA9" w:rsidRPr="00AE7B2F" w:rsidRDefault="00E65CA9" w:rsidP="00DE561A">
      <w:pPr>
        <w:widowControl/>
        <w:numPr>
          <w:ilvl w:val="0"/>
          <w:numId w:val="5"/>
        </w:numPr>
        <w:ind w:left="714" w:hanging="357"/>
        <w:jc w:val="both"/>
        <w:rPr>
          <w:rFonts w:ascii="Arial" w:hAnsi="Arial" w:cs="Arial"/>
          <w:i/>
          <w:iCs/>
          <w:sz w:val="22"/>
          <w:szCs w:val="24"/>
          <w:lang w:eastAsia="en-US"/>
        </w:rPr>
      </w:pPr>
      <w:r w:rsidRPr="00AE7B2F">
        <w:rPr>
          <w:rFonts w:ascii="Arial" w:hAnsi="Arial" w:cs="Arial"/>
          <w:i/>
          <w:iCs/>
          <w:sz w:val="22"/>
          <w:szCs w:val="24"/>
          <w:lang w:eastAsia="en-US"/>
        </w:rPr>
        <w:t>komunálny odpad</w:t>
      </w:r>
    </w:p>
    <w:p w14:paraId="2491280C" w14:textId="77777777" w:rsidR="00E65CA9" w:rsidRPr="00AE7B2F" w:rsidRDefault="00E65CA9" w:rsidP="00DE561A">
      <w:pPr>
        <w:widowControl/>
        <w:numPr>
          <w:ilvl w:val="0"/>
          <w:numId w:val="5"/>
        </w:numPr>
        <w:jc w:val="both"/>
        <w:rPr>
          <w:rFonts w:ascii="Arial" w:hAnsi="Arial" w:cs="Arial"/>
          <w:i/>
          <w:iCs/>
          <w:sz w:val="22"/>
          <w:szCs w:val="24"/>
          <w:lang w:eastAsia="en-US"/>
        </w:rPr>
      </w:pPr>
      <w:r w:rsidRPr="00AE7B2F">
        <w:rPr>
          <w:rFonts w:ascii="Arial" w:hAnsi="Arial" w:cs="Arial"/>
          <w:i/>
          <w:iCs/>
          <w:sz w:val="22"/>
          <w:szCs w:val="24"/>
          <w:lang w:eastAsia="en-US"/>
        </w:rPr>
        <w:t>elektroodpad pri výmene nefunkčných svetelných zdrojov, elektrických a elektronických zariadení a pod.</w:t>
      </w:r>
    </w:p>
    <w:p w14:paraId="6FBA21E8" w14:textId="77777777" w:rsidR="00E65CA9" w:rsidRPr="00AE7B2F" w:rsidRDefault="00E65CA9" w:rsidP="001A2F9B">
      <w:pPr>
        <w:pStyle w:val="A-Text11"/>
      </w:pPr>
      <w:r w:rsidRPr="00AE7B2F">
        <w:t>Pomer triedenia, intervaly odvozov budú upravené podľa reálnych podmienok prevádzky objektu. Odvoz a zhodnocovanie, resp. zneškodňovanie odpadov zabezpečí prevádzkovateľ objektu prostredníctvom zmlúv s prevádzkovateľmi zariadení na zhodnocovanie a zneškodňovanie odpadov.</w:t>
      </w:r>
    </w:p>
    <w:p w14:paraId="054D669B" w14:textId="77777777" w:rsidR="00E65CA9" w:rsidRPr="00AE7B2F" w:rsidRDefault="00E65CA9" w:rsidP="001A2F9B">
      <w:pPr>
        <w:pStyle w:val="A-Text11"/>
      </w:pPr>
      <w:r w:rsidRPr="00AE7B2F">
        <w:t xml:space="preserve">Odpady, ktoré budú vznikať prevádzkou stavby po jej dokončení, sú zaradené podľa vyhlášky MŽP SR č. 365/2015 Z.z., ktorou bol ustanovený Katalóg odpadov v znení neskorších predpisov. Druhy odpadov a spôsob nakladania s nimi, uvedené v tabuľke sú v predpokladanom rozsahu, podľa plochy  a spôsobu využitia jednotlivých priestorov a ich obsadenosti, resp. z činností spojených s prevádzkovou údržbou zabudovaných technických a technologických zariadení. </w:t>
      </w:r>
    </w:p>
    <w:p w14:paraId="4CCB9120" w14:textId="15FCF348" w:rsidR="00421279" w:rsidRPr="00F9522F" w:rsidRDefault="00421279" w:rsidP="001A2F9B">
      <w:pPr>
        <w:pStyle w:val="A-Text11"/>
      </w:pPr>
      <w:r w:rsidRPr="00F9522F">
        <w:t xml:space="preserve">Dokumentácia predpokladá vznik odpadov z prevádzky objektov: </w:t>
      </w:r>
    </w:p>
    <w:p w14:paraId="5240EB19" w14:textId="77777777" w:rsidR="00F44318" w:rsidRPr="00F9522F" w:rsidRDefault="00F44318" w:rsidP="00F44318">
      <w:pPr>
        <w:spacing w:before="120"/>
        <w:rPr>
          <w:rFonts w:ascii="Arial" w:hAnsi="Arial" w:cs="Arial"/>
          <w:bCs/>
          <w:sz w:val="18"/>
          <w:szCs w:val="18"/>
        </w:rPr>
      </w:pPr>
      <w:r w:rsidRPr="00F9522F">
        <w:rPr>
          <w:rFonts w:ascii="Arial" w:hAnsi="Arial" w:cs="Arial"/>
          <w:bCs/>
          <w:sz w:val="18"/>
          <w:szCs w:val="18"/>
        </w:rPr>
        <w:t xml:space="preserve">Tab. č. IV.2.2.14: Predpokladané odpady z prevádzky objektov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27"/>
        <w:gridCol w:w="6171"/>
        <w:gridCol w:w="1208"/>
      </w:tblGrid>
      <w:tr w:rsidR="00F9522F" w:rsidRPr="00F9522F" w14:paraId="65DD5265" w14:textId="77777777" w:rsidTr="00F44318">
        <w:trPr>
          <w:jc w:val="center"/>
        </w:trPr>
        <w:tc>
          <w:tcPr>
            <w:tcW w:w="1427" w:type="dxa"/>
            <w:tcBorders>
              <w:top w:val="single" w:sz="4" w:space="0" w:color="auto"/>
              <w:left w:val="single" w:sz="4" w:space="0" w:color="auto"/>
              <w:bottom w:val="double" w:sz="4" w:space="0" w:color="auto"/>
              <w:right w:val="single" w:sz="4" w:space="0" w:color="auto"/>
            </w:tcBorders>
            <w:vAlign w:val="center"/>
            <w:hideMark/>
          </w:tcPr>
          <w:p w14:paraId="1F8805F0"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Kód odpadu</w:t>
            </w:r>
          </w:p>
        </w:tc>
        <w:tc>
          <w:tcPr>
            <w:tcW w:w="6171" w:type="dxa"/>
            <w:tcBorders>
              <w:top w:val="single" w:sz="4" w:space="0" w:color="auto"/>
              <w:left w:val="single" w:sz="4" w:space="0" w:color="auto"/>
              <w:bottom w:val="double" w:sz="4" w:space="0" w:color="auto"/>
              <w:right w:val="single" w:sz="4" w:space="0" w:color="auto"/>
            </w:tcBorders>
            <w:vAlign w:val="center"/>
            <w:hideMark/>
          </w:tcPr>
          <w:p w14:paraId="40587DB0"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Názov druhu odpadu/Doporučené zhodnocovanie a likvidácia</w:t>
            </w:r>
          </w:p>
        </w:tc>
        <w:tc>
          <w:tcPr>
            <w:tcW w:w="1208" w:type="dxa"/>
            <w:tcBorders>
              <w:top w:val="single" w:sz="4" w:space="0" w:color="auto"/>
              <w:left w:val="single" w:sz="4" w:space="0" w:color="auto"/>
              <w:bottom w:val="double" w:sz="4" w:space="0" w:color="auto"/>
              <w:right w:val="single" w:sz="4" w:space="0" w:color="auto"/>
            </w:tcBorders>
            <w:vAlign w:val="center"/>
            <w:hideMark/>
          </w:tcPr>
          <w:p w14:paraId="1DDA96F1" w14:textId="77777777" w:rsidR="00F44318" w:rsidRPr="00F9522F" w:rsidRDefault="00F44318">
            <w:pPr>
              <w:spacing w:line="256" w:lineRule="auto"/>
              <w:jc w:val="center"/>
              <w:rPr>
                <w:rFonts w:ascii="Arial" w:hAnsi="Arial" w:cs="Arial"/>
                <w:sz w:val="22"/>
                <w:szCs w:val="22"/>
                <w:lang w:eastAsia="en-US"/>
              </w:rPr>
            </w:pPr>
            <w:r w:rsidRPr="00F9522F">
              <w:rPr>
                <w:rFonts w:ascii="Arial" w:hAnsi="Arial" w:cs="Arial"/>
                <w:sz w:val="22"/>
                <w:szCs w:val="22"/>
                <w:lang w:eastAsia="en-US"/>
              </w:rPr>
              <w:t>Kategória</w:t>
            </w:r>
          </w:p>
        </w:tc>
      </w:tr>
      <w:tr w:rsidR="00F9522F" w:rsidRPr="00F9522F" w14:paraId="0B793FC3" w14:textId="77777777" w:rsidTr="00F44318">
        <w:trPr>
          <w:jc w:val="center"/>
        </w:trPr>
        <w:tc>
          <w:tcPr>
            <w:tcW w:w="1427" w:type="dxa"/>
            <w:tcBorders>
              <w:top w:val="double" w:sz="4" w:space="0" w:color="auto"/>
              <w:left w:val="single" w:sz="4" w:space="0" w:color="auto"/>
              <w:bottom w:val="single" w:sz="4" w:space="0" w:color="auto"/>
              <w:right w:val="single" w:sz="4" w:space="0" w:color="auto"/>
            </w:tcBorders>
            <w:vAlign w:val="center"/>
            <w:hideMark/>
          </w:tcPr>
          <w:p w14:paraId="76AEEB64"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13 05 02</w:t>
            </w:r>
          </w:p>
        </w:tc>
        <w:tc>
          <w:tcPr>
            <w:tcW w:w="6171" w:type="dxa"/>
            <w:tcBorders>
              <w:top w:val="double" w:sz="4" w:space="0" w:color="auto"/>
              <w:left w:val="single" w:sz="4" w:space="0" w:color="auto"/>
              <w:bottom w:val="single" w:sz="4" w:space="0" w:color="auto"/>
              <w:right w:val="single" w:sz="4" w:space="0" w:color="auto"/>
            </w:tcBorders>
            <w:vAlign w:val="center"/>
            <w:hideMark/>
          </w:tcPr>
          <w:p w14:paraId="2F896173"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Zvyšky z lapačoch ropných látok R12</w:t>
            </w:r>
          </w:p>
        </w:tc>
        <w:tc>
          <w:tcPr>
            <w:tcW w:w="1208" w:type="dxa"/>
            <w:tcBorders>
              <w:top w:val="double" w:sz="4" w:space="0" w:color="auto"/>
              <w:left w:val="single" w:sz="4" w:space="0" w:color="auto"/>
              <w:bottom w:val="single" w:sz="4" w:space="0" w:color="auto"/>
              <w:right w:val="single" w:sz="4" w:space="0" w:color="auto"/>
            </w:tcBorders>
            <w:vAlign w:val="center"/>
            <w:hideMark/>
          </w:tcPr>
          <w:p w14:paraId="446C5803" w14:textId="77777777" w:rsidR="00F44318" w:rsidRPr="00F9522F" w:rsidRDefault="00F44318">
            <w:pPr>
              <w:spacing w:line="256" w:lineRule="auto"/>
              <w:jc w:val="center"/>
              <w:rPr>
                <w:rFonts w:ascii="Arial" w:hAnsi="Arial" w:cs="Arial"/>
                <w:sz w:val="22"/>
                <w:szCs w:val="22"/>
                <w:lang w:eastAsia="en-US"/>
              </w:rPr>
            </w:pPr>
            <w:r w:rsidRPr="00F9522F">
              <w:rPr>
                <w:rFonts w:ascii="Arial" w:hAnsi="Arial" w:cs="Arial"/>
                <w:sz w:val="22"/>
                <w:szCs w:val="22"/>
                <w:lang w:eastAsia="en-US"/>
              </w:rPr>
              <w:t>N</w:t>
            </w:r>
          </w:p>
        </w:tc>
      </w:tr>
      <w:tr w:rsidR="00F9522F" w:rsidRPr="00F9522F" w14:paraId="64774A8A" w14:textId="77777777" w:rsidTr="00F44318">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458FD90E"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15 01 01</w:t>
            </w:r>
          </w:p>
        </w:tc>
        <w:tc>
          <w:tcPr>
            <w:tcW w:w="6171" w:type="dxa"/>
            <w:tcBorders>
              <w:top w:val="single" w:sz="4" w:space="0" w:color="auto"/>
              <w:left w:val="single" w:sz="4" w:space="0" w:color="auto"/>
              <w:bottom w:val="single" w:sz="4" w:space="0" w:color="auto"/>
              <w:right w:val="single" w:sz="4" w:space="0" w:color="auto"/>
            </w:tcBorders>
            <w:vAlign w:val="center"/>
            <w:hideMark/>
          </w:tcPr>
          <w:p w14:paraId="3A86D749"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Obaly z papiera a lepenky R3</w:t>
            </w:r>
          </w:p>
        </w:tc>
        <w:tc>
          <w:tcPr>
            <w:tcW w:w="1208" w:type="dxa"/>
            <w:tcBorders>
              <w:top w:val="single" w:sz="4" w:space="0" w:color="auto"/>
              <w:left w:val="single" w:sz="4" w:space="0" w:color="auto"/>
              <w:bottom w:val="single" w:sz="4" w:space="0" w:color="auto"/>
              <w:right w:val="single" w:sz="4" w:space="0" w:color="auto"/>
            </w:tcBorders>
            <w:vAlign w:val="center"/>
            <w:hideMark/>
          </w:tcPr>
          <w:p w14:paraId="61FDE642" w14:textId="77777777" w:rsidR="00F44318" w:rsidRPr="00F9522F" w:rsidRDefault="00F44318">
            <w:pPr>
              <w:spacing w:line="256" w:lineRule="auto"/>
              <w:jc w:val="center"/>
              <w:rPr>
                <w:rFonts w:ascii="Arial" w:hAnsi="Arial" w:cs="Arial"/>
                <w:sz w:val="22"/>
                <w:szCs w:val="22"/>
                <w:lang w:eastAsia="en-US"/>
              </w:rPr>
            </w:pPr>
            <w:r w:rsidRPr="00F9522F">
              <w:rPr>
                <w:rFonts w:ascii="Arial" w:hAnsi="Arial" w:cs="Arial"/>
                <w:sz w:val="22"/>
                <w:szCs w:val="22"/>
                <w:lang w:eastAsia="en-US"/>
              </w:rPr>
              <w:t>O</w:t>
            </w:r>
          </w:p>
        </w:tc>
      </w:tr>
      <w:tr w:rsidR="00F9522F" w:rsidRPr="00F9522F" w14:paraId="2F2BFE0E" w14:textId="77777777" w:rsidTr="00F44318">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4F7384CC"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15 01 02</w:t>
            </w:r>
          </w:p>
        </w:tc>
        <w:tc>
          <w:tcPr>
            <w:tcW w:w="6171" w:type="dxa"/>
            <w:tcBorders>
              <w:top w:val="single" w:sz="4" w:space="0" w:color="auto"/>
              <w:left w:val="single" w:sz="4" w:space="0" w:color="auto"/>
              <w:bottom w:val="single" w:sz="4" w:space="0" w:color="auto"/>
              <w:right w:val="single" w:sz="4" w:space="0" w:color="auto"/>
            </w:tcBorders>
            <w:vAlign w:val="center"/>
            <w:hideMark/>
          </w:tcPr>
          <w:p w14:paraId="1DBA58D5"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Obaly z plastov R3</w:t>
            </w:r>
          </w:p>
        </w:tc>
        <w:tc>
          <w:tcPr>
            <w:tcW w:w="1208" w:type="dxa"/>
            <w:tcBorders>
              <w:top w:val="single" w:sz="4" w:space="0" w:color="auto"/>
              <w:left w:val="single" w:sz="4" w:space="0" w:color="auto"/>
              <w:bottom w:val="single" w:sz="4" w:space="0" w:color="auto"/>
              <w:right w:val="single" w:sz="4" w:space="0" w:color="auto"/>
            </w:tcBorders>
            <w:vAlign w:val="center"/>
            <w:hideMark/>
          </w:tcPr>
          <w:p w14:paraId="10EEAB3D" w14:textId="77777777" w:rsidR="00F44318" w:rsidRPr="00F9522F" w:rsidRDefault="00F44318">
            <w:pPr>
              <w:spacing w:line="256" w:lineRule="auto"/>
              <w:jc w:val="center"/>
              <w:rPr>
                <w:rFonts w:ascii="Arial" w:hAnsi="Arial" w:cs="Arial"/>
                <w:sz w:val="22"/>
                <w:szCs w:val="22"/>
                <w:lang w:eastAsia="en-US"/>
              </w:rPr>
            </w:pPr>
            <w:r w:rsidRPr="00F9522F">
              <w:rPr>
                <w:rFonts w:ascii="Arial" w:hAnsi="Arial" w:cs="Arial"/>
                <w:sz w:val="22"/>
                <w:szCs w:val="22"/>
                <w:lang w:eastAsia="en-US"/>
              </w:rPr>
              <w:t>O</w:t>
            </w:r>
          </w:p>
        </w:tc>
      </w:tr>
      <w:tr w:rsidR="00F9522F" w:rsidRPr="00F9522F" w14:paraId="5187884D" w14:textId="77777777" w:rsidTr="00F44318">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45BE3015"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20 01 01</w:t>
            </w:r>
          </w:p>
        </w:tc>
        <w:tc>
          <w:tcPr>
            <w:tcW w:w="6171" w:type="dxa"/>
            <w:tcBorders>
              <w:top w:val="single" w:sz="4" w:space="0" w:color="auto"/>
              <w:left w:val="single" w:sz="4" w:space="0" w:color="auto"/>
              <w:bottom w:val="single" w:sz="4" w:space="0" w:color="auto"/>
              <w:right w:val="single" w:sz="4" w:space="0" w:color="auto"/>
            </w:tcBorders>
            <w:vAlign w:val="center"/>
            <w:hideMark/>
          </w:tcPr>
          <w:p w14:paraId="2C477D08"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Papier R3</w:t>
            </w:r>
          </w:p>
        </w:tc>
        <w:tc>
          <w:tcPr>
            <w:tcW w:w="1208" w:type="dxa"/>
            <w:tcBorders>
              <w:top w:val="single" w:sz="4" w:space="0" w:color="auto"/>
              <w:left w:val="single" w:sz="4" w:space="0" w:color="auto"/>
              <w:bottom w:val="single" w:sz="4" w:space="0" w:color="auto"/>
              <w:right w:val="single" w:sz="4" w:space="0" w:color="auto"/>
            </w:tcBorders>
            <w:vAlign w:val="center"/>
            <w:hideMark/>
          </w:tcPr>
          <w:p w14:paraId="4D9468DB" w14:textId="77777777" w:rsidR="00F44318" w:rsidRPr="00F9522F" w:rsidRDefault="00F44318">
            <w:pPr>
              <w:spacing w:line="256" w:lineRule="auto"/>
              <w:jc w:val="center"/>
              <w:rPr>
                <w:rFonts w:ascii="Arial" w:hAnsi="Arial" w:cs="Arial"/>
                <w:sz w:val="22"/>
                <w:szCs w:val="22"/>
                <w:lang w:eastAsia="en-US"/>
              </w:rPr>
            </w:pPr>
            <w:r w:rsidRPr="00F9522F">
              <w:rPr>
                <w:rFonts w:ascii="Arial" w:hAnsi="Arial" w:cs="Arial"/>
                <w:sz w:val="22"/>
                <w:szCs w:val="22"/>
                <w:lang w:eastAsia="en-US"/>
              </w:rPr>
              <w:t>O</w:t>
            </w:r>
          </w:p>
        </w:tc>
      </w:tr>
      <w:tr w:rsidR="00F9522F" w:rsidRPr="00F9522F" w14:paraId="186246EC" w14:textId="77777777" w:rsidTr="00F44318">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5784DDA5"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20 01 01</w:t>
            </w:r>
          </w:p>
        </w:tc>
        <w:tc>
          <w:tcPr>
            <w:tcW w:w="6171" w:type="dxa"/>
            <w:tcBorders>
              <w:top w:val="single" w:sz="4" w:space="0" w:color="auto"/>
              <w:left w:val="single" w:sz="4" w:space="0" w:color="auto"/>
              <w:bottom w:val="single" w:sz="4" w:space="0" w:color="auto"/>
              <w:right w:val="single" w:sz="4" w:space="0" w:color="auto"/>
            </w:tcBorders>
            <w:vAlign w:val="center"/>
            <w:hideMark/>
          </w:tcPr>
          <w:p w14:paraId="1F37DD75"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Sklo R5</w:t>
            </w:r>
          </w:p>
        </w:tc>
        <w:tc>
          <w:tcPr>
            <w:tcW w:w="1208" w:type="dxa"/>
            <w:tcBorders>
              <w:top w:val="single" w:sz="4" w:space="0" w:color="auto"/>
              <w:left w:val="single" w:sz="4" w:space="0" w:color="auto"/>
              <w:bottom w:val="single" w:sz="4" w:space="0" w:color="auto"/>
              <w:right w:val="single" w:sz="4" w:space="0" w:color="auto"/>
            </w:tcBorders>
            <w:vAlign w:val="center"/>
            <w:hideMark/>
          </w:tcPr>
          <w:p w14:paraId="3D37952A" w14:textId="77777777" w:rsidR="00F44318" w:rsidRPr="00F9522F" w:rsidRDefault="00F44318">
            <w:pPr>
              <w:spacing w:line="256" w:lineRule="auto"/>
              <w:jc w:val="center"/>
              <w:rPr>
                <w:rFonts w:ascii="Arial" w:hAnsi="Arial" w:cs="Arial"/>
                <w:sz w:val="22"/>
                <w:szCs w:val="22"/>
                <w:lang w:eastAsia="en-US"/>
              </w:rPr>
            </w:pPr>
            <w:r w:rsidRPr="00F9522F">
              <w:rPr>
                <w:rFonts w:ascii="Arial" w:hAnsi="Arial" w:cs="Arial"/>
                <w:sz w:val="22"/>
                <w:szCs w:val="22"/>
                <w:lang w:eastAsia="en-US"/>
              </w:rPr>
              <w:t>O</w:t>
            </w:r>
          </w:p>
        </w:tc>
      </w:tr>
      <w:tr w:rsidR="00F9522F" w:rsidRPr="00F9522F" w14:paraId="034CD92C" w14:textId="77777777" w:rsidTr="00F44318">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0D479D56"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20 01 39</w:t>
            </w:r>
          </w:p>
        </w:tc>
        <w:tc>
          <w:tcPr>
            <w:tcW w:w="6171" w:type="dxa"/>
            <w:tcBorders>
              <w:top w:val="single" w:sz="4" w:space="0" w:color="auto"/>
              <w:left w:val="single" w:sz="4" w:space="0" w:color="auto"/>
              <w:bottom w:val="single" w:sz="4" w:space="0" w:color="auto"/>
              <w:right w:val="single" w:sz="4" w:space="0" w:color="auto"/>
            </w:tcBorders>
            <w:vAlign w:val="center"/>
            <w:hideMark/>
          </w:tcPr>
          <w:p w14:paraId="0F6B984E"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Plasty R4</w:t>
            </w:r>
          </w:p>
        </w:tc>
        <w:tc>
          <w:tcPr>
            <w:tcW w:w="1208" w:type="dxa"/>
            <w:tcBorders>
              <w:top w:val="single" w:sz="4" w:space="0" w:color="auto"/>
              <w:left w:val="single" w:sz="4" w:space="0" w:color="auto"/>
              <w:bottom w:val="single" w:sz="4" w:space="0" w:color="auto"/>
              <w:right w:val="single" w:sz="4" w:space="0" w:color="auto"/>
            </w:tcBorders>
            <w:vAlign w:val="center"/>
            <w:hideMark/>
          </w:tcPr>
          <w:p w14:paraId="2DBE9452" w14:textId="77777777" w:rsidR="00F44318" w:rsidRPr="00F9522F" w:rsidRDefault="00F44318">
            <w:pPr>
              <w:spacing w:line="256" w:lineRule="auto"/>
              <w:jc w:val="center"/>
              <w:rPr>
                <w:rFonts w:ascii="Arial" w:hAnsi="Arial" w:cs="Arial"/>
                <w:sz w:val="22"/>
                <w:szCs w:val="22"/>
                <w:lang w:eastAsia="en-US"/>
              </w:rPr>
            </w:pPr>
            <w:r w:rsidRPr="00F9522F">
              <w:rPr>
                <w:rFonts w:ascii="Arial" w:hAnsi="Arial" w:cs="Arial"/>
                <w:sz w:val="22"/>
                <w:szCs w:val="22"/>
                <w:lang w:eastAsia="en-US"/>
              </w:rPr>
              <w:t>O</w:t>
            </w:r>
          </w:p>
        </w:tc>
      </w:tr>
      <w:tr w:rsidR="00F9522F" w:rsidRPr="00F9522F" w14:paraId="241F4A39" w14:textId="77777777" w:rsidTr="00F44318">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3634161F"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20 01 08</w:t>
            </w:r>
          </w:p>
        </w:tc>
        <w:tc>
          <w:tcPr>
            <w:tcW w:w="6171" w:type="dxa"/>
            <w:tcBorders>
              <w:top w:val="single" w:sz="4" w:space="0" w:color="auto"/>
              <w:left w:val="single" w:sz="4" w:space="0" w:color="auto"/>
              <w:bottom w:val="single" w:sz="4" w:space="0" w:color="auto"/>
              <w:right w:val="single" w:sz="4" w:space="0" w:color="auto"/>
            </w:tcBorders>
            <w:vAlign w:val="center"/>
            <w:hideMark/>
          </w:tcPr>
          <w:p w14:paraId="07417264"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Biologicky rozlož. kuch. a rešt. odpad R3</w:t>
            </w:r>
          </w:p>
        </w:tc>
        <w:tc>
          <w:tcPr>
            <w:tcW w:w="1208" w:type="dxa"/>
            <w:tcBorders>
              <w:top w:val="single" w:sz="4" w:space="0" w:color="auto"/>
              <w:left w:val="single" w:sz="4" w:space="0" w:color="auto"/>
              <w:bottom w:val="single" w:sz="4" w:space="0" w:color="auto"/>
              <w:right w:val="single" w:sz="4" w:space="0" w:color="auto"/>
            </w:tcBorders>
            <w:vAlign w:val="center"/>
            <w:hideMark/>
          </w:tcPr>
          <w:p w14:paraId="74CE299C" w14:textId="77777777" w:rsidR="00F44318" w:rsidRPr="00F9522F" w:rsidRDefault="00F44318">
            <w:pPr>
              <w:spacing w:line="256" w:lineRule="auto"/>
              <w:jc w:val="center"/>
              <w:rPr>
                <w:rFonts w:ascii="Arial" w:hAnsi="Arial" w:cs="Arial"/>
                <w:sz w:val="22"/>
                <w:szCs w:val="22"/>
                <w:lang w:eastAsia="en-US"/>
              </w:rPr>
            </w:pPr>
            <w:r w:rsidRPr="00F9522F">
              <w:rPr>
                <w:rFonts w:ascii="Arial" w:hAnsi="Arial" w:cs="Arial"/>
                <w:sz w:val="22"/>
                <w:szCs w:val="22"/>
                <w:lang w:eastAsia="en-US"/>
              </w:rPr>
              <w:t>O</w:t>
            </w:r>
          </w:p>
        </w:tc>
      </w:tr>
      <w:tr w:rsidR="00F9522F" w:rsidRPr="00F9522F" w14:paraId="62B6962D" w14:textId="77777777" w:rsidTr="00F44318">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5F6F2C9F"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20 03 01</w:t>
            </w:r>
          </w:p>
        </w:tc>
        <w:tc>
          <w:tcPr>
            <w:tcW w:w="6171" w:type="dxa"/>
            <w:tcBorders>
              <w:top w:val="single" w:sz="4" w:space="0" w:color="auto"/>
              <w:left w:val="single" w:sz="4" w:space="0" w:color="auto"/>
              <w:bottom w:val="single" w:sz="4" w:space="0" w:color="auto"/>
              <w:right w:val="single" w:sz="4" w:space="0" w:color="auto"/>
            </w:tcBorders>
            <w:vAlign w:val="center"/>
            <w:hideMark/>
          </w:tcPr>
          <w:p w14:paraId="470FA747"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Zmesový komunálny odpad R1</w:t>
            </w:r>
          </w:p>
        </w:tc>
        <w:tc>
          <w:tcPr>
            <w:tcW w:w="1208" w:type="dxa"/>
            <w:tcBorders>
              <w:top w:val="single" w:sz="4" w:space="0" w:color="auto"/>
              <w:left w:val="single" w:sz="4" w:space="0" w:color="auto"/>
              <w:bottom w:val="single" w:sz="4" w:space="0" w:color="auto"/>
              <w:right w:val="single" w:sz="4" w:space="0" w:color="auto"/>
            </w:tcBorders>
            <w:vAlign w:val="center"/>
            <w:hideMark/>
          </w:tcPr>
          <w:p w14:paraId="3E912EA0" w14:textId="77777777" w:rsidR="00F44318" w:rsidRPr="00F9522F" w:rsidRDefault="00F44318">
            <w:pPr>
              <w:spacing w:line="256" w:lineRule="auto"/>
              <w:jc w:val="center"/>
              <w:rPr>
                <w:rFonts w:ascii="Arial" w:hAnsi="Arial" w:cs="Arial"/>
                <w:sz w:val="22"/>
                <w:szCs w:val="22"/>
                <w:lang w:eastAsia="en-US"/>
              </w:rPr>
            </w:pPr>
            <w:r w:rsidRPr="00F9522F">
              <w:rPr>
                <w:rFonts w:ascii="Arial" w:hAnsi="Arial" w:cs="Arial"/>
                <w:sz w:val="22"/>
                <w:szCs w:val="22"/>
                <w:lang w:eastAsia="en-US"/>
              </w:rPr>
              <w:t>O</w:t>
            </w:r>
          </w:p>
        </w:tc>
      </w:tr>
      <w:tr w:rsidR="00F9522F" w:rsidRPr="00F9522F" w14:paraId="43A6737F" w14:textId="77777777" w:rsidTr="00F44318">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1AC2553"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20 03 03</w:t>
            </w:r>
          </w:p>
        </w:tc>
        <w:tc>
          <w:tcPr>
            <w:tcW w:w="6171" w:type="dxa"/>
            <w:tcBorders>
              <w:top w:val="single" w:sz="4" w:space="0" w:color="auto"/>
              <w:left w:val="single" w:sz="4" w:space="0" w:color="auto"/>
              <w:bottom w:val="single" w:sz="4" w:space="0" w:color="auto"/>
              <w:right w:val="single" w:sz="4" w:space="0" w:color="auto"/>
            </w:tcBorders>
            <w:vAlign w:val="center"/>
            <w:hideMark/>
          </w:tcPr>
          <w:p w14:paraId="1420A6FD"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Odpad z čistenia ulíc R1</w:t>
            </w:r>
          </w:p>
        </w:tc>
        <w:tc>
          <w:tcPr>
            <w:tcW w:w="1208" w:type="dxa"/>
            <w:tcBorders>
              <w:top w:val="single" w:sz="4" w:space="0" w:color="auto"/>
              <w:left w:val="single" w:sz="4" w:space="0" w:color="auto"/>
              <w:bottom w:val="single" w:sz="4" w:space="0" w:color="auto"/>
              <w:right w:val="single" w:sz="4" w:space="0" w:color="auto"/>
            </w:tcBorders>
            <w:vAlign w:val="center"/>
            <w:hideMark/>
          </w:tcPr>
          <w:p w14:paraId="43B2F67A" w14:textId="77777777" w:rsidR="00F44318" w:rsidRPr="00F9522F" w:rsidRDefault="00F44318">
            <w:pPr>
              <w:spacing w:line="256" w:lineRule="auto"/>
              <w:jc w:val="center"/>
              <w:rPr>
                <w:rFonts w:ascii="Arial" w:hAnsi="Arial" w:cs="Arial"/>
                <w:sz w:val="22"/>
                <w:szCs w:val="22"/>
                <w:lang w:eastAsia="en-US"/>
              </w:rPr>
            </w:pPr>
            <w:r w:rsidRPr="00F9522F">
              <w:rPr>
                <w:rFonts w:ascii="Arial" w:hAnsi="Arial" w:cs="Arial"/>
                <w:sz w:val="22"/>
                <w:szCs w:val="22"/>
                <w:lang w:eastAsia="en-US"/>
              </w:rPr>
              <w:t>O</w:t>
            </w:r>
          </w:p>
        </w:tc>
      </w:tr>
      <w:tr w:rsidR="00F9522F" w:rsidRPr="00F9522F" w14:paraId="6A4541E2" w14:textId="77777777" w:rsidTr="00F44318">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63A9AC6C"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20 02 01</w:t>
            </w:r>
          </w:p>
        </w:tc>
        <w:tc>
          <w:tcPr>
            <w:tcW w:w="6171" w:type="dxa"/>
            <w:tcBorders>
              <w:top w:val="single" w:sz="4" w:space="0" w:color="auto"/>
              <w:left w:val="single" w:sz="4" w:space="0" w:color="auto"/>
              <w:bottom w:val="single" w:sz="4" w:space="0" w:color="auto"/>
              <w:right w:val="single" w:sz="4" w:space="0" w:color="auto"/>
            </w:tcBorders>
            <w:vAlign w:val="center"/>
            <w:hideMark/>
          </w:tcPr>
          <w:p w14:paraId="7F488A8A"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Biologicky rozložiteľný odpad (z údržby zelene) R3</w:t>
            </w:r>
          </w:p>
        </w:tc>
        <w:tc>
          <w:tcPr>
            <w:tcW w:w="1208" w:type="dxa"/>
            <w:tcBorders>
              <w:top w:val="single" w:sz="4" w:space="0" w:color="auto"/>
              <w:left w:val="single" w:sz="4" w:space="0" w:color="auto"/>
              <w:bottom w:val="single" w:sz="4" w:space="0" w:color="auto"/>
              <w:right w:val="single" w:sz="4" w:space="0" w:color="auto"/>
            </w:tcBorders>
            <w:vAlign w:val="center"/>
            <w:hideMark/>
          </w:tcPr>
          <w:p w14:paraId="1CF7D223" w14:textId="77777777" w:rsidR="00F44318" w:rsidRPr="00F9522F" w:rsidRDefault="00F44318">
            <w:pPr>
              <w:spacing w:line="256" w:lineRule="auto"/>
              <w:jc w:val="center"/>
              <w:rPr>
                <w:rFonts w:ascii="Arial" w:hAnsi="Arial" w:cs="Arial"/>
                <w:sz w:val="22"/>
                <w:szCs w:val="22"/>
                <w:lang w:eastAsia="en-US"/>
              </w:rPr>
            </w:pPr>
            <w:r w:rsidRPr="00F9522F">
              <w:rPr>
                <w:rFonts w:ascii="Arial" w:hAnsi="Arial" w:cs="Arial"/>
                <w:sz w:val="22"/>
                <w:szCs w:val="22"/>
                <w:lang w:eastAsia="en-US"/>
              </w:rPr>
              <w:t>O</w:t>
            </w:r>
          </w:p>
        </w:tc>
      </w:tr>
      <w:tr w:rsidR="00F9522F" w:rsidRPr="00F9522F" w14:paraId="6C74F9B0" w14:textId="77777777" w:rsidTr="00F44318">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7DFD6BA4"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20 02 03</w:t>
            </w:r>
          </w:p>
        </w:tc>
        <w:tc>
          <w:tcPr>
            <w:tcW w:w="6171" w:type="dxa"/>
            <w:tcBorders>
              <w:top w:val="single" w:sz="4" w:space="0" w:color="auto"/>
              <w:left w:val="single" w:sz="4" w:space="0" w:color="auto"/>
              <w:bottom w:val="single" w:sz="4" w:space="0" w:color="auto"/>
              <w:right w:val="single" w:sz="4" w:space="0" w:color="auto"/>
            </w:tcBorders>
            <w:vAlign w:val="center"/>
            <w:hideMark/>
          </w:tcPr>
          <w:p w14:paraId="7E176C09" w14:textId="77777777" w:rsidR="00F44318" w:rsidRPr="00F9522F" w:rsidRDefault="00F44318">
            <w:pPr>
              <w:spacing w:line="256" w:lineRule="auto"/>
              <w:rPr>
                <w:rFonts w:ascii="Arial" w:hAnsi="Arial" w:cs="Arial"/>
                <w:sz w:val="22"/>
                <w:szCs w:val="22"/>
                <w:lang w:eastAsia="en-US"/>
              </w:rPr>
            </w:pPr>
            <w:r w:rsidRPr="00F9522F">
              <w:rPr>
                <w:rFonts w:ascii="Arial" w:hAnsi="Arial" w:cs="Arial"/>
                <w:sz w:val="22"/>
                <w:szCs w:val="22"/>
                <w:lang w:eastAsia="en-US"/>
              </w:rPr>
              <w:t>Iné biologicky rozložiteľné odpady R3</w:t>
            </w:r>
          </w:p>
        </w:tc>
        <w:tc>
          <w:tcPr>
            <w:tcW w:w="1208" w:type="dxa"/>
            <w:tcBorders>
              <w:top w:val="single" w:sz="4" w:space="0" w:color="auto"/>
              <w:left w:val="single" w:sz="4" w:space="0" w:color="auto"/>
              <w:bottom w:val="single" w:sz="4" w:space="0" w:color="auto"/>
              <w:right w:val="single" w:sz="4" w:space="0" w:color="auto"/>
            </w:tcBorders>
            <w:vAlign w:val="center"/>
            <w:hideMark/>
          </w:tcPr>
          <w:p w14:paraId="6398800A" w14:textId="77777777" w:rsidR="00F44318" w:rsidRPr="00F9522F" w:rsidRDefault="00F44318">
            <w:pPr>
              <w:spacing w:line="256" w:lineRule="auto"/>
              <w:jc w:val="center"/>
              <w:rPr>
                <w:rFonts w:ascii="Arial" w:hAnsi="Arial" w:cs="Arial"/>
                <w:sz w:val="22"/>
                <w:szCs w:val="22"/>
                <w:lang w:eastAsia="en-US"/>
              </w:rPr>
            </w:pPr>
            <w:r w:rsidRPr="00F9522F">
              <w:rPr>
                <w:rFonts w:ascii="Arial" w:hAnsi="Arial" w:cs="Arial"/>
                <w:sz w:val="22"/>
                <w:szCs w:val="22"/>
                <w:lang w:eastAsia="en-US"/>
              </w:rPr>
              <w:t>O</w:t>
            </w:r>
          </w:p>
        </w:tc>
      </w:tr>
    </w:tbl>
    <w:p w14:paraId="5E9BD104" w14:textId="2C99A72C" w:rsidR="00F44318" w:rsidRPr="00F9522F" w:rsidRDefault="00F44318" w:rsidP="00F44318">
      <w:pPr>
        <w:widowControl/>
        <w:spacing w:before="120"/>
        <w:jc w:val="both"/>
        <w:rPr>
          <w:rFonts w:ascii="Arial" w:hAnsi="Arial" w:cs="Arial"/>
          <w:i/>
          <w:szCs w:val="24"/>
          <w:lang w:eastAsia="en-US"/>
        </w:rPr>
      </w:pPr>
      <w:r w:rsidRPr="00F9522F">
        <w:rPr>
          <w:rFonts w:ascii="Arial" w:hAnsi="Arial" w:cs="Arial"/>
          <w:i/>
          <w:szCs w:val="24"/>
          <w:lang w:eastAsia="en-US"/>
        </w:rPr>
        <w:t>Poznámka  – O – ostatný odpad (nie nebezpečný), N – nebezpečný odpad</w:t>
      </w:r>
    </w:p>
    <w:p w14:paraId="1AAE7EDE" w14:textId="77777777" w:rsidR="00F44318" w:rsidRPr="00F9522F" w:rsidRDefault="00F44318" w:rsidP="00F44318">
      <w:pPr>
        <w:widowControl/>
        <w:jc w:val="both"/>
        <w:rPr>
          <w:rFonts w:ascii="Arial" w:hAnsi="Arial" w:cs="Arial"/>
          <w:i/>
          <w:szCs w:val="24"/>
          <w:lang w:eastAsia="en-US"/>
        </w:rPr>
      </w:pPr>
      <w:r w:rsidRPr="00F9522F">
        <w:rPr>
          <w:rFonts w:ascii="Arial" w:hAnsi="Arial" w:cs="Arial"/>
          <w:i/>
          <w:szCs w:val="24"/>
          <w:lang w:eastAsia="en-US"/>
        </w:rPr>
        <w:t>Poznámka  – zhodnocovanie, resp. zneškodňovanie:</w:t>
      </w:r>
    </w:p>
    <w:p w14:paraId="3345BA27" w14:textId="77777777" w:rsidR="00F44318" w:rsidRPr="00F9522F" w:rsidRDefault="00F44318" w:rsidP="00F44318">
      <w:pPr>
        <w:pStyle w:val="Odsekzoznamu"/>
        <w:numPr>
          <w:ilvl w:val="0"/>
          <w:numId w:val="46"/>
        </w:numPr>
        <w:spacing w:after="120"/>
        <w:ind w:left="709" w:hanging="283"/>
        <w:rPr>
          <w:rFonts w:ascii="Arial" w:hAnsi="Arial" w:cs="Arial"/>
          <w:b/>
          <w:i/>
        </w:rPr>
      </w:pPr>
      <w:r w:rsidRPr="00F9522F">
        <w:rPr>
          <w:rFonts w:ascii="Arial" w:hAnsi="Arial" w:cs="Arial"/>
          <w:i/>
        </w:rPr>
        <w:t>R1</w:t>
      </w:r>
      <w:r w:rsidRPr="00F9522F">
        <w:rPr>
          <w:rFonts w:ascii="Arial" w:hAnsi="Arial" w:cs="Arial"/>
          <w:i/>
        </w:rPr>
        <w:tab/>
        <w:t>- Využitie najmä ako palivo alebo na získanie energie iným spôsobom</w:t>
      </w:r>
    </w:p>
    <w:p w14:paraId="15034A27" w14:textId="77777777" w:rsidR="00F44318" w:rsidRPr="00F9522F" w:rsidRDefault="00F44318" w:rsidP="00F44318">
      <w:pPr>
        <w:pStyle w:val="Odsekzoznamu"/>
        <w:numPr>
          <w:ilvl w:val="0"/>
          <w:numId w:val="46"/>
        </w:numPr>
        <w:spacing w:after="120"/>
        <w:ind w:left="709" w:hanging="283"/>
        <w:rPr>
          <w:rFonts w:ascii="Arial" w:hAnsi="Arial" w:cs="Arial"/>
          <w:b/>
          <w:i/>
        </w:rPr>
      </w:pPr>
      <w:r w:rsidRPr="00F9522F">
        <w:rPr>
          <w:rFonts w:ascii="Arial" w:hAnsi="Arial" w:cs="Arial"/>
          <w:i/>
        </w:rPr>
        <w:t>R3</w:t>
      </w:r>
      <w:r w:rsidRPr="00F9522F">
        <w:rPr>
          <w:rFonts w:ascii="Arial" w:hAnsi="Arial" w:cs="Arial"/>
          <w:i/>
        </w:rPr>
        <w:tab/>
        <w:t>- Recyklácia alebo spätné získavanie organických látok</w:t>
      </w:r>
    </w:p>
    <w:p w14:paraId="3A4087CB" w14:textId="77777777" w:rsidR="00F44318" w:rsidRPr="00F9522F" w:rsidRDefault="00F44318" w:rsidP="00F44318">
      <w:pPr>
        <w:pStyle w:val="Odsekzoznamu"/>
        <w:numPr>
          <w:ilvl w:val="0"/>
          <w:numId w:val="46"/>
        </w:numPr>
        <w:spacing w:after="120"/>
        <w:ind w:left="709" w:hanging="283"/>
        <w:rPr>
          <w:rFonts w:ascii="Arial" w:hAnsi="Arial" w:cs="Arial"/>
          <w:b/>
          <w:i/>
        </w:rPr>
      </w:pPr>
      <w:r w:rsidRPr="00F9522F">
        <w:rPr>
          <w:rFonts w:ascii="Arial" w:hAnsi="Arial" w:cs="Arial"/>
          <w:i/>
        </w:rPr>
        <w:t>R4</w:t>
      </w:r>
      <w:r w:rsidRPr="00F9522F">
        <w:rPr>
          <w:rFonts w:ascii="Arial" w:hAnsi="Arial" w:cs="Arial"/>
          <w:i/>
        </w:rPr>
        <w:tab/>
        <w:t>- Recyklácia alebo spätné získavanie kovov a kovových zlúčenín</w:t>
      </w:r>
    </w:p>
    <w:p w14:paraId="58A6577A" w14:textId="77777777" w:rsidR="00F44318" w:rsidRPr="00F9522F" w:rsidRDefault="00F44318" w:rsidP="00F44318">
      <w:pPr>
        <w:pStyle w:val="Odsekzoznamu"/>
        <w:numPr>
          <w:ilvl w:val="0"/>
          <w:numId w:val="46"/>
        </w:numPr>
        <w:spacing w:after="120"/>
        <w:ind w:left="709" w:hanging="283"/>
        <w:rPr>
          <w:rFonts w:ascii="Arial" w:hAnsi="Arial" w:cs="Arial"/>
          <w:b/>
          <w:i/>
        </w:rPr>
      </w:pPr>
      <w:r w:rsidRPr="00F9522F">
        <w:rPr>
          <w:rFonts w:ascii="Arial" w:hAnsi="Arial" w:cs="Arial"/>
          <w:i/>
        </w:rPr>
        <w:t>R5</w:t>
      </w:r>
      <w:r w:rsidRPr="00F9522F">
        <w:rPr>
          <w:rFonts w:ascii="Arial" w:hAnsi="Arial" w:cs="Arial"/>
          <w:i/>
        </w:rPr>
        <w:tab/>
        <w:t>- Recyklácia alebo spätné získavanie iných anorganických látok</w:t>
      </w:r>
    </w:p>
    <w:p w14:paraId="0076D045" w14:textId="77777777" w:rsidR="00F44318" w:rsidRPr="00F9522F" w:rsidRDefault="00F44318" w:rsidP="00F44318">
      <w:pPr>
        <w:pStyle w:val="Odsekzoznamu"/>
        <w:numPr>
          <w:ilvl w:val="0"/>
          <w:numId w:val="46"/>
        </w:numPr>
        <w:spacing w:after="120"/>
        <w:ind w:left="709" w:hanging="283"/>
        <w:rPr>
          <w:rFonts w:ascii="Arial" w:hAnsi="Arial" w:cs="Arial"/>
          <w:b/>
          <w:i/>
        </w:rPr>
      </w:pPr>
      <w:r w:rsidRPr="00F9522F">
        <w:rPr>
          <w:rFonts w:ascii="Arial" w:hAnsi="Arial" w:cs="Arial"/>
          <w:i/>
        </w:rPr>
        <w:t>D1</w:t>
      </w:r>
      <w:r w:rsidRPr="00F9522F">
        <w:rPr>
          <w:rFonts w:ascii="Arial" w:hAnsi="Arial" w:cs="Arial"/>
          <w:i/>
        </w:rPr>
        <w:tab/>
        <w:t>- uloženie do zeme alebo na povrchu (napr. skládka odpadov)</w:t>
      </w:r>
    </w:p>
    <w:p w14:paraId="69209E96" w14:textId="77777777" w:rsidR="00F44318" w:rsidRPr="00F9522F" w:rsidRDefault="00F44318" w:rsidP="00F44318">
      <w:pPr>
        <w:pStyle w:val="Odsekzoznamu"/>
        <w:numPr>
          <w:ilvl w:val="0"/>
          <w:numId w:val="46"/>
        </w:numPr>
        <w:spacing w:after="120"/>
        <w:ind w:left="709" w:hanging="283"/>
        <w:rPr>
          <w:rFonts w:ascii="Arial" w:hAnsi="Arial" w:cs="Arial"/>
          <w:b/>
          <w:i/>
        </w:rPr>
      </w:pPr>
      <w:r w:rsidRPr="00F9522F">
        <w:rPr>
          <w:rFonts w:ascii="Arial" w:hAnsi="Arial" w:cs="Arial"/>
          <w:i/>
        </w:rPr>
        <w:t>D5</w:t>
      </w:r>
      <w:r w:rsidRPr="00F9522F">
        <w:rPr>
          <w:rFonts w:ascii="Arial" w:hAnsi="Arial" w:cs="Arial"/>
          <w:i/>
        </w:rPr>
        <w:tab/>
        <w:t xml:space="preserve">- špeciálne vybudované skládky odpadov </w:t>
      </w:r>
    </w:p>
    <w:p w14:paraId="2370D130" w14:textId="77777777" w:rsidR="00F44318" w:rsidRPr="00F9522F" w:rsidRDefault="00F44318" w:rsidP="00F44318">
      <w:pPr>
        <w:pStyle w:val="Odsekzoznamu"/>
        <w:numPr>
          <w:ilvl w:val="0"/>
          <w:numId w:val="46"/>
        </w:numPr>
        <w:spacing w:after="120"/>
        <w:ind w:left="709" w:hanging="283"/>
        <w:rPr>
          <w:rFonts w:ascii="Arial" w:hAnsi="Arial" w:cs="Arial"/>
          <w:b/>
          <w:i/>
        </w:rPr>
      </w:pPr>
      <w:r w:rsidRPr="00F9522F">
        <w:rPr>
          <w:rFonts w:ascii="Arial" w:hAnsi="Arial" w:cs="Arial"/>
          <w:i/>
        </w:rPr>
        <w:t>D10</w:t>
      </w:r>
      <w:r w:rsidRPr="00F9522F">
        <w:rPr>
          <w:rFonts w:ascii="Arial" w:hAnsi="Arial" w:cs="Arial"/>
          <w:i/>
        </w:rPr>
        <w:tab/>
        <w:t>- spaľovanie na pevnine</w:t>
      </w:r>
    </w:p>
    <w:p w14:paraId="3A15E492" w14:textId="77777777" w:rsidR="00F44318" w:rsidRPr="00F9522F" w:rsidRDefault="00F44318" w:rsidP="00F44318">
      <w:pPr>
        <w:pStyle w:val="Odsekzoznamu"/>
        <w:numPr>
          <w:ilvl w:val="0"/>
          <w:numId w:val="46"/>
        </w:numPr>
        <w:spacing w:after="120"/>
        <w:ind w:left="709" w:hanging="283"/>
        <w:rPr>
          <w:rFonts w:ascii="Arial" w:hAnsi="Arial" w:cs="Arial"/>
          <w:b/>
          <w:i/>
        </w:rPr>
      </w:pPr>
      <w:r w:rsidRPr="00F9522F">
        <w:rPr>
          <w:rFonts w:ascii="Arial" w:hAnsi="Arial" w:cs="Arial"/>
          <w:i/>
        </w:rPr>
        <w:t>D14</w:t>
      </w:r>
      <w:r w:rsidRPr="00F9522F">
        <w:rPr>
          <w:rFonts w:ascii="Arial" w:hAnsi="Arial" w:cs="Arial"/>
          <w:i/>
        </w:rPr>
        <w:tab/>
        <w:t xml:space="preserve"> - Uloženie do ďalších obalov pred použitím niektorej z činností D1 až 12</w:t>
      </w:r>
    </w:p>
    <w:p w14:paraId="28EFFD88" w14:textId="7835DD13" w:rsidR="00EB5C11" w:rsidRPr="00367872" w:rsidRDefault="00EB5C11" w:rsidP="00B34E56">
      <w:pPr>
        <w:pStyle w:val="A-Text11"/>
      </w:pPr>
      <w:r>
        <w:t xml:space="preserve">V prípade realizácie </w:t>
      </w:r>
      <w:r w:rsidR="0022591E">
        <w:t xml:space="preserve">navrhovanej činnosti </w:t>
      </w:r>
      <w:r>
        <w:t xml:space="preserve"> podľa Variantu č. 1</w:t>
      </w:r>
      <w:r w:rsidR="007F55F6">
        <w:t>, budú p</w:t>
      </w:r>
      <w:r w:rsidRPr="00367872">
        <w:t xml:space="preserve">ri výmene  prevádzkových kvapalín </w:t>
      </w:r>
      <w:r w:rsidR="007F55F6">
        <w:t xml:space="preserve">dieselagregátu </w:t>
      </w:r>
      <w:r w:rsidRPr="00367872">
        <w:t xml:space="preserve">vznikajú nebezpečné odpady a je potrebné s nimi nakladať podľa zákona č. 79/2015 Z.z. o odpadoch. </w:t>
      </w:r>
    </w:p>
    <w:p w14:paraId="19DE11AA" w14:textId="6953E967" w:rsidR="00EB5C11" w:rsidRPr="00EB5C11" w:rsidRDefault="00EB5C11" w:rsidP="00B34E56">
      <w:pPr>
        <w:pStyle w:val="A-Text11"/>
      </w:pPr>
      <w:r w:rsidRPr="00EB5C11">
        <w:t>Prevádzkou a údržbou náhradného zdroja elektrickej energie dieselagregátu vzniknú  N odpady z podskupiny 13 02 Odpadové motorové, prevodové a mazacie oleje</w:t>
      </w:r>
      <w:r w:rsidR="006E245E">
        <w:t xml:space="preserve"> (predbežný </w:t>
      </w:r>
      <w:r w:rsidR="006E245E">
        <w:lastRenderedPageBreak/>
        <w:t>odhad asi 40 – 50 l ročne</w:t>
      </w:r>
      <w:r w:rsidR="0092099C" w:rsidRPr="00EB5C11">
        <w:t>)</w:t>
      </w:r>
      <w:r w:rsidRPr="00EB5C11">
        <w:t>, 15 02 Absorbenty, filtračné materiály, handry na čistenie a ochranné odevy a podskupiny 16 01</w:t>
      </w:r>
      <w:r w:rsidR="0092099C">
        <w:t xml:space="preserve"> (predbežný odhad asi 2 až 5 kg ročne</w:t>
      </w:r>
      <w:r w:rsidRPr="00EB5C11">
        <w:t>).</w:t>
      </w:r>
      <w:r w:rsidR="005E15C9">
        <w:t xml:space="preserve"> </w:t>
      </w:r>
      <w:r w:rsidRPr="00EB5C11">
        <w:t xml:space="preserve"> </w:t>
      </w:r>
    </w:p>
    <w:p w14:paraId="775876A1" w14:textId="77777777" w:rsidR="00EB5C11" w:rsidRPr="00EB5C11" w:rsidRDefault="00EB5C11" w:rsidP="00B34E56">
      <w:pPr>
        <w:pStyle w:val="A-Text11"/>
      </w:pPr>
      <w:r w:rsidRPr="00EB5C11">
        <w:t>Presnejšia špecifikácia a množstvo odpadov bude upresnené v rámci ďalšej prípravy, v prípade uprednostnenia tohto variantu a na základe konkrétne vybraného typu dieselagregátu, ktorý vzíde z výberového konania.  Odpady však budú zneškodnené spôsobom R1.</w:t>
      </w:r>
    </w:p>
    <w:p w14:paraId="7852D6DC" w14:textId="40B8BB74" w:rsidR="00421279" w:rsidRPr="00F00095" w:rsidRDefault="00421279" w:rsidP="001A2F9B">
      <w:pPr>
        <w:pStyle w:val="A-Text11"/>
      </w:pPr>
      <w:r w:rsidRPr="00F00095">
        <w:t xml:space="preserve">Doporučený typ plastového kontajnera na komunálny odpad musí spĺňať EN 840-3,-5,-6. </w:t>
      </w:r>
    </w:p>
    <w:p w14:paraId="783DFDE3" w14:textId="6CDFAC56" w:rsidR="00F05371" w:rsidRPr="00F00095" w:rsidRDefault="00B70643" w:rsidP="001A2F9B">
      <w:pPr>
        <w:pStyle w:val="A-Text11"/>
      </w:pPr>
      <w:r w:rsidRPr="00F00095">
        <w:t>Nekontaminovaný (O</w:t>
      </w:r>
      <w:r w:rsidR="00F05371" w:rsidRPr="00F00095">
        <w:t xml:space="preserve"> - ostatný) komunálny odpad bude odvážať zo zákona oprávnená organizácia napr. OLO, a. s. Bratislava, ASA, s.r.o. resp. fy Marius Pedersen, </w:t>
      </w:r>
      <w:r w:rsidR="00BC07D1">
        <w:t>na zmluvnom základe,</w:t>
      </w:r>
      <w:r w:rsidR="00F05371" w:rsidRPr="00F00095">
        <w:t xml:space="preserve"> odvozom do zariadení Zberných surovín a Zberných dvorov (pri dodržaní podmienky zabezpečenia separácie pri zhromažďovaní komunálneho odpadu).</w:t>
      </w:r>
    </w:p>
    <w:p w14:paraId="7D41EE90" w14:textId="275771BF" w:rsidR="00F05371" w:rsidRPr="00F00095" w:rsidRDefault="00F05371" w:rsidP="001A2F9B">
      <w:pPr>
        <w:pStyle w:val="A-Text11"/>
      </w:pPr>
      <w:r w:rsidRPr="00F00095">
        <w:t>Kontaminovaný (N - nebezpečný) komunálny odpad bude odvážať zo zákona spôsobilá organizácia na likvidáciu resp. dekontamináciu na požiadanie majiteľa alebo správcu objektov.</w:t>
      </w:r>
    </w:p>
    <w:p w14:paraId="656A0950" w14:textId="77777777" w:rsidR="00E65CA9" w:rsidRPr="00F00095" w:rsidRDefault="00E65CA9" w:rsidP="001A2F9B">
      <w:pPr>
        <w:pStyle w:val="A-Text11"/>
      </w:pPr>
      <w:r w:rsidRPr="00F00095">
        <w:t>Predpokladaná vyťažiteľnosť:  30 až 40 % (sklo, papier, plasty).</w:t>
      </w:r>
    </w:p>
    <w:p w14:paraId="68B88656" w14:textId="77777777" w:rsidR="00CA1585" w:rsidRPr="00F00095" w:rsidRDefault="00CA1585" w:rsidP="001A2F9B">
      <w:pPr>
        <w:pStyle w:val="A-Text11"/>
      </w:pPr>
      <w:r w:rsidRPr="00F00095">
        <w:t xml:space="preserve">Okrem odpadu z obalov a komunálneho odpadu vzniknú počas prevádzky budovy odpady napr. pri výmene nefunkčných svetelných zdrojov, po skončení životnosti elektrických a elektronických zariadení (výpočtová technika, monitory, tlačiarne, telekomunikačná technika a pod.). Tieto odpady budú na základe dohodnutých zmlúv prevádzkovateľa odovzdávané špecializovaným firmám ktoré majú oprávnenie na zhodnocovanie týchto odpadov. </w:t>
      </w:r>
    </w:p>
    <w:p w14:paraId="0A068F5A" w14:textId="77777777" w:rsidR="00CA1585" w:rsidRPr="00F00095" w:rsidRDefault="00CA1585" w:rsidP="001A2F9B">
      <w:pPr>
        <w:pStyle w:val="A-Text11"/>
        <w:rPr>
          <w:snapToGrid w:val="0"/>
        </w:rPr>
      </w:pPr>
      <w:r w:rsidRPr="00F00095">
        <w:t xml:space="preserve">Prevádzkovateľ pred zahájením prevádzky uzatvorí zmluvy s odberateľmi odpadov, ktorí majú pre túto činnosť oprávnenie a môžu zabezpečovať zhodnocovanie a zneškodňovanie uvedených druhov odpadu. </w:t>
      </w:r>
      <w:r w:rsidRPr="00F00095">
        <w:rPr>
          <w:snapToGrid w:val="0"/>
        </w:rPr>
        <w:t>Nebezpečné odpady zabezpečí firma s oprávnením na takúto činnosť.</w:t>
      </w:r>
    </w:p>
    <w:p w14:paraId="38B617B5" w14:textId="194D2AF1" w:rsidR="00CA1585" w:rsidRPr="00F00095" w:rsidRDefault="00CA1585" w:rsidP="001A2F9B">
      <w:pPr>
        <w:pStyle w:val="A-Text11"/>
      </w:pPr>
      <w:r w:rsidRPr="00F00095">
        <w:t>Odpady produkované budúcou prevádzkou sú uvedené v tabuľke v predpoklada</w:t>
      </w:r>
      <w:r w:rsidRPr="00F00095">
        <w:softHyphen/>
        <w:t xml:space="preserve">ných druhoch a spôsobe nakladania s nimi, podľa účelového využitia vybudovaných priestorov a zabudovaných technických a technologických zariadení. </w:t>
      </w:r>
    </w:p>
    <w:p w14:paraId="2FF43DC5" w14:textId="1A80C91C" w:rsidR="00E65CA9" w:rsidRPr="00F00095" w:rsidRDefault="00E65CA9" w:rsidP="001A2F9B">
      <w:pPr>
        <w:pStyle w:val="A-Text11"/>
      </w:pPr>
      <w:r w:rsidRPr="00F00095">
        <w:t>V prevádzke budú zberné nádoby na komunálny odpad, vrátane kontajnerov na separovaný zber zhodnotiteľn</w:t>
      </w:r>
      <w:r w:rsidR="009B0F43">
        <w:t>ý</w:t>
      </w:r>
      <w:r w:rsidRPr="00F00095">
        <w:t>ch zložiek komunálnych odpadov, v súlade so zavedeným systémom zberu komunálnych odpadov a zberom triedených zložiek z KO, ako o tom hovoria ustanovenia VZN Hl. m. SR Bratislava o nakladaní s komunálnymi odpadmi a drobnými stavebnými odpadmi v znení neskorších zmien. Systém nakladania s odpadmi v budúcej prevádzke bude podrobnejšie riešený v ďalších stupňoch PD.</w:t>
      </w:r>
    </w:p>
    <w:p w14:paraId="47F28422" w14:textId="77777777" w:rsidR="00E65CA9" w:rsidRPr="00F00095" w:rsidRDefault="00E65CA9" w:rsidP="001A2F9B">
      <w:pPr>
        <w:pStyle w:val="A-Text11"/>
        <w:rPr>
          <w:szCs w:val="24"/>
        </w:rPr>
      </w:pPr>
      <w:r w:rsidRPr="00F00095">
        <w:rPr>
          <w:szCs w:val="24"/>
        </w:rPr>
        <w:t>Odpad kat. č. 130502 nebude zhromažďovaný, ihneď po čistení odlučovača ropných látok bude odvážaný oprávnenou firmou na zneškodnenie. Prípadné ďalšie druhy vznikajúcich odpadov a spôsob nakladania s nimi budú upresnené pri spracovaní realizačnej projektovej dokumentácie.</w:t>
      </w:r>
    </w:p>
    <w:p w14:paraId="3F155F00" w14:textId="2CD803BD" w:rsidR="005D0C77" w:rsidRPr="00F00095" w:rsidRDefault="005D0C77" w:rsidP="001A2F9B">
      <w:pPr>
        <w:pStyle w:val="A-Text11"/>
      </w:pPr>
      <w:r w:rsidRPr="00F00095">
        <w:t xml:space="preserve">Na území hlavného mesta SR upravuje podrobnosti v oblasti nakladania s odpadmi všeobecne záväzné nariadenie č. </w:t>
      </w:r>
      <w:r w:rsidR="00FE7E8B" w:rsidRPr="00F00095">
        <w:t>6</w:t>
      </w:r>
      <w:r w:rsidRPr="00F00095">
        <w:t>/20</w:t>
      </w:r>
      <w:r w:rsidR="00FE7E8B" w:rsidRPr="00F00095">
        <w:t>20</w:t>
      </w:r>
      <w:r w:rsidRPr="00F00095">
        <w:t xml:space="preserve">. </w:t>
      </w:r>
    </w:p>
    <w:p w14:paraId="31EA63BC" w14:textId="77777777" w:rsidR="005D0C77" w:rsidRPr="00F00095" w:rsidRDefault="005D0C77" w:rsidP="001A2F9B">
      <w:pPr>
        <w:pStyle w:val="A-Text11"/>
      </w:pPr>
      <w:r w:rsidRPr="00F00095">
        <w:t xml:space="preserve">Investor stavby ako aj správca budúcej prevádzky, objektov v komplexe, ako pôvodcovia odpadov, musia zosúladiť svoju činnosť pri nakladaní so vznikajúcimi odpadmi s platnou legislatívou pre OH rovnako počas výstavby ako aj v čase po uvedení stavby do prevádzky.  </w:t>
      </w:r>
    </w:p>
    <w:p w14:paraId="0800E9E2" w14:textId="77777777" w:rsidR="005D0C77" w:rsidRPr="00F00095" w:rsidRDefault="005D0C77" w:rsidP="001A2F9B">
      <w:pPr>
        <w:pStyle w:val="A-Text11"/>
      </w:pPr>
      <w:r w:rsidRPr="00F00095">
        <w:lastRenderedPageBreak/>
        <w:t xml:space="preserve">Spôsob nakladania s odpadmi, najmä s komunálnymi odpadmi je potrebné zosúladiť aj so Všeobecným záväzným nariadením k nakladaniu s KO a drobnými stavebnými odpadmi v meste, resp. mestskej časti, ktoré je povinný rešpektovať každý, ktorý svojou činnosťou produkuje KO. </w:t>
      </w:r>
    </w:p>
    <w:p w14:paraId="26193AA0" w14:textId="77777777" w:rsidR="005D0C77" w:rsidRPr="00F00095" w:rsidRDefault="005D0C77" w:rsidP="001A2F9B">
      <w:pPr>
        <w:pStyle w:val="A-Text11"/>
      </w:pPr>
      <w:r w:rsidRPr="00F00095">
        <w:t>V budúcej prevádzke musia byť zodpovedajúce zberné nádoby na komunálny odpad a kontajnery na separovaný zber zhodnotiteľných zložiek komunálnych odpadov, v súlade so zavedeným systémom zberu KO a zberu zhodnotiteľných zložiek KO v meste. Uvažovaný systém nakladania s odpadmi v budúcej prevádzke plne rešpektuje práva a povinnosti pôvodcu KO, ako aj povinnosti PO pri triedení problémových látok, nebezpečných odpadov a ich následné zneškodnenie pros</w:t>
      </w:r>
      <w:r w:rsidRPr="00F00095">
        <w:softHyphen/>
        <w:t>tredníctvom oprávnených PO na zber, ich materiálové alebo energetické zhodnotenie, prípadne zodpovedajúce zneškod</w:t>
      </w:r>
      <w:r w:rsidRPr="00F00095">
        <w:softHyphen/>
        <w:t xml:space="preserve">nenie jednotlivých druhov NO aj ostatných odpadov. </w:t>
      </w:r>
    </w:p>
    <w:p w14:paraId="30EAD675" w14:textId="77777777" w:rsidR="005D0C77" w:rsidRPr="00F00095" w:rsidRDefault="005D0C77" w:rsidP="001A2F9B">
      <w:pPr>
        <w:pStyle w:val="A-Text11"/>
      </w:pPr>
      <w:r w:rsidRPr="00F00095">
        <w:t xml:space="preserve">Spôsob nakladania s odpadmi v budúcej prevádzke, najmä s komunálnymi odpadmi, zohľadňuje aktuálne právne normy v OH, ako je Zákon č. 79/2015 Z.z. o odpadoch a vedenie evidencie v zmysle vyhlášky MŽP SR č. 366/2015 Z.z. o evidenčnej povinnosti a ohlasovacej povinnosti na predpísanom tlačive, oddelené zhromažďovanie odpadov  podľa druhov  a ich zhodnocovanie alebo zneškodňovanie. </w:t>
      </w:r>
    </w:p>
    <w:p w14:paraId="3C32012C" w14:textId="77777777" w:rsidR="005D0C77" w:rsidRPr="00F00095" w:rsidRDefault="005D0C77" w:rsidP="001A2F9B">
      <w:pPr>
        <w:pStyle w:val="A-Text11"/>
      </w:pPr>
      <w:r w:rsidRPr="00F00095">
        <w:t>V prevádzke budú zberné nádoby na komunálny odpad, vrátane kontajnerov na triedený zber zhodnotiteľných zložiek komunálnych odpadov, v súlade so zavedeným systémom zberu komunálnych odpadov a zberom triedených zložiek z KO. Systém nakladania s odpadmi v budúcej prevádzke bude podrobnejšie riešený v ďalších stupňoch PD.</w:t>
      </w:r>
    </w:p>
    <w:p w14:paraId="6563D770" w14:textId="77777777" w:rsidR="005D0C77" w:rsidRPr="00F00095" w:rsidRDefault="005D0C77" w:rsidP="001A2F9B">
      <w:pPr>
        <w:pStyle w:val="A-Text11"/>
      </w:pPr>
      <w:r w:rsidRPr="00F00095">
        <w:t xml:space="preserve">Kategorizácia  odpadu je spracovaná v súlade s vyhláškou MŽP SR č. 365/2015 Z. z. ktorou sa ustanovuje katalóg odpadov. </w:t>
      </w:r>
    </w:p>
    <w:p w14:paraId="424CD774" w14:textId="77777777" w:rsidR="005D0C77" w:rsidRPr="00F00095" w:rsidRDefault="005D0C77" w:rsidP="001A2F9B">
      <w:pPr>
        <w:pStyle w:val="A-Text11"/>
      </w:pPr>
      <w:r w:rsidRPr="00F00095">
        <w:t>Odpad kat. č. 130502 nebude zhromažďovaný, ihneď po čistení odlučovača ropných látok bude odvážaný oprávnenou firmou na zneškodnenie. Prípadné ďalšie druhy vznikajúcich odpadov a spôsob nakladania s nimi budú upresnené pri spracovaní realizačnej projektovej dokumentácie.</w:t>
      </w:r>
    </w:p>
    <w:p w14:paraId="18F248F9" w14:textId="77777777" w:rsidR="005D0C77" w:rsidRPr="00F00095" w:rsidRDefault="005D0C77" w:rsidP="001A2F9B">
      <w:pPr>
        <w:pStyle w:val="A-Text11"/>
      </w:pPr>
      <w:r w:rsidRPr="00F00095">
        <w:t>K termínu kolaudácie investor zabezpečí  platné zmluvy so subjektmi oprávnenými na podnikanie v oblasti nakladania s odpadmi o zabezpečení odberu, prepravy  a zneškodnenia všetkých v objekte vznikajúcich odpadov.</w:t>
      </w:r>
    </w:p>
    <w:p w14:paraId="21E6250B" w14:textId="77777777" w:rsidR="005D0C77" w:rsidRPr="00F00095" w:rsidRDefault="005D0C77" w:rsidP="001A2F9B">
      <w:pPr>
        <w:pStyle w:val="A-Text11"/>
      </w:pPr>
      <w:r w:rsidRPr="00F00095">
        <w:t xml:space="preserve">Zásobovanie a odpadové hospodárstvo polyfunkčného komplexu  je riešené z vnútro-areálových komunikácií. Odpad, ktorý bude vznikať prevádzkou jednotlivých objektov bude skladovaný v priestoroch na to vyhradených, s priamym prístupom z vonkajšej komunikácie a bude odvážaný po vytvorení zmluvného vzťahu s firmou, ktorá bude zabezpečovať jeho odvoz, uskladnenie alebo recykláciu. </w:t>
      </w:r>
    </w:p>
    <w:p w14:paraId="1527CD66" w14:textId="77777777" w:rsidR="005D0C77" w:rsidRPr="00F00095" w:rsidRDefault="005D0C77" w:rsidP="001A2F9B">
      <w:pPr>
        <w:pStyle w:val="A-Text11"/>
      </w:pPr>
      <w:r w:rsidRPr="00F00095">
        <w:t>Prevádzkovateľ musí mať do začiatku prevádzky objektu zabezpečený v zmysle zákona č. 79/2015 Z.z. o odpadoch súhlas na zhromažďovanie nebezpečných odpadov v mieste vzniku, ktoré budú v objekte vznikať.</w:t>
      </w:r>
    </w:p>
    <w:p w14:paraId="32FF7096" w14:textId="100FCD98" w:rsidR="00E65CA9" w:rsidRPr="00945014" w:rsidRDefault="00E65CA9" w:rsidP="008C6F96">
      <w:pPr>
        <w:pStyle w:val="3rovenadpis"/>
      </w:pPr>
      <w:bookmarkStart w:id="274" w:name="_Toc395894097"/>
      <w:bookmarkStart w:id="275" w:name="_Toc403849689"/>
      <w:bookmarkStart w:id="276" w:name="_Toc495992975"/>
      <w:bookmarkStart w:id="277" w:name="_Toc93916840"/>
      <w:r w:rsidRPr="00945014">
        <w:t>Iné výstupy počas prevádzky</w:t>
      </w:r>
      <w:bookmarkEnd w:id="274"/>
      <w:bookmarkEnd w:id="275"/>
      <w:bookmarkEnd w:id="276"/>
      <w:bookmarkEnd w:id="277"/>
      <w:r w:rsidRPr="00945014">
        <w:t xml:space="preserve"> </w:t>
      </w:r>
    </w:p>
    <w:p w14:paraId="0C8EFC9E" w14:textId="34D12E79" w:rsidR="00E65CA9" w:rsidRPr="00945014" w:rsidRDefault="00E65CA9" w:rsidP="00A24DF8">
      <w:pPr>
        <w:pStyle w:val="A-Text11"/>
        <w:rPr>
          <w:bCs/>
          <w:iCs/>
        </w:rPr>
      </w:pPr>
      <w:r w:rsidRPr="00945014">
        <w:t xml:space="preserve">Predovšetkým v súvislosti s automobilovou dopravou možno predpokladať zvýšenú záťaž hlukom z pohybu automobilov. V rámci </w:t>
      </w:r>
      <w:r w:rsidR="006113D4" w:rsidRPr="00945014">
        <w:t>vy</w:t>
      </w:r>
      <w:r w:rsidRPr="00945014">
        <w:t>hodnotenia vplyvov na životné prostredie b</w:t>
      </w:r>
      <w:r w:rsidR="006113D4" w:rsidRPr="00945014">
        <w:t xml:space="preserve">ola </w:t>
      </w:r>
      <w:r w:rsidRPr="00945014">
        <w:lastRenderedPageBreak/>
        <w:t>vypracovaná samostatná akustická (hluková) štúdia</w:t>
      </w:r>
      <w:r w:rsidRPr="00945014">
        <w:rPr>
          <w:b/>
        </w:rPr>
        <w:t>,</w:t>
      </w:r>
      <w:r w:rsidRPr="00945014">
        <w:t xml:space="preserve"> ktorá  </w:t>
      </w:r>
      <w:r w:rsidR="00196CD3" w:rsidRPr="00945014">
        <w:t>vy</w:t>
      </w:r>
      <w:r w:rsidRPr="00945014">
        <w:t>hodnot</w:t>
      </w:r>
      <w:r w:rsidR="006113D4" w:rsidRPr="00945014">
        <w:t>ila</w:t>
      </w:r>
      <w:r w:rsidRPr="00945014">
        <w:t xml:space="preserve"> zmeny hlukových pomerov po výstavbe objektu</w:t>
      </w:r>
      <w:r w:rsidRPr="00945014">
        <w:rPr>
          <w:bCs/>
          <w:iCs/>
        </w:rPr>
        <w:t xml:space="preserve">. </w:t>
      </w:r>
    </w:p>
    <w:p w14:paraId="647DEFDF" w14:textId="20229821" w:rsidR="00E65CA9" w:rsidRPr="004A7717" w:rsidRDefault="00E65CA9" w:rsidP="008C6F96">
      <w:pPr>
        <w:pStyle w:val="3rovenadpis"/>
      </w:pPr>
      <w:bookmarkStart w:id="278" w:name="_Toc395894098"/>
      <w:bookmarkStart w:id="279" w:name="_Toc403849690"/>
      <w:bookmarkStart w:id="280" w:name="_Toc495992976"/>
      <w:bookmarkStart w:id="281" w:name="_Toc93916841"/>
      <w:r w:rsidRPr="004A7717">
        <w:t>Podmieňujúce  investície</w:t>
      </w:r>
      <w:bookmarkEnd w:id="278"/>
      <w:bookmarkEnd w:id="279"/>
      <w:bookmarkEnd w:id="280"/>
      <w:bookmarkEnd w:id="281"/>
    </w:p>
    <w:p w14:paraId="4E6819E0" w14:textId="1C56B5E8" w:rsidR="000F7357" w:rsidRDefault="00E65CA9" w:rsidP="00A24DF8">
      <w:pPr>
        <w:pStyle w:val="A-Text11"/>
      </w:pPr>
      <w:r w:rsidRPr="00A24DF8">
        <w:t xml:space="preserve">V úrovni súčasnej prípravy navrhovanej činnosti neboli identifikované  podmieňujúce investície nad rámec popísaných v kapitole II.8.2. </w:t>
      </w:r>
    </w:p>
    <w:p w14:paraId="6E3E6415" w14:textId="585507CE" w:rsidR="00E65CA9" w:rsidRPr="004A7717" w:rsidRDefault="00E65CA9" w:rsidP="008C6F96">
      <w:pPr>
        <w:pStyle w:val="Nadpis2"/>
      </w:pPr>
      <w:bookmarkStart w:id="282" w:name="_Toc495992977"/>
      <w:bookmarkStart w:id="283" w:name="_Toc93916842"/>
      <w:r w:rsidRPr="004A7717">
        <w:t>Údaje o predpokladaných priamych a nepriamych vplyvoch na životné prostredie</w:t>
      </w:r>
      <w:bookmarkEnd w:id="282"/>
      <w:bookmarkEnd w:id="283"/>
    </w:p>
    <w:p w14:paraId="6A927855" w14:textId="77777777" w:rsidR="00E65CA9" w:rsidRPr="00E601C5" w:rsidRDefault="00E65CA9" w:rsidP="00E601C5">
      <w:pPr>
        <w:pStyle w:val="A-Text11"/>
      </w:pPr>
      <w:r w:rsidRPr="00E601C5">
        <w:t>Z hľadiska časového priebehu pôsobenia očakávaných vplyvov danej prevádzky na životné prostredie je potrebné tieto rozdeliť do dvoch etáp:</w:t>
      </w:r>
    </w:p>
    <w:p w14:paraId="101F34B7" w14:textId="77777777" w:rsidR="00E65CA9" w:rsidRPr="00E601C5" w:rsidRDefault="00E65CA9" w:rsidP="0095439F">
      <w:pPr>
        <w:pStyle w:val="A-Text11"/>
        <w:numPr>
          <w:ilvl w:val="0"/>
          <w:numId w:val="36"/>
        </w:numPr>
        <w:rPr>
          <w:b/>
          <w:bCs/>
          <w:i/>
          <w:iCs/>
        </w:rPr>
      </w:pPr>
      <w:r w:rsidRPr="00E601C5">
        <w:rPr>
          <w:b/>
          <w:bCs/>
          <w:i/>
          <w:iCs/>
        </w:rPr>
        <w:t>etapa výstavby</w:t>
      </w:r>
    </w:p>
    <w:p w14:paraId="1836102C" w14:textId="77777777" w:rsidR="00E65CA9" w:rsidRPr="00E601C5" w:rsidRDefault="00E65CA9" w:rsidP="0032454C">
      <w:pPr>
        <w:pStyle w:val="A-Text11"/>
        <w:numPr>
          <w:ilvl w:val="0"/>
          <w:numId w:val="36"/>
        </w:numPr>
        <w:spacing w:before="0" w:line="240" w:lineRule="auto"/>
        <w:ind w:left="1145" w:hanging="357"/>
        <w:rPr>
          <w:i/>
          <w:iCs/>
          <w:szCs w:val="24"/>
        </w:rPr>
      </w:pPr>
      <w:r w:rsidRPr="00E601C5">
        <w:rPr>
          <w:b/>
          <w:bCs/>
          <w:i/>
          <w:iCs/>
        </w:rPr>
        <w:t>etapa prevádzky</w:t>
      </w:r>
      <w:r w:rsidRPr="00E601C5">
        <w:rPr>
          <w:i/>
          <w:iCs/>
          <w:szCs w:val="24"/>
        </w:rPr>
        <w:t xml:space="preserve"> </w:t>
      </w:r>
    </w:p>
    <w:p w14:paraId="6D172A98" w14:textId="317A8B44" w:rsidR="00E65CA9" w:rsidRPr="00E601C5" w:rsidRDefault="00E65CA9" w:rsidP="00E601C5">
      <w:pPr>
        <w:pStyle w:val="A-Text11"/>
      </w:pPr>
      <w:r w:rsidRPr="00E601C5">
        <w:rPr>
          <w:szCs w:val="24"/>
        </w:rPr>
        <w:t xml:space="preserve">Nulový variant predstavuje stav, ktorý by nastal, kedy by sa navrhovaná činnosť nerealizovala. V tomto prípade by určitý čas zostal súčasný stav bez zmeny. Vzhľadom na určenie lokality územnoplánovacou dokumentáciou je však reálny predpoklad, že aj v takomto prípade by bol predložený obdobný návrh na jej využitie v limitoch stanovených územným plánom. </w:t>
      </w:r>
      <w:r w:rsidRPr="00E601C5">
        <w:t xml:space="preserve">   </w:t>
      </w:r>
    </w:p>
    <w:p w14:paraId="4CEE07F7" w14:textId="77777777" w:rsidR="00CF1880" w:rsidRPr="00E601C5" w:rsidRDefault="00CF1880" w:rsidP="00E601C5">
      <w:pPr>
        <w:pStyle w:val="A-Text11"/>
        <w:rPr>
          <w:lang w:eastAsia="ar-SA"/>
        </w:rPr>
      </w:pPr>
      <w:r w:rsidRPr="00E601C5">
        <w:rPr>
          <w:lang w:eastAsia="ar-SA"/>
        </w:rPr>
        <w:t xml:space="preserve">Zámer je predkladaný v dvoch variantoch odlišujúcich sa v technologickom vybavení budovy, konkrétne s druhom záložného zdroja v prípade výpadku energií. Navrhované varianty sú porovnávané s nulovým variantom. </w:t>
      </w:r>
    </w:p>
    <w:p w14:paraId="2CC9F56B" w14:textId="77777777" w:rsidR="00E65CA9" w:rsidRPr="004A7717" w:rsidRDefault="00E65CA9" w:rsidP="008C6F96">
      <w:pPr>
        <w:pStyle w:val="3rovenadpis"/>
      </w:pPr>
      <w:bookmarkStart w:id="284" w:name="_Toc64293307"/>
      <w:bookmarkStart w:id="285" w:name="_Toc129949192"/>
      <w:bookmarkStart w:id="286" w:name="_Toc132078711"/>
      <w:bookmarkStart w:id="287" w:name="_Toc495992978"/>
      <w:bookmarkStart w:id="288" w:name="_Toc93916843"/>
      <w:r w:rsidRPr="004A7717">
        <w:t>Etapa  výstavby</w:t>
      </w:r>
      <w:bookmarkEnd w:id="284"/>
      <w:bookmarkEnd w:id="285"/>
      <w:bookmarkEnd w:id="286"/>
      <w:bookmarkEnd w:id="287"/>
      <w:bookmarkEnd w:id="288"/>
    </w:p>
    <w:p w14:paraId="5AD8C86F" w14:textId="2861E41F" w:rsidR="00E65CA9" w:rsidRPr="00D049C7" w:rsidRDefault="00E65CA9" w:rsidP="00D049C7">
      <w:pPr>
        <w:pStyle w:val="A-Text11"/>
        <w:ind w:firstLine="0"/>
        <w:rPr>
          <w:b/>
          <w:bCs/>
        </w:rPr>
      </w:pPr>
      <w:bookmarkStart w:id="289" w:name="_Toc129949193"/>
      <w:bookmarkStart w:id="290" w:name="_Toc395894101"/>
      <w:bookmarkStart w:id="291" w:name="_Toc403849693"/>
      <w:bookmarkStart w:id="292" w:name="_Toc495992979"/>
      <w:r w:rsidRPr="00D049C7">
        <w:rPr>
          <w:b/>
          <w:bCs/>
        </w:rPr>
        <w:t>Predpokladané vplyvy na obyvateľstvo</w:t>
      </w:r>
      <w:bookmarkEnd w:id="289"/>
      <w:bookmarkEnd w:id="290"/>
      <w:bookmarkEnd w:id="291"/>
      <w:bookmarkEnd w:id="292"/>
    </w:p>
    <w:p w14:paraId="498E3DDD" w14:textId="77777777" w:rsidR="005D0C77" w:rsidRPr="00EF0A21" w:rsidRDefault="005D0C77" w:rsidP="00D049C7">
      <w:pPr>
        <w:pStyle w:val="A-Text11"/>
      </w:pPr>
      <w:r w:rsidRPr="00EF0A21">
        <w:t xml:space="preserve">Stavba </w:t>
      </w:r>
      <w:r w:rsidRPr="00EF0A21">
        <w:rPr>
          <w:i/>
          <w:u w:val="single"/>
        </w:rPr>
        <w:t>podľa  navrhovaných variantov</w:t>
      </w:r>
      <w:r w:rsidRPr="00EF0A21">
        <w:t xml:space="preserve"> bude realizovaná na základe stavebného povolenia. V ňom budú premietnuté všetky podmienky realizácie tak, aby boli dodržané všetky platné legislatívne podmienky smerujúce k eliminácii negatívnych vplyvov na obyvateľstvo. </w:t>
      </w:r>
    </w:p>
    <w:p w14:paraId="70E82491" w14:textId="77777777" w:rsidR="005D0C77" w:rsidRPr="00EF0A21" w:rsidRDefault="005D0C77" w:rsidP="00D049C7">
      <w:pPr>
        <w:pStyle w:val="A-Text11"/>
      </w:pPr>
      <w:r w:rsidRPr="00EF0A21">
        <w:t>V etape výstavby bude v priestore stavby zvýšený pohyb stavebných mechanizmov. Tento hlukom a sprostredkovane znečistením ovzdušia prašnosťou a výfukovými plynmi  lokálne  ovplyvní lokalitu a tým aj časť obyvateľov.  Tento dopad však bude minimálny a krátkodobý.</w:t>
      </w:r>
    </w:p>
    <w:p w14:paraId="14CFD45A" w14:textId="77777777" w:rsidR="005D0C77" w:rsidRPr="00EF0A21" w:rsidRDefault="005D0C77" w:rsidP="00D049C7">
      <w:pPr>
        <w:pStyle w:val="A-Text11"/>
      </w:pPr>
      <w:r w:rsidRPr="00EF0A21">
        <w:t>Počas výstavby i prevádzky areálu treba rešpektovať Vyhlášku MZ SR č. 549/2007 Z.z. ktorým sa ustanovujú podrobnosti o prípustných hodnotách hluku, infrazvuku a vibrácií a o požiadavkách na objektivizáciu hluku, infrazvuku a vibrácií.</w:t>
      </w:r>
    </w:p>
    <w:p w14:paraId="041235F9" w14:textId="77777777" w:rsidR="005D0C77" w:rsidRPr="00EF0A21" w:rsidRDefault="005D0C77" w:rsidP="00D049C7">
      <w:pPr>
        <w:pStyle w:val="A-Text11"/>
      </w:pPr>
      <w:r w:rsidRPr="00EF0A21">
        <w:t>V areáli sa nepredpokladá inštalácia zariadení, ktoré by mohli byť zdrojom vibrácií, elektromagnetického alebo rádioaktívneho žiarenia s negatívnym dopadom na obyvateľstvo.</w:t>
      </w:r>
    </w:p>
    <w:p w14:paraId="49AD4A8D" w14:textId="77777777" w:rsidR="005D0C77" w:rsidRPr="00EF0A21" w:rsidRDefault="005D0C77" w:rsidP="00D049C7">
      <w:pPr>
        <w:pStyle w:val="A-Text11"/>
      </w:pPr>
      <w:r w:rsidRPr="00EF0A21">
        <w:t xml:space="preserve">Priame vplyvy  a riziká budú znášať len pracovníci priamo zúčastnení na výstavbe. Všetky práce musia byť zrealizované v súlade s STN a príslušných bezpečnostných predpisov. </w:t>
      </w:r>
    </w:p>
    <w:p w14:paraId="1811ECCD" w14:textId="77777777" w:rsidR="005D0C77" w:rsidRPr="00EF0A21" w:rsidRDefault="005D0C77" w:rsidP="00D049C7">
      <w:pPr>
        <w:pStyle w:val="A-Text11"/>
        <w:rPr>
          <w:b/>
          <w:szCs w:val="20"/>
        </w:rPr>
      </w:pPr>
      <w:r w:rsidRPr="00EF0A21">
        <w:rPr>
          <w:spacing w:val="-3"/>
          <w:szCs w:val="20"/>
        </w:rPr>
        <w:t xml:space="preserve">Pri realizácii stavby je treba dodržiavať všetky platné normy, predpisy a vyhlášky. Výkopové práce v ochranných pásmach podzemných vedení budú realizované ručným výkopom. Pred začatím výstavby je potrebné overiť a vytýčiť všetky podzemné inžinierske siete správcami príslušných sietí. </w:t>
      </w:r>
    </w:p>
    <w:p w14:paraId="02B62554" w14:textId="77777777" w:rsidR="005D0C77" w:rsidRPr="00EF0A21" w:rsidRDefault="005D0C77" w:rsidP="00D049C7">
      <w:pPr>
        <w:pStyle w:val="A-Text11"/>
        <w:rPr>
          <w:b/>
          <w:szCs w:val="20"/>
        </w:rPr>
      </w:pPr>
      <w:r w:rsidRPr="00EF0A21">
        <w:rPr>
          <w:szCs w:val="20"/>
        </w:rPr>
        <w:lastRenderedPageBreak/>
        <w:t>Stavebné práce a všetky zabudované materiály musia spĺňať všetky technicko-kvalitatívne podmienky, čím bude zaručená bezpečnosť práce.</w:t>
      </w:r>
    </w:p>
    <w:p w14:paraId="20C2CB7A" w14:textId="7BBFE6E7" w:rsidR="005D0C77" w:rsidRDefault="005D0C77" w:rsidP="00D049C7">
      <w:pPr>
        <w:pStyle w:val="A-Text11"/>
        <w:rPr>
          <w:bCs/>
        </w:rPr>
      </w:pPr>
      <w:r w:rsidRPr="00EF0A21">
        <w:rPr>
          <w:bCs/>
        </w:rPr>
        <w:t xml:space="preserve">Dodávateľ stavebných prác je povinný zabezpečiť školenie a zaučenie pracovníkov, prípadne prakticky ich zaučiť a to v rozsahu potrebnom na výkon ich práce, v súlade so zákonom č. </w:t>
      </w:r>
      <w:r w:rsidRPr="00EF0A21">
        <w:t xml:space="preserve">355/2007 </w:t>
      </w:r>
      <w:r w:rsidRPr="00EF0A21">
        <w:rPr>
          <w:bCs/>
        </w:rPr>
        <w:t xml:space="preserve">Z.z. o verejnom zdravotníctve  a zákonom č. </w:t>
      </w:r>
      <w:r w:rsidRPr="00EF0A21">
        <w:t xml:space="preserve">124/2006 </w:t>
      </w:r>
      <w:r w:rsidRPr="00EF0A21">
        <w:rPr>
          <w:bCs/>
        </w:rPr>
        <w:t>Z.z. o bezpečnosti a ochrane zdravia pri práci. Pracovníci vykonávajúci stavebné práce musia spĺňať požiadavky na odbornú a zdravotnú spôsobilosť v súlade s vyhláškou SÚBP a SBÚ č. 374/1990 Zb. časť  3 paragraf 9 odst.2.</w:t>
      </w:r>
    </w:p>
    <w:p w14:paraId="640E9A17" w14:textId="1DCBF826" w:rsidR="00D049C7" w:rsidRPr="00EA41EC" w:rsidRDefault="00E65CA9" w:rsidP="00D049C7">
      <w:pPr>
        <w:pStyle w:val="A-Text11"/>
        <w:ind w:firstLine="0"/>
        <w:rPr>
          <w:b/>
          <w:bCs/>
        </w:rPr>
      </w:pPr>
      <w:bookmarkStart w:id="293" w:name="_Toc129949194"/>
      <w:bookmarkStart w:id="294" w:name="_Toc395894102"/>
      <w:bookmarkStart w:id="295" w:name="_Toc403849694"/>
      <w:bookmarkStart w:id="296" w:name="_Toc495992980"/>
      <w:r w:rsidRPr="00EA41EC">
        <w:rPr>
          <w:b/>
          <w:bCs/>
        </w:rPr>
        <w:t>Predpokladané vplyvy na prírodné prostredie</w:t>
      </w:r>
      <w:bookmarkStart w:id="297" w:name="_Toc64293308"/>
      <w:bookmarkStart w:id="298" w:name="_Toc129949195"/>
      <w:bookmarkEnd w:id="293"/>
      <w:bookmarkEnd w:id="294"/>
      <w:bookmarkEnd w:id="295"/>
      <w:bookmarkEnd w:id="296"/>
    </w:p>
    <w:p w14:paraId="522140CE" w14:textId="7CE96A87" w:rsidR="008E24B6" w:rsidRPr="009812FE" w:rsidRDefault="008E24B6" w:rsidP="00DC5343">
      <w:pPr>
        <w:pStyle w:val="A-Text11"/>
      </w:pPr>
      <w:r w:rsidRPr="009812FE">
        <w:t>Zeleň a najmä dreviny sú významnou zložkou v procese zvyšovania kvality života nie len v extraviláne miest a obcí ale aj v intraviláne. Zohrávajú mnoho dôležitých úloh v ekologických procesoch v rámci rôznych ekosystémov a najmä v mestách a dedinách sú významným faktorom ovplyvňujúcim mikroklímu. Okrem produkcie kyslíka, viazania skleníkového plynu CO</w:t>
      </w:r>
      <w:r w:rsidRPr="00864E5D">
        <w:rPr>
          <w:vertAlign w:val="subscript"/>
        </w:rPr>
        <w:t>2</w:t>
      </w:r>
      <w:r w:rsidRPr="009812FE">
        <w:t>, produkujú fytoncídy (látky ničiace choroboplodné zárodky), zachytávajú prach a sú domovom a potravnou bázou pre mnohé druhy stavovcov ale aj stále viac a viac ohrozených bezstavovcov. Aj z týchto dôvodov by bolo vhodné, aby sa potrebný výrub drevín uskutočnil v období vegetačného pokoja.</w:t>
      </w:r>
    </w:p>
    <w:p w14:paraId="64628496" w14:textId="03DE9720" w:rsidR="00EC032D" w:rsidRPr="009812FE" w:rsidRDefault="00EC032D" w:rsidP="00DC5343">
      <w:pPr>
        <w:pStyle w:val="A-Text11"/>
      </w:pPr>
      <w:r w:rsidRPr="009812FE">
        <w:t>V sledovanom území prevládajú antropogénne biotopy. Dreviny patria do kategórie zeleň v intraviláne, ktorá je tvorená staršími neudržiavanými drevinami, mohutnejšími starými solitérmi, vysadenými ihličnanmi alebo stromami v stromoradí popri komunikácii a náletovými a inváznymi drevinami, niektoré dreviny sú poškodené vplyvom zhutneného koreňového priestoru. Inventarizovaná zeleň by mala plniť v prvom rade estetickú funkciu, ale určitým spôsobom aj ekologickú funkciu.</w:t>
      </w:r>
    </w:p>
    <w:p w14:paraId="417EF0A9" w14:textId="136B3344" w:rsidR="00EC032D" w:rsidRPr="009812FE" w:rsidRDefault="00EC032D" w:rsidP="009812FE">
      <w:pPr>
        <w:pStyle w:val="A-Text11"/>
        <w:spacing w:line="240" w:lineRule="auto"/>
      </w:pPr>
      <w:r w:rsidRPr="009812FE">
        <w:t>V riešenom území sa nenachádzajú žiadne chránené, ani inak vzácne stromy v zmysle § 49 zákona NR SR č. 543/2002 Z.z. o ochrane prírody a krajiny.</w:t>
      </w:r>
    </w:p>
    <w:p w14:paraId="42750E35" w14:textId="1079BFB8" w:rsidR="00EC032D" w:rsidRPr="009812FE" w:rsidRDefault="00EC032D" w:rsidP="009812FE">
      <w:pPr>
        <w:pStyle w:val="A-Text11"/>
        <w:spacing w:line="240" w:lineRule="auto"/>
      </w:pPr>
      <w:r w:rsidRPr="009812FE">
        <w:t xml:space="preserve">V riešenom území sa nachádzajú invázne dreviny v zmysle Nariadenia Vlády č. 449/2019 Z. z. ktorým sa vydáva zoznam inváznych nepôvodných druhov vzbudzujúcich obavy Slovenskej republiky. Ide o Negundo aceroides. </w:t>
      </w:r>
    </w:p>
    <w:p w14:paraId="21A8C81D" w14:textId="46A9F599" w:rsidR="00EC032D" w:rsidRPr="009812FE" w:rsidRDefault="00EC032D" w:rsidP="009812FE">
      <w:pPr>
        <w:pStyle w:val="A-Text11"/>
        <w:spacing w:line="240" w:lineRule="auto"/>
      </w:pPr>
      <w:r w:rsidRPr="009812FE">
        <w:t>Do riešeného územia nezasahuje žiadne chránené územie v zmysle § 26 zákona NR SR č. 543/2002 Z.z. o ochrane prírody a krajiny.</w:t>
      </w:r>
    </w:p>
    <w:p w14:paraId="09FF46E8" w14:textId="77777777" w:rsidR="009812FE" w:rsidRPr="009812FE" w:rsidRDefault="009812FE" w:rsidP="006E2F72">
      <w:pPr>
        <w:pStyle w:val="A-Text11"/>
      </w:pPr>
      <w:r w:rsidRPr="009812FE">
        <w:t>Posudzované územie leží v človekom intenzívne využívanej krajine v dotyku s existujúcimi významnými komunikačnými koridormi. Už tento fakt naznačuje, že biota záujmového územia je do značnej miery ovplyvnená a determinovaná zásahmi človeka v minulosti i súčasnosti. Pôvodná vegetácia záujmového územia je úplne zmenená a nezachovali sa tu žiadne pôvodné biotopy alebo lokality s výskytom významných druhov flóry alebo fauny.</w:t>
      </w:r>
    </w:p>
    <w:p w14:paraId="214FE0AA" w14:textId="766C5A33" w:rsidR="009812FE" w:rsidRPr="009812FE" w:rsidRDefault="009812FE" w:rsidP="006E2F72">
      <w:pPr>
        <w:pStyle w:val="A-Text11"/>
      </w:pPr>
      <w:r w:rsidRPr="009812FE">
        <w:t>V súčasnosti sa na lokalite vyskytujú dreviny, ktoré bude potrebné odstrániť a preto bude potrebné požiadať o súhlas na výrub drevín. Realizácia bude predstavovať zásah do plôch, na ktorých bude potrebný výrub drevín v zmysle Zákona NR SR č. 543/2002 Z.z. o ochrane prírody a krajiny v znení neskorších predpisov a Vyhlášky MŽP SR č. 170/2021 Z.z., ktorou sa vykonáva zákon č. 543/2002 Z.z. o ochrane prírody a krajiny v znení neskorších predpisov. Ostatná zeleň bude stavebnou činnosťou rešpektovaná</w:t>
      </w:r>
      <w:r w:rsidR="00F67DA0">
        <w:t>.</w:t>
      </w:r>
    </w:p>
    <w:p w14:paraId="106A9DF2" w14:textId="77777777" w:rsidR="009812FE" w:rsidRPr="009812FE" w:rsidRDefault="009812FE" w:rsidP="006E2F72">
      <w:pPr>
        <w:pStyle w:val="A-Text11"/>
      </w:pPr>
      <w:r w:rsidRPr="009812FE">
        <w:t xml:space="preserve">Realizácia zámeru nebude mať významný priamy a ani nepriamy vplyv na genofond a biodiverzitu územia. Dôjde k záberu plôch, ktoré v súčasnosti z hľadiska biodiverzity nemajú </w:t>
      </w:r>
      <w:r w:rsidRPr="009812FE">
        <w:lastRenderedPageBreak/>
        <w:t>podstatný význam. Zabraté budú len plochy, ktoré nepatria k významným biotopom. Kvalita týchto plôch vzhľadom na biodiverzitu je veľmi nízka</w:t>
      </w:r>
      <w:r w:rsidRPr="009812FE">
        <w:rPr>
          <w:color w:val="FF0000"/>
        </w:rPr>
        <w:t xml:space="preserve">. </w:t>
      </w:r>
      <w:r w:rsidRPr="009812FE">
        <w:t>V etape výstavby pri výkopových prácach, vplyvom prevádzky stavebnej a prepravnej techniky alebo dočasne pri uskladnení stavebného materiálu a pod. nedôjde k záberu plôch významných biotopov, pri ktorých by sa prejavil významný vplyv realizácie zámeru na genofond a biodiverzitu priamo dotknutého územia alebo jeho širšieho okolia. Možno predpokladať vplyv dočasného krátkodobého zvýšenia prašnosti v území pri zemných prácach a vzhľadom na živočíchov k tomu ešte pristúpi čiastočné zvýšenie hlučnosti a celkového znečistenia okolia stavby po dobu výstavby. Tým bude dočasne ovplyvnená prítomnosť niektorých druhov fauny v území.</w:t>
      </w:r>
    </w:p>
    <w:p w14:paraId="653A0BA1" w14:textId="77777777" w:rsidR="009812FE" w:rsidRPr="009812FE" w:rsidRDefault="009812FE" w:rsidP="006E2F72">
      <w:pPr>
        <w:pStyle w:val="A-Text11"/>
      </w:pPr>
      <w:r w:rsidRPr="009812FE">
        <w:t>Vzhľadom na vzdialenosť významných prírodných ekosystémov od lokality zámeru nie je predpoklad ani priameho či nepriameho negatívneho ovplyvnenia genofondu a biodiverzity širšieho záujmového územia.</w:t>
      </w:r>
    </w:p>
    <w:p w14:paraId="7EDCFA99" w14:textId="77777777" w:rsidR="009812FE" w:rsidRPr="009812FE" w:rsidRDefault="009812FE" w:rsidP="006E2F72">
      <w:pPr>
        <w:pStyle w:val="A-Text11"/>
      </w:pPr>
      <w:r w:rsidRPr="009812FE">
        <w:t>Chránené územia prírody v zmysle zákona, územia európskeho významu a chránené vtáčie územia sú mimo dosahu stavebných aktivít spojených s realizáciou navrhovanej investície. Ani jedno z týchto chránených území nebude výstavbou a ani prevádzkou priamo alebo nepriamo ovplyvnené.</w:t>
      </w:r>
    </w:p>
    <w:p w14:paraId="7E86BAFC" w14:textId="77777777" w:rsidR="009812FE" w:rsidRPr="009812FE" w:rsidRDefault="009812FE" w:rsidP="006E2F72">
      <w:pPr>
        <w:pStyle w:val="A-Text11"/>
      </w:pPr>
      <w:r w:rsidRPr="009812FE">
        <w:t>Realizácia navrhovanej činnosti nebude mať negatívny vplyv na štruktúru krajiny. Výstavba objektu sa v obidvoch variantoch doplní súčasný charakter lokality. Budú rešpektované všetky stanovené limity stavby. V konečnom dôsledku, vzhľadom na súčasný charakter a stav dotknutého územia, novostavba s vhodnou vegetačnou úpravou okolitého terénu môžu byť pozitívnym prínosom v mestskom prostredí z hľadiska estetického a krajinotvorného.</w:t>
      </w:r>
    </w:p>
    <w:p w14:paraId="11C05C0C" w14:textId="77777777" w:rsidR="009812FE" w:rsidRPr="009812FE" w:rsidRDefault="009812FE" w:rsidP="006E2F72">
      <w:pPr>
        <w:pStyle w:val="A-Text11"/>
      </w:pPr>
      <w:r w:rsidRPr="009812FE">
        <w:t>Zariadenie staveniska bude riešené na ploche pozemku, ktorý je vyčlenený pre zástavbu. Na týchto plochách bude umiestnené sociálne zariadenie staveniska a skládky materiálov – stavebný dvor. Presun mechanizmov bude po existujúcich dopravných trasách. V týchto súvislostiach nie je počas realizácie zámeru reálny predpoklad negatívnych vplyvov na geologické prostredie, pôdu, vodu, genofond a biodiverzitu a na krajinu.</w:t>
      </w:r>
    </w:p>
    <w:p w14:paraId="5DB3FDAB" w14:textId="77777777" w:rsidR="00487572" w:rsidRPr="009812FE" w:rsidRDefault="00487572" w:rsidP="009812FE">
      <w:pPr>
        <w:pStyle w:val="A-Text11"/>
        <w:spacing w:line="240" w:lineRule="auto"/>
      </w:pPr>
      <w:r w:rsidRPr="009812FE">
        <w:t>Zariadenie staveniska bude riešené na ploche pozemku, ktorý je vyčlenený pre zástavbu. Na týchto plochách bude umiestnené sociálne zariadenie staveniska a skládky materiálov – stavebný dvor.</w:t>
      </w:r>
    </w:p>
    <w:p w14:paraId="4EAA83E4" w14:textId="36E6A953" w:rsidR="00E65CA9" w:rsidRPr="004A7717" w:rsidRDefault="00E65CA9" w:rsidP="008C6F96">
      <w:pPr>
        <w:pStyle w:val="3rovenadpis"/>
      </w:pPr>
      <w:bookmarkStart w:id="299" w:name="_Toc132078714"/>
      <w:bookmarkStart w:id="300" w:name="_Toc495992981"/>
      <w:bookmarkStart w:id="301" w:name="_Toc93916844"/>
      <w:r w:rsidRPr="004A7717">
        <w:t>Etapa  prevádzky</w:t>
      </w:r>
      <w:bookmarkEnd w:id="297"/>
      <w:bookmarkEnd w:id="298"/>
      <w:bookmarkEnd w:id="299"/>
      <w:bookmarkEnd w:id="300"/>
      <w:bookmarkEnd w:id="301"/>
    </w:p>
    <w:p w14:paraId="7E928F27" w14:textId="11AC4F0A" w:rsidR="00E65CA9" w:rsidRPr="00EA41EC" w:rsidRDefault="00E65CA9" w:rsidP="00D049C7">
      <w:pPr>
        <w:pStyle w:val="A-Text11"/>
      </w:pPr>
      <w:bookmarkStart w:id="302" w:name="_Toc129949196"/>
      <w:r w:rsidRPr="00EA41EC">
        <w:t xml:space="preserve">V prípade, kedy by sa navrhovaná činnosť nerealizovala, by súčasný stav zostal určitý čas bez zmeny. Aj v takom prípade by v súčasnosti nevyužívaný priestor bol neskôr využitý v rámcoch limitov územného plánu. </w:t>
      </w:r>
      <w:bookmarkStart w:id="303" w:name="_Toc132078716"/>
      <w:r w:rsidRPr="00EA41EC">
        <w:t xml:space="preserve">Etapa prevádzky hodnotí predpokladané vplyvy navrhovaných variantov. V etape prevádzky sú vplyvy navrhovaných variantov čo do druhu vplyvov v zásade rovnaké. </w:t>
      </w:r>
    </w:p>
    <w:p w14:paraId="2F3C4C6E" w14:textId="77777777" w:rsidR="00394BB0" w:rsidRDefault="00394BB0" w:rsidP="00D049C7">
      <w:pPr>
        <w:pStyle w:val="A-Text11"/>
        <w:ind w:firstLine="0"/>
        <w:rPr>
          <w:b/>
          <w:bCs/>
        </w:rPr>
      </w:pPr>
      <w:bookmarkStart w:id="304" w:name="_Toc395894104"/>
      <w:bookmarkStart w:id="305" w:name="_Toc403849696"/>
      <w:bookmarkStart w:id="306" w:name="_Toc495992982"/>
      <w:bookmarkEnd w:id="303"/>
    </w:p>
    <w:p w14:paraId="1D32DF2A" w14:textId="77777777" w:rsidR="00394BB0" w:rsidRDefault="00394BB0" w:rsidP="00D049C7">
      <w:pPr>
        <w:pStyle w:val="A-Text11"/>
        <w:ind w:firstLine="0"/>
        <w:rPr>
          <w:b/>
          <w:bCs/>
        </w:rPr>
      </w:pPr>
    </w:p>
    <w:p w14:paraId="578AB664" w14:textId="374CED28" w:rsidR="00E65CA9" w:rsidRPr="00D049C7" w:rsidRDefault="00E65CA9" w:rsidP="00D049C7">
      <w:pPr>
        <w:pStyle w:val="A-Text11"/>
        <w:ind w:firstLine="0"/>
        <w:rPr>
          <w:b/>
          <w:bCs/>
        </w:rPr>
      </w:pPr>
      <w:r w:rsidRPr="00D049C7">
        <w:rPr>
          <w:b/>
          <w:bCs/>
        </w:rPr>
        <w:t>Predpokladané vplyvy na obyvateľstvo</w:t>
      </w:r>
      <w:bookmarkEnd w:id="302"/>
      <w:bookmarkEnd w:id="304"/>
      <w:bookmarkEnd w:id="305"/>
      <w:bookmarkEnd w:id="306"/>
    </w:p>
    <w:p w14:paraId="7F83F177" w14:textId="77777777" w:rsidR="00E65CA9" w:rsidRPr="004B7ACA" w:rsidRDefault="00E65CA9" w:rsidP="006E2F72">
      <w:pPr>
        <w:pStyle w:val="A-Text11"/>
      </w:pPr>
      <w:r w:rsidRPr="004B7ACA">
        <w:t xml:space="preserve">Z hľadiska obyvateľstva realizáciu zámeru možno hodnotiť pozitívne, nakoľko sa vytvorí niekoľko nových ponúk bytov, pracovných miest a služieb. Vhodnými stavebnými úpravami sa vytvorí esteticky pôsobivý prvok, čo pozitívne ovplyvní krajinný obraz lokality. </w:t>
      </w:r>
    </w:p>
    <w:p w14:paraId="03D36BF4" w14:textId="77777777" w:rsidR="00E65CA9" w:rsidRPr="004B7ACA" w:rsidRDefault="00E65CA9" w:rsidP="006E2F72">
      <w:pPr>
        <w:pStyle w:val="A-Text11"/>
      </w:pPr>
      <w:r w:rsidRPr="004B7ACA">
        <w:lastRenderedPageBreak/>
        <w:t>Hygienické požiadavky na hluk vo vonkajšom prostredí stanovuje  orgán na ochranu zdravia. Podľa Vyhlášky MZ SR č. 549/2007 Z.z., ktorou sa ustanovujú podrobnosti o prípustných hodnotách hluku, infrazvuku a vibrácií a o požiadavkách na objektivizáciu  hluku, infrazvuku a vibrácií sú prípustné  hodnoty určujúcich veličín takéto:</w:t>
      </w:r>
    </w:p>
    <w:p w14:paraId="60E11DB8" w14:textId="18BA6ACD" w:rsidR="00E65CA9" w:rsidRPr="00DA2BE8" w:rsidRDefault="00E65CA9" w:rsidP="00DC00C4">
      <w:pPr>
        <w:widowControl/>
        <w:spacing w:before="120"/>
        <w:jc w:val="both"/>
        <w:rPr>
          <w:rFonts w:ascii="Arial" w:hAnsi="Arial" w:cs="Arial"/>
          <w:i/>
          <w:iCs/>
          <w:sz w:val="18"/>
          <w:lang w:eastAsia="en-US"/>
        </w:rPr>
      </w:pPr>
      <w:r w:rsidRPr="00DA2BE8">
        <w:rPr>
          <w:rFonts w:ascii="Arial" w:hAnsi="Arial" w:cs="Arial"/>
          <w:i/>
          <w:iCs/>
          <w:sz w:val="18"/>
          <w:lang w:eastAsia="en-US"/>
        </w:rPr>
        <w:t xml:space="preserve">Tab. č. </w:t>
      </w:r>
      <w:r w:rsidR="009A767C" w:rsidRPr="00DA2BE8">
        <w:rPr>
          <w:rFonts w:ascii="Arial" w:hAnsi="Arial" w:cs="Arial"/>
          <w:i/>
          <w:iCs/>
          <w:sz w:val="18"/>
          <w:lang w:eastAsia="en-US"/>
        </w:rPr>
        <w:t>IV.</w:t>
      </w:r>
      <w:r w:rsidR="00047C3E" w:rsidRPr="00DA2BE8">
        <w:rPr>
          <w:rFonts w:ascii="Arial" w:hAnsi="Arial" w:cs="Arial"/>
          <w:i/>
          <w:iCs/>
          <w:sz w:val="18"/>
          <w:lang w:eastAsia="en-US"/>
        </w:rPr>
        <w:t>3.2.1</w:t>
      </w:r>
      <w:r w:rsidRPr="00DA2BE8">
        <w:rPr>
          <w:rFonts w:ascii="Arial" w:hAnsi="Arial" w:cs="Arial"/>
          <w:i/>
          <w:iCs/>
          <w:sz w:val="18"/>
          <w:lang w:eastAsia="en-US"/>
        </w:rPr>
        <w:t xml:space="preserve">: Prípustné hodnoty veličín hluku podľa Vyhlášky MZ SR č. 549/2007 Z.z.  </w:t>
      </w:r>
    </w:p>
    <w:tbl>
      <w:tblPr>
        <w:tblW w:w="10646"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3"/>
        <w:gridCol w:w="3713"/>
        <w:gridCol w:w="900"/>
        <w:gridCol w:w="1080"/>
        <w:gridCol w:w="1260"/>
        <w:gridCol w:w="720"/>
        <w:gridCol w:w="900"/>
        <w:gridCol w:w="1080"/>
      </w:tblGrid>
      <w:tr w:rsidR="004B7ACA" w:rsidRPr="004B7ACA" w14:paraId="0334AE85" w14:textId="77777777" w:rsidTr="003B6C9D">
        <w:trPr>
          <w:cantSplit/>
        </w:trPr>
        <w:tc>
          <w:tcPr>
            <w:tcW w:w="993" w:type="dxa"/>
            <w:vMerge w:val="restart"/>
          </w:tcPr>
          <w:p w14:paraId="373E10E2" w14:textId="4B4DF2EB" w:rsidR="00E65CA9" w:rsidRPr="004B7ACA" w:rsidRDefault="00E65CA9" w:rsidP="00CF6787">
            <w:pPr>
              <w:widowControl/>
              <w:jc w:val="both"/>
              <w:rPr>
                <w:rFonts w:ascii="Arial" w:hAnsi="Arial" w:cs="Arial"/>
                <w:b/>
                <w:bCs/>
                <w:i/>
                <w:iCs/>
                <w:sz w:val="18"/>
                <w:szCs w:val="18"/>
                <w:lang w:eastAsia="en-US"/>
              </w:rPr>
            </w:pPr>
            <w:r w:rsidRPr="004B7ACA">
              <w:rPr>
                <w:rFonts w:ascii="Arial" w:hAnsi="Arial" w:cs="Arial"/>
                <w:b/>
                <w:bCs/>
                <w:i/>
                <w:iCs/>
                <w:sz w:val="18"/>
                <w:szCs w:val="18"/>
                <w:lang w:eastAsia="en-US"/>
              </w:rPr>
              <w:t>Kategória územa</w:t>
            </w:r>
          </w:p>
        </w:tc>
        <w:tc>
          <w:tcPr>
            <w:tcW w:w="3713" w:type="dxa"/>
            <w:vMerge w:val="restart"/>
          </w:tcPr>
          <w:p w14:paraId="631A7D4D" w14:textId="77777777" w:rsidR="00E65CA9" w:rsidRPr="004B7ACA" w:rsidRDefault="00E65CA9" w:rsidP="00CF6787">
            <w:pPr>
              <w:widowControl/>
              <w:jc w:val="both"/>
              <w:rPr>
                <w:rFonts w:ascii="Arial" w:hAnsi="Arial" w:cs="Arial"/>
                <w:b/>
                <w:bCs/>
                <w:i/>
                <w:iCs/>
                <w:sz w:val="18"/>
                <w:szCs w:val="18"/>
                <w:lang w:eastAsia="en-US"/>
              </w:rPr>
            </w:pPr>
            <w:r w:rsidRPr="004B7ACA">
              <w:rPr>
                <w:rFonts w:ascii="Arial" w:hAnsi="Arial" w:cs="Arial"/>
                <w:b/>
                <w:bCs/>
                <w:i/>
                <w:iCs/>
                <w:sz w:val="18"/>
                <w:szCs w:val="18"/>
                <w:lang w:eastAsia="en-US"/>
              </w:rPr>
              <w:t>Opis chráneného  územia  alebo vonkajšieho priestoru</w:t>
            </w:r>
          </w:p>
        </w:tc>
        <w:tc>
          <w:tcPr>
            <w:tcW w:w="900" w:type="dxa"/>
            <w:vMerge w:val="restart"/>
          </w:tcPr>
          <w:p w14:paraId="0A45CC97" w14:textId="77777777" w:rsidR="00E65CA9" w:rsidRPr="004B7ACA" w:rsidRDefault="00E65CA9" w:rsidP="00CF6787">
            <w:pPr>
              <w:widowControl/>
              <w:jc w:val="both"/>
              <w:rPr>
                <w:rFonts w:ascii="Arial" w:hAnsi="Arial" w:cs="Arial"/>
                <w:b/>
                <w:bCs/>
                <w:i/>
                <w:iCs/>
                <w:sz w:val="18"/>
                <w:szCs w:val="18"/>
                <w:lang w:eastAsia="en-US"/>
              </w:rPr>
            </w:pPr>
            <w:r w:rsidRPr="004B7ACA">
              <w:rPr>
                <w:rFonts w:ascii="Arial" w:hAnsi="Arial" w:cs="Arial"/>
                <w:b/>
                <w:bCs/>
                <w:i/>
                <w:iCs/>
                <w:sz w:val="18"/>
                <w:szCs w:val="18"/>
                <w:lang w:eastAsia="en-US"/>
              </w:rPr>
              <w:t>Refer. časový interval</w:t>
            </w:r>
          </w:p>
        </w:tc>
        <w:tc>
          <w:tcPr>
            <w:tcW w:w="5040" w:type="dxa"/>
            <w:gridSpan w:val="5"/>
          </w:tcPr>
          <w:p w14:paraId="32C679A0" w14:textId="77777777" w:rsidR="00E65CA9" w:rsidRPr="004B7ACA" w:rsidRDefault="00E65CA9" w:rsidP="00CF6787">
            <w:pPr>
              <w:widowControl/>
              <w:jc w:val="center"/>
              <w:rPr>
                <w:rFonts w:ascii="Arial" w:hAnsi="Arial" w:cs="Arial"/>
                <w:b/>
                <w:bCs/>
                <w:i/>
                <w:iCs/>
                <w:sz w:val="18"/>
                <w:szCs w:val="18"/>
                <w:lang w:eastAsia="en-US"/>
              </w:rPr>
            </w:pPr>
            <w:r w:rsidRPr="004B7ACA">
              <w:rPr>
                <w:rFonts w:ascii="Arial" w:hAnsi="Arial" w:cs="Arial"/>
                <w:b/>
                <w:bCs/>
                <w:i/>
                <w:iCs/>
                <w:sz w:val="18"/>
                <w:szCs w:val="18"/>
                <w:lang w:eastAsia="en-US"/>
              </w:rPr>
              <w:t>Prípustné hodnoty (dB )</w:t>
            </w:r>
          </w:p>
        </w:tc>
      </w:tr>
      <w:tr w:rsidR="004B7ACA" w:rsidRPr="004B7ACA" w14:paraId="5C0C714A" w14:textId="77777777" w:rsidTr="003B6C9D">
        <w:trPr>
          <w:cantSplit/>
          <w:trHeight w:val="575"/>
        </w:trPr>
        <w:tc>
          <w:tcPr>
            <w:tcW w:w="993" w:type="dxa"/>
            <w:vMerge/>
          </w:tcPr>
          <w:p w14:paraId="1717CB0F" w14:textId="77777777" w:rsidR="00E65CA9" w:rsidRPr="004B7ACA" w:rsidRDefault="00E65CA9" w:rsidP="00CF6787">
            <w:pPr>
              <w:widowControl/>
              <w:jc w:val="both"/>
              <w:rPr>
                <w:rFonts w:ascii="Arial" w:hAnsi="Arial" w:cs="Arial"/>
                <w:b/>
                <w:bCs/>
                <w:i/>
                <w:iCs/>
                <w:sz w:val="18"/>
                <w:szCs w:val="18"/>
                <w:lang w:eastAsia="en-US"/>
              </w:rPr>
            </w:pPr>
          </w:p>
        </w:tc>
        <w:tc>
          <w:tcPr>
            <w:tcW w:w="3713" w:type="dxa"/>
            <w:vMerge/>
          </w:tcPr>
          <w:p w14:paraId="06D5AE69" w14:textId="77777777" w:rsidR="00E65CA9" w:rsidRPr="004B7ACA" w:rsidRDefault="00E65CA9" w:rsidP="00CF6787">
            <w:pPr>
              <w:widowControl/>
              <w:jc w:val="both"/>
              <w:rPr>
                <w:rFonts w:ascii="Arial" w:hAnsi="Arial" w:cs="Arial"/>
                <w:b/>
                <w:bCs/>
                <w:i/>
                <w:iCs/>
                <w:sz w:val="18"/>
                <w:szCs w:val="18"/>
                <w:lang w:eastAsia="en-US"/>
              </w:rPr>
            </w:pPr>
          </w:p>
        </w:tc>
        <w:tc>
          <w:tcPr>
            <w:tcW w:w="900" w:type="dxa"/>
            <w:vMerge/>
          </w:tcPr>
          <w:p w14:paraId="4E909FDA" w14:textId="77777777" w:rsidR="00E65CA9" w:rsidRPr="004B7ACA" w:rsidRDefault="00E65CA9" w:rsidP="00CF6787">
            <w:pPr>
              <w:widowControl/>
              <w:jc w:val="both"/>
              <w:rPr>
                <w:rFonts w:ascii="Arial" w:hAnsi="Arial" w:cs="Arial"/>
                <w:b/>
                <w:bCs/>
                <w:i/>
                <w:iCs/>
                <w:sz w:val="18"/>
                <w:szCs w:val="18"/>
                <w:lang w:eastAsia="en-US"/>
              </w:rPr>
            </w:pPr>
          </w:p>
        </w:tc>
        <w:tc>
          <w:tcPr>
            <w:tcW w:w="1080" w:type="dxa"/>
            <w:vMerge w:val="restart"/>
          </w:tcPr>
          <w:p w14:paraId="1D514065" w14:textId="77777777" w:rsidR="00E65CA9" w:rsidRPr="004B7ACA" w:rsidRDefault="00E65CA9" w:rsidP="00CF6787">
            <w:pPr>
              <w:widowControl/>
              <w:jc w:val="center"/>
              <w:rPr>
                <w:rFonts w:ascii="Arial" w:hAnsi="Arial" w:cs="Arial"/>
                <w:b/>
                <w:bCs/>
                <w:i/>
                <w:iCs/>
                <w:sz w:val="18"/>
                <w:szCs w:val="18"/>
                <w:lang w:eastAsia="en-US"/>
              </w:rPr>
            </w:pPr>
            <w:r w:rsidRPr="004B7ACA">
              <w:rPr>
                <w:rFonts w:ascii="Arial" w:hAnsi="Arial" w:cs="Arial"/>
                <w:b/>
                <w:bCs/>
                <w:i/>
                <w:iCs/>
                <w:sz w:val="18"/>
                <w:szCs w:val="18"/>
                <w:lang w:eastAsia="en-US"/>
              </w:rPr>
              <w:t xml:space="preserve">Pozemná </w:t>
            </w:r>
          </w:p>
          <w:p w14:paraId="51202022" w14:textId="77777777" w:rsidR="00E65CA9" w:rsidRPr="004B7ACA" w:rsidRDefault="00E65CA9" w:rsidP="00CF6787">
            <w:pPr>
              <w:widowControl/>
              <w:jc w:val="center"/>
              <w:rPr>
                <w:rFonts w:ascii="Arial" w:hAnsi="Arial" w:cs="Arial"/>
                <w:b/>
                <w:bCs/>
                <w:i/>
                <w:iCs/>
                <w:sz w:val="18"/>
                <w:szCs w:val="18"/>
                <w:lang w:eastAsia="en-US"/>
              </w:rPr>
            </w:pPr>
            <w:r w:rsidRPr="004B7ACA">
              <w:rPr>
                <w:rFonts w:ascii="Arial" w:hAnsi="Arial" w:cs="Arial"/>
                <w:b/>
                <w:bCs/>
                <w:i/>
                <w:iCs/>
                <w:sz w:val="18"/>
                <w:szCs w:val="18"/>
                <w:lang w:eastAsia="en-US"/>
              </w:rPr>
              <w:t xml:space="preserve">a vodná  doprava </w:t>
            </w:r>
          </w:p>
          <w:p w14:paraId="587D9017" w14:textId="77777777" w:rsidR="00E65CA9" w:rsidRPr="004B7ACA" w:rsidRDefault="00E65CA9" w:rsidP="00CF6787">
            <w:pPr>
              <w:widowControl/>
              <w:jc w:val="center"/>
              <w:rPr>
                <w:rFonts w:ascii="Arial" w:hAnsi="Arial" w:cs="Arial"/>
                <w:b/>
                <w:bCs/>
                <w:i/>
                <w:iCs/>
                <w:sz w:val="18"/>
                <w:szCs w:val="18"/>
                <w:vertAlign w:val="superscript"/>
                <w:lang w:eastAsia="en-US"/>
              </w:rPr>
            </w:pPr>
            <w:r w:rsidRPr="004B7ACA">
              <w:rPr>
                <w:rFonts w:ascii="Arial" w:hAnsi="Arial" w:cs="Arial"/>
                <w:b/>
                <w:bCs/>
                <w:i/>
                <w:iCs/>
                <w:sz w:val="18"/>
                <w:szCs w:val="18"/>
                <w:vertAlign w:val="superscript"/>
                <w:lang w:eastAsia="en-US"/>
              </w:rPr>
              <w:t xml:space="preserve"> b) c)</w:t>
            </w:r>
          </w:p>
          <w:p w14:paraId="640DB718" w14:textId="77777777" w:rsidR="00E65CA9" w:rsidRPr="004B7ACA" w:rsidRDefault="00E65CA9" w:rsidP="00CF6787">
            <w:pPr>
              <w:widowControl/>
              <w:jc w:val="center"/>
              <w:rPr>
                <w:rFonts w:ascii="Arial" w:hAnsi="Arial" w:cs="Arial"/>
                <w:b/>
                <w:bCs/>
                <w:i/>
                <w:iCs/>
                <w:sz w:val="18"/>
                <w:szCs w:val="18"/>
                <w:lang w:eastAsia="en-US"/>
              </w:rPr>
            </w:pPr>
            <w:r w:rsidRPr="004B7ACA">
              <w:rPr>
                <w:rFonts w:ascii="Arial" w:hAnsi="Arial" w:cs="Arial"/>
                <w:b/>
                <w:bCs/>
                <w:i/>
                <w:iCs/>
                <w:sz w:val="18"/>
                <w:szCs w:val="18"/>
                <w:lang w:eastAsia="en-US"/>
              </w:rPr>
              <w:t>L</w:t>
            </w:r>
            <w:r w:rsidRPr="004B7ACA">
              <w:rPr>
                <w:rFonts w:ascii="Arial" w:hAnsi="Arial" w:cs="Arial"/>
                <w:b/>
                <w:bCs/>
                <w:i/>
                <w:iCs/>
                <w:sz w:val="18"/>
                <w:szCs w:val="18"/>
                <w:vertAlign w:val="subscript"/>
                <w:lang w:eastAsia="en-US"/>
              </w:rPr>
              <w:t>Aeq,p</w:t>
            </w:r>
          </w:p>
        </w:tc>
        <w:tc>
          <w:tcPr>
            <w:tcW w:w="1260" w:type="dxa"/>
            <w:vMerge w:val="restart"/>
          </w:tcPr>
          <w:p w14:paraId="7D35ED68" w14:textId="77777777" w:rsidR="00E65CA9" w:rsidRPr="004B7ACA" w:rsidRDefault="00E65CA9" w:rsidP="00CF6787">
            <w:pPr>
              <w:widowControl/>
              <w:jc w:val="center"/>
              <w:rPr>
                <w:rFonts w:ascii="Arial" w:hAnsi="Arial" w:cs="Arial"/>
                <w:b/>
                <w:bCs/>
                <w:i/>
                <w:iCs/>
                <w:sz w:val="18"/>
                <w:szCs w:val="18"/>
                <w:lang w:eastAsia="en-US"/>
              </w:rPr>
            </w:pPr>
            <w:r w:rsidRPr="004B7ACA">
              <w:rPr>
                <w:rFonts w:ascii="Arial" w:hAnsi="Arial" w:cs="Arial"/>
                <w:b/>
                <w:bCs/>
                <w:i/>
                <w:iCs/>
                <w:sz w:val="18"/>
                <w:szCs w:val="18"/>
                <w:lang w:eastAsia="en-US"/>
              </w:rPr>
              <w:t>Železničné dráhy</w:t>
            </w:r>
          </w:p>
          <w:p w14:paraId="18E198E2" w14:textId="77777777" w:rsidR="00E65CA9" w:rsidRPr="004B7ACA" w:rsidRDefault="00E65CA9" w:rsidP="00CF6787">
            <w:pPr>
              <w:widowControl/>
              <w:jc w:val="center"/>
              <w:rPr>
                <w:rFonts w:ascii="Arial" w:hAnsi="Arial" w:cs="Arial"/>
                <w:b/>
                <w:bCs/>
                <w:i/>
                <w:iCs/>
                <w:sz w:val="18"/>
                <w:szCs w:val="18"/>
                <w:vertAlign w:val="superscript"/>
                <w:lang w:eastAsia="en-US"/>
              </w:rPr>
            </w:pPr>
            <w:r w:rsidRPr="004B7ACA">
              <w:rPr>
                <w:rFonts w:ascii="Arial" w:hAnsi="Arial" w:cs="Arial"/>
                <w:b/>
                <w:bCs/>
                <w:i/>
                <w:iCs/>
                <w:sz w:val="18"/>
                <w:szCs w:val="18"/>
                <w:vertAlign w:val="superscript"/>
                <w:lang w:eastAsia="en-US"/>
              </w:rPr>
              <w:t xml:space="preserve"> c)</w:t>
            </w:r>
          </w:p>
          <w:p w14:paraId="21B2D15F" w14:textId="77777777" w:rsidR="00E65CA9" w:rsidRPr="004B7ACA" w:rsidRDefault="00E65CA9" w:rsidP="00CF6787">
            <w:pPr>
              <w:widowControl/>
              <w:jc w:val="center"/>
              <w:rPr>
                <w:rFonts w:ascii="Arial" w:hAnsi="Arial" w:cs="Arial"/>
                <w:b/>
                <w:bCs/>
                <w:i/>
                <w:iCs/>
                <w:sz w:val="18"/>
                <w:szCs w:val="18"/>
                <w:lang w:eastAsia="en-US"/>
              </w:rPr>
            </w:pPr>
            <w:r w:rsidRPr="004B7ACA">
              <w:rPr>
                <w:rFonts w:ascii="Arial" w:hAnsi="Arial" w:cs="Arial"/>
                <w:b/>
                <w:bCs/>
                <w:i/>
                <w:iCs/>
                <w:sz w:val="18"/>
                <w:szCs w:val="18"/>
                <w:lang w:eastAsia="en-US"/>
              </w:rPr>
              <w:t>L</w:t>
            </w:r>
            <w:r w:rsidRPr="004B7ACA">
              <w:rPr>
                <w:rFonts w:ascii="Arial" w:hAnsi="Arial" w:cs="Arial"/>
                <w:b/>
                <w:bCs/>
                <w:i/>
                <w:iCs/>
                <w:sz w:val="18"/>
                <w:szCs w:val="18"/>
                <w:vertAlign w:val="subscript"/>
                <w:lang w:eastAsia="en-US"/>
              </w:rPr>
              <w:t>Aeq,p</w:t>
            </w:r>
          </w:p>
          <w:p w14:paraId="6416F6FC" w14:textId="77777777" w:rsidR="00E65CA9" w:rsidRPr="004B7ACA" w:rsidRDefault="00E65CA9" w:rsidP="00CF6787">
            <w:pPr>
              <w:widowControl/>
              <w:jc w:val="center"/>
              <w:rPr>
                <w:rFonts w:ascii="Arial" w:hAnsi="Arial" w:cs="Arial"/>
                <w:b/>
                <w:bCs/>
                <w:i/>
                <w:iCs/>
                <w:sz w:val="18"/>
                <w:szCs w:val="18"/>
                <w:lang w:eastAsia="en-US"/>
              </w:rPr>
            </w:pPr>
          </w:p>
        </w:tc>
        <w:tc>
          <w:tcPr>
            <w:tcW w:w="1620" w:type="dxa"/>
            <w:gridSpan w:val="2"/>
          </w:tcPr>
          <w:p w14:paraId="600E1AB4" w14:textId="77777777" w:rsidR="00E65CA9" w:rsidRPr="004B7ACA" w:rsidRDefault="00E65CA9" w:rsidP="00CF6787">
            <w:pPr>
              <w:widowControl/>
              <w:jc w:val="both"/>
              <w:rPr>
                <w:rFonts w:ascii="Arial" w:hAnsi="Arial" w:cs="Arial"/>
                <w:b/>
                <w:bCs/>
                <w:i/>
                <w:iCs/>
                <w:sz w:val="18"/>
                <w:szCs w:val="18"/>
                <w:lang w:eastAsia="en-US"/>
              </w:rPr>
            </w:pPr>
            <w:r w:rsidRPr="004B7ACA">
              <w:rPr>
                <w:rFonts w:ascii="Arial" w:hAnsi="Arial" w:cs="Arial"/>
                <w:b/>
                <w:bCs/>
                <w:i/>
                <w:iCs/>
                <w:sz w:val="18"/>
                <w:szCs w:val="18"/>
                <w:lang w:eastAsia="en-US"/>
              </w:rPr>
              <w:t xml:space="preserve">Letecká doprava </w:t>
            </w:r>
          </w:p>
        </w:tc>
        <w:tc>
          <w:tcPr>
            <w:tcW w:w="1080" w:type="dxa"/>
            <w:vMerge w:val="restart"/>
          </w:tcPr>
          <w:p w14:paraId="18236095" w14:textId="77777777" w:rsidR="00E65CA9" w:rsidRPr="004B7ACA" w:rsidRDefault="00E65CA9" w:rsidP="00CF6787">
            <w:pPr>
              <w:widowControl/>
              <w:jc w:val="both"/>
              <w:rPr>
                <w:rFonts w:ascii="Arial" w:hAnsi="Arial" w:cs="Arial"/>
                <w:b/>
                <w:bCs/>
                <w:i/>
                <w:iCs/>
                <w:sz w:val="18"/>
                <w:szCs w:val="18"/>
                <w:lang w:eastAsia="en-US"/>
              </w:rPr>
            </w:pPr>
            <w:r w:rsidRPr="004B7ACA">
              <w:rPr>
                <w:rFonts w:ascii="Arial" w:hAnsi="Arial" w:cs="Arial"/>
                <w:b/>
                <w:bCs/>
                <w:i/>
                <w:iCs/>
                <w:sz w:val="18"/>
                <w:szCs w:val="18"/>
                <w:lang w:eastAsia="en-US"/>
              </w:rPr>
              <w:t>Hluk z iných zdrojov</w:t>
            </w:r>
          </w:p>
          <w:p w14:paraId="203CEAE7" w14:textId="77777777" w:rsidR="00E65CA9" w:rsidRPr="004B7ACA" w:rsidRDefault="00E65CA9" w:rsidP="00CF6787">
            <w:pPr>
              <w:widowControl/>
              <w:jc w:val="both"/>
              <w:rPr>
                <w:rFonts w:ascii="Arial" w:hAnsi="Arial" w:cs="Arial"/>
                <w:b/>
                <w:bCs/>
                <w:i/>
                <w:iCs/>
                <w:sz w:val="18"/>
                <w:szCs w:val="18"/>
                <w:lang w:eastAsia="en-US"/>
              </w:rPr>
            </w:pPr>
            <w:r w:rsidRPr="004B7ACA">
              <w:rPr>
                <w:rFonts w:ascii="Arial" w:hAnsi="Arial" w:cs="Arial"/>
                <w:b/>
                <w:bCs/>
                <w:i/>
                <w:iCs/>
                <w:sz w:val="18"/>
                <w:szCs w:val="18"/>
                <w:lang w:eastAsia="en-US"/>
              </w:rPr>
              <w:t>L</w:t>
            </w:r>
            <w:r w:rsidRPr="004B7ACA">
              <w:rPr>
                <w:rFonts w:ascii="Arial" w:hAnsi="Arial" w:cs="Arial"/>
                <w:b/>
                <w:bCs/>
                <w:i/>
                <w:iCs/>
                <w:sz w:val="18"/>
                <w:szCs w:val="18"/>
                <w:vertAlign w:val="subscript"/>
                <w:lang w:eastAsia="en-US"/>
              </w:rPr>
              <w:t>Aeq,p</w:t>
            </w:r>
          </w:p>
        </w:tc>
      </w:tr>
      <w:tr w:rsidR="004B7ACA" w:rsidRPr="004B7ACA" w14:paraId="20DA17B7" w14:textId="77777777" w:rsidTr="003B6C9D">
        <w:trPr>
          <w:cantSplit/>
          <w:trHeight w:val="506"/>
        </w:trPr>
        <w:tc>
          <w:tcPr>
            <w:tcW w:w="993" w:type="dxa"/>
            <w:vMerge/>
          </w:tcPr>
          <w:p w14:paraId="646307C3" w14:textId="77777777" w:rsidR="00E65CA9" w:rsidRPr="004B7ACA" w:rsidRDefault="00E65CA9" w:rsidP="00CF6787">
            <w:pPr>
              <w:widowControl/>
              <w:spacing w:before="120"/>
              <w:jc w:val="both"/>
              <w:rPr>
                <w:rFonts w:ascii="Arial" w:hAnsi="Arial" w:cs="Arial"/>
                <w:b/>
                <w:bCs/>
                <w:i/>
                <w:iCs/>
                <w:szCs w:val="24"/>
                <w:lang w:eastAsia="en-US"/>
              </w:rPr>
            </w:pPr>
          </w:p>
        </w:tc>
        <w:tc>
          <w:tcPr>
            <w:tcW w:w="3713" w:type="dxa"/>
            <w:vMerge/>
          </w:tcPr>
          <w:p w14:paraId="462DA28D" w14:textId="77777777" w:rsidR="00E65CA9" w:rsidRPr="004B7ACA" w:rsidRDefault="00E65CA9" w:rsidP="00CF6787">
            <w:pPr>
              <w:widowControl/>
              <w:spacing w:before="120"/>
              <w:jc w:val="both"/>
              <w:rPr>
                <w:rFonts w:ascii="Arial" w:hAnsi="Arial" w:cs="Arial"/>
                <w:b/>
                <w:bCs/>
                <w:i/>
                <w:iCs/>
                <w:szCs w:val="24"/>
                <w:lang w:eastAsia="en-US"/>
              </w:rPr>
            </w:pPr>
          </w:p>
        </w:tc>
        <w:tc>
          <w:tcPr>
            <w:tcW w:w="900" w:type="dxa"/>
            <w:vMerge/>
          </w:tcPr>
          <w:p w14:paraId="5FC1C57A" w14:textId="77777777" w:rsidR="00E65CA9" w:rsidRPr="004B7ACA" w:rsidRDefault="00E65CA9" w:rsidP="00CF6787">
            <w:pPr>
              <w:widowControl/>
              <w:spacing w:before="120"/>
              <w:jc w:val="both"/>
              <w:rPr>
                <w:rFonts w:ascii="Arial" w:hAnsi="Arial" w:cs="Arial"/>
                <w:b/>
                <w:bCs/>
                <w:i/>
                <w:iCs/>
                <w:szCs w:val="24"/>
                <w:lang w:eastAsia="en-US"/>
              </w:rPr>
            </w:pPr>
          </w:p>
        </w:tc>
        <w:tc>
          <w:tcPr>
            <w:tcW w:w="1080" w:type="dxa"/>
            <w:vMerge/>
          </w:tcPr>
          <w:p w14:paraId="27C1B363" w14:textId="77777777" w:rsidR="00E65CA9" w:rsidRPr="004B7ACA" w:rsidRDefault="00E65CA9" w:rsidP="00CF6787">
            <w:pPr>
              <w:widowControl/>
              <w:spacing w:before="120"/>
              <w:jc w:val="center"/>
              <w:rPr>
                <w:rFonts w:ascii="Arial" w:hAnsi="Arial" w:cs="Arial"/>
                <w:b/>
                <w:bCs/>
                <w:i/>
                <w:iCs/>
                <w:szCs w:val="24"/>
                <w:lang w:eastAsia="en-US"/>
              </w:rPr>
            </w:pPr>
          </w:p>
        </w:tc>
        <w:tc>
          <w:tcPr>
            <w:tcW w:w="1260" w:type="dxa"/>
            <w:vMerge/>
          </w:tcPr>
          <w:p w14:paraId="4D0B9D2E" w14:textId="77777777" w:rsidR="00E65CA9" w:rsidRPr="004B7ACA" w:rsidRDefault="00E65CA9" w:rsidP="00CF6787">
            <w:pPr>
              <w:widowControl/>
              <w:spacing w:before="120"/>
              <w:jc w:val="center"/>
              <w:rPr>
                <w:rFonts w:ascii="Arial" w:hAnsi="Arial" w:cs="Arial"/>
                <w:b/>
                <w:bCs/>
                <w:i/>
                <w:iCs/>
                <w:szCs w:val="24"/>
                <w:lang w:eastAsia="en-US"/>
              </w:rPr>
            </w:pPr>
          </w:p>
        </w:tc>
        <w:tc>
          <w:tcPr>
            <w:tcW w:w="720" w:type="dxa"/>
            <w:vMerge w:val="restart"/>
          </w:tcPr>
          <w:p w14:paraId="5199BABD" w14:textId="77777777" w:rsidR="00E65CA9" w:rsidRPr="004B7ACA" w:rsidRDefault="00E65CA9" w:rsidP="00CF6787">
            <w:pPr>
              <w:widowControl/>
              <w:spacing w:before="120"/>
              <w:jc w:val="center"/>
              <w:rPr>
                <w:rFonts w:ascii="Arial" w:hAnsi="Arial" w:cs="Arial"/>
                <w:b/>
                <w:bCs/>
                <w:i/>
                <w:iCs/>
                <w:szCs w:val="24"/>
                <w:lang w:eastAsia="en-US"/>
              </w:rPr>
            </w:pPr>
            <w:r w:rsidRPr="004B7ACA">
              <w:rPr>
                <w:rFonts w:ascii="Arial" w:hAnsi="Arial" w:cs="Arial"/>
                <w:b/>
                <w:bCs/>
                <w:i/>
                <w:iCs/>
                <w:szCs w:val="24"/>
                <w:lang w:eastAsia="en-US"/>
              </w:rPr>
              <w:t>L</w:t>
            </w:r>
            <w:r w:rsidRPr="004B7ACA">
              <w:rPr>
                <w:rFonts w:ascii="Arial" w:hAnsi="Arial" w:cs="Arial"/>
                <w:b/>
                <w:bCs/>
                <w:i/>
                <w:iCs/>
                <w:szCs w:val="24"/>
                <w:vertAlign w:val="subscript"/>
                <w:lang w:eastAsia="en-US"/>
              </w:rPr>
              <w:t>Aeq,p</w:t>
            </w:r>
            <w:r w:rsidRPr="004B7ACA">
              <w:rPr>
                <w:rFonts w:ascii="Arial" w:hAnsi="Arial" w:cs="Arial"/>
                <w:b/>
                <w:bCs/>
                <w:i/>
                <w:iCs/>
                <w:szCs w:val="24"/>
                <w:lang w:eastAsia="en-US"/>
              </w:rPr>
              <w:t xml:space="preserve"> </w:t>
            </w:r>
          </w:p>
        </w:tc>
        <w:tc>
          <w:tcPr>
            <w:tcW w:w="900" w:type="dxa"/>
            <w:vMerge w:val="restart"/>
          </w:tcPr>
          <w:p w14:paraId="119DB403" w14:textId="77777777" w:rsidR="00E65CA9" w:rsidRPr="004B7ACA" w:rsidRDefault="00E65CA9" w:rsidP="00CF6787">
            <w:pPr>
              <w:widowControl/>
              <w:spacing w:before="120"/>
              <w:jc w:val="both"/>
              <w:rPr>
                <w:rFonts w:ascii="Arial" w:hAnsi="Arial" w:cs="Arial"/>
                <w:b/>
                <w:bCs/>
                <w:i/>
                <w:iCs/>
                <w:szCs w:val="24"/>
                <w:lang w:eastAsia="en-US"/>
              </w:rPr>
            </w:pPr>
            <w:r w:rsidRPr="004B7ACA">
              <w:rPr>
                <w:rFonts w:ascii="Arial" w:hAnsi="Arial" w:cs="Arial"/>
                <w:b/>
                <w:bCs/>
                <w:i/>
                <w:iCs/>
                <w:szCs w:val="24"/>
                <w:lang w:eastAsia="en-US"/>
              </w:rPr>
              <w:t>L</w:t>
            </w:r>
            <w:r w:rsidRPr="004B7ACA">
              <w:rPr>
                <w:rFonts w:ascii="Arial" w:hAnsi="Arial" w:cs="Arial"/>
                <w:b/>
                <w:bCs/>
                <w:i/>
                <w:iCs/>
                <w:szCs w:val="24"/>
                <w:vertAlign w:val="subscript"/>
                <w:lang w:eastAsia="en-US"/>
              </w:rPr>
              <w:t>ASmax,p</w:t>
            </w:r>
          </w:p>
          <w:p w14:paraId="6A0F9846" w14:textId="77777777" w:rsidR="00E65CA9" w:rsidRPr="004B7ACA" w:rsidRDefault="00E65CA9" w:rsidP="00CF6787">
            <w:pPr>
              <w:widowControl/>
              <w:spacing w:before="120"/>
              <w:jc w:val="center"/>
              <w:rPr>
                <w:rFonts w:ascii="Arial" w:hAnsi="Arial" w:cs="Arial"/>
                <w:b/>
                <w:bCs/>
                <w:i/>
                <w:iCs/>
                <w:szCs w:val="24"/>
                <w:lang w:eastAsia="en-US"/>
              </w:rPr>
            </w:pPr>
          </w:p>
        </w:tc>
        <w:tc>
          <w:tcPr>
            <w:tcW w:w="1080" w:type="dxa"/>
            <w:vMerge/>
          </w:tcPr>
          <w:p w14:paraId="7351B6AE" w14:textId="77777777" w:rsidR="00E65CA9" w:rsidRPr="004B7ACA" w:rsidRDefault="00E65CA9" w:rsidP="00CF6787">
            <w:pPr>
              <w:widowControl/>
              <w:spacing w:before="120"/>
              <w:jc w:val="both"/>
              <w:rPr>
                <w:rFonts w:ascii="Arial" w:hAnsi="Arial" w:cs="Arial"/>
                <w:b/>
                <w:bCs/>
                <w:i/>
                <w:iCs/>
                <w:szCs w:val="24"/>
                <w:lang w:eastAsia="en-US"/>
              </w:rPr>
            </w:pPr>
          </w:p>
        </w:tc>
      </w:tr>
      <w:tr w:rsidR="004B7ACA" w:rsidRPr="004B7ACA" w14:paraId="0700E6BE" w14:textId="77777777" w:rsidTr="003B6C9D">
        <w:trPr>
          <w:cantSplit/>
          <w:trHeight w:val="350"/>
        </w:trPr>
        <w:tc>
          <w:tcPr>
            <w:tcW w:w="993" w:type="dxa"/>
            <w:vMerge/>
          </w:tcPr>
          <w:p w14:paraId="69CC8D89" w14:textId="77777777" w:rsidR="00E65CA9" w:rsidRPr="004B7ACA" w:rsidRDefault="00E65CA9" w:rsidP="00CF6787">
            <w:pPr>
              <w:widowControl/>
              <w:spacing w:before="120"/>
              <w:jc w:val="both"/>
              <w:rPr>
                <w:rFonts w:ascii="Arial" w:hAnsi="Arial" w:cs="Arial"/>
                <w:b/>
                <w:bCs/>
                <w:i/>
                <w:iCs/>
                <w:szCs w:val="24"/>
                <w:lang w:eastAsia="en-US"/>
              </w:rPr>
            </w:pPr>
          </w:p>
        </w:tc>
        <w:tc>
          <w:tcPr>
            <w:tcW w:w="3713" w:type="dxa"/>
            <w:vMerge/>
          </w:tcPr>
          <w:p w14:paraId="675EBA9A" w14:textId="77777777" w:rsidR="00E65CA9" w:rsidRPr="004B7ACA" w:rsidRDefault="00E65CA9" w:rsidP="00CF6787">
            <w:pPr>
              <w:widowControl/>
              <w:spacing w:before="120"/>
              <w:jc w:val="both"/>
              <w:rPr>
                <w:rFonts w:ascii="Arial" w:hAnsi="Arial" w:cs="Arial"/>
                <w:b/>
                <w:bCs/>
                <w:i/>
                <w:iCs/>
                <w:szCs w:val="24"/>
                <w:lang w:eastAsia="en-US"/>
              </w:rPr>
            </w:pPr>
          </w:p>
        </w:tc>
        <w:tc>
          <w:tcPr>
            <w:tcW w:w="900" w:type="dxa"/>
            <w:vMerge/>
          </w:tcPr>
          <w:p w14:paraId="38298D1F" w14:textId="77777777" w:rsidR="00E65CA9" w:rsidRPr="004B7ACA" w:rsidRDefault="00E65CA9" w:rsidP="00CF6787">
            <w:pPr>
              <w:widowControl/>
              <w:spacing w:before="120"/>
              <w:jc w:val="both"/>
              <w:rPr>
                <w:rFonts w:ascii="Arial" w:hAnsi="Arial" w:cs="Arial"/>
                <w:b/>
                <w:bCs/>
                <w:i/>
                <w:iCs/>
                <w:szCs w:val="24"/>
                <w:lang w:eastAsia="en-US"/>
              </w:rPr>
            </w:pPr>
          </w:p>
        </w:tc>
        <w:tc>
          <w:tcPr>
            <w:tcW w:w="1080" w:type="dxa"/>
            <w:vMerge/>
          </w:tcPr>
          <w:p w14:paraId="2D17BCAC" w14:textId="77777777" w:rsidR="00E65CA9" w:rsidRPr="004B7ACA" w:rsidRDefault="00E65CA9" w:rsidP="00CF6787">
            <w:pPr>
              <w:widowControl/>
              <w:spacing w:before="120"/>
              <w:jc w:val="both"/>
              <w:rPr>
                <w:rFonts w:ascii="Arial" w:hAnsi="Arial" w:cs="Arial"/>
                <w:b/>
                <w:bCs/>
                <w:i/>
                <w:iCs/>
                <w:szCs w:val="24"/>
                <w:lang w:eastAsia="en-US"/>
              </w:rPr>
            </w:pPr>
          </w:p>
        </w:tc>
        <w:tc>
          <w:tcPr>
            <w:tcW w:w="1260" w:type="dxa"/>
            <w:vMerge/>
          </w:tcPr>
          <w:p w14:paraId="02ADE73B" w14:textId="77777777" w:rsidR="00E65CA9" w:rsidRPr="004B7ACA" w:rsidRDefault="00E65CA9" w:rsidP="00CF6787">
            <w:pPr>
              <w:widowControl/>
              <w:spacing w:before="120"/>
              <w:jc w:val="center"/>
              <w:rPr>
                <w:rFonts w:ascii="Arial" w:hAnsi="Arial" w:cs="Arial"/>
                <w:b/>
                <w:bCs/>
                <w:i/>
                <w:iCs/>
                <w:szCs w:val="24"/>
                <w:lang w:eastAsia="en-US"/>
              </w:rPr>
            </w:pPr>
          </w:p>
        </w:tc>
        <w:tc>
          <w:tcPr>
            <w:tcW w:w="720" w:type="dxa"/>
            <w:vMerge/>
          </w:tcPr>
          <w:p w14:paraId="648C869E" w14:textId="77777777" w:rsidR="00E65CA9" w:rsidRPr="004B7ACA" w:rsidRDefault="00E65CA9" w:rsidP="00CF6787">
            <w:pPr>
              <w:widowControl/>
              <w:spacing w:before="120"/>
              <w:jc w:val="center"/>
              <w:rPr>
                <w:rFonts w:ascii="Arial" w:hAnsi="Arial" w:cs="Arial"/>
                <w:b/>
                <w:bCs/>
                <w:i/>
                <w:iCs/>
                <w:szCs w:val="24"/>
                <w:lang w:eastAsia="en-US"/>
              </w:rPr>
            </w:pPr>
          </w:p>
        </w:tc>
        <w:tc>
          <w:tcPr>
            <w:tcW w:w="900" w:type="dxa"/>
            <w:vMerge/>
          </w:tcPr>
          <w:p w14:paraId="7E15407A" w14:textId="77777777" w:rsidR="00E65CA9" w:rsidRPr="004B7ACA" w:rsidRDefault="00E65CA9" w:rsidP="00CF6787">
            <w:pPr>
              <w:widowControl/>
              <w:spacing w:before="120"/>
              <w:jc w:val="center"/>
              <w:rPr>
                <w:rFonts w:ascii="Arial" w:hAnsi="Arial" w:cs="Arial"/>
                <w:b/>
                <w:bCs/>
                <w:i/>
                <w:iCs/>
                <w:szCs w:val="24"/>
                <w:lang w:eastAsia="en-US"/>
              </w:rPr>
            </w:pPr>
          </w:p>
        </w:tc>
        <w:tc>
          <w:tcPr>
            <w:tcW w:w="1080" w:type="dxa"/>
            <w:vMerge/>
          </w:tcPr>
          <w:p w14:paraId="10577A70" w14:textId="77777777" w:rsidR="00E65CA9" w:rsidRPr="004B7ACA" w:rsidRDefault="00E65CA9" w:rsidP="00CF6787">
            <w:pPr>
              <w:widowControl/>
              <w:spacing w:before="120"/>
              <w:jc w:val="center"/>
              <w:rPr>
                <w:rFonts w:ascii="Arial" w:hAnsi="Arial" w:cs="Arial"/>
                <w:b/>
                <w:bCs/>
                <w:i/>
                <w:iCs/>
                <w:szCs w:val="24"/>
                <w:lang w:eastAsia="en-US"/>
              </w:rPr>
            </w:pPr>
          </w:p>
        </w:tc>
      </w:tr>
      <w:tr w:rsidR="004B7ACA" w:rsidRPr="004B7ACA" w14:paraId="773A5CF6" w14:textId="77777777" w:rsidTr="003B6C9D">
        <w:tc>
          <w:tcPr>
            <w:tcW w:w="993" w:type="dxa"/>
          </w:tcPr>
          <w:p w14:paraId="48A0C883" w14:textId="77777777" w:rsidR="00E65CA9" w:rsidRPr="004B7ACA" w:rsidRDefault="00E65CA9" w:rsidP="00CF6787">
            <w:pPr>
              <w:widowControl/>
              <w:spacing w:before="120"/>
              <w:jc w:val="both"/>
              <w:rPr>
                <w:rFonts w:ascii="Arial" w:hAnsi="Arial" w:cs="Arial"/>
                <w:i/>
                <w:iCs/>
                <w:szCs w:val="24"/>
                <w:lang w:eastAsia="en-US"/>
              </w:rPr>
            </w:pPr>
            <w:r w:rsidRPr="004B7ACA">
              <w:rPr>
                <w:rFonts w:ascii="Arial" w:hAnsi="Arial" w:cs="Arial"/>
                <w:i/>
                <w:iCs/>
                <w:szCs w:val="24"/>
                <w:lang w:eastAsia="en-US"/>
              </w:rPr>
              <w:t>I.</w:t>
            </w:r>
          </w:p>
        </w:tc>
        <w:tc>
          <w:tcPr>
            <w:tcW w:w="3713" w:type="dxa"/>
          </w:tcPr>
          <w:p w14:paraId="5B3919FD" w14:textId="77777777" w:rsidR="00E65CA9" w:rsidRPr="004B7ACA" w:rsidRDefault="00E65CA9" w:rsidP="00CF6787">
            <w:pPr>
              <w:widowControl/>
              <w:spacing w:before="120"/>
              <w:jc w:val="both"/>
              <w:rPr>
                <w:rFonts w:ascii="Arial" w:hAnsi="Arial" w:cs="Arial"/>
                <w:i/>
                <w:iCs/>
                <w:szCs w:val="24"/>
                <w:lang w:eastAsia="en-US"/>
              </w:rPr>
            </w:pPr>
            <w:r w:rsidRPr="004B7ACA">
              <w:rPr>
                <w:rFonts w:ascii="Arial" w:hAnsi="Arial" w:cs="Arial"/>
                <w:i/>
                <w:iCs/>
                <w:szCs w:val="24"/>
                <w:lang w:eastAsia="en-US"/>
              </w:rPr>
              <w:t>Územie s osobitnou ochranou pred hlukom, napr. veľké kúpeľné miesta kúpeľné a liečebné areály</w:t>
            </w:r>
          </w:p>
        </w:tc>
        <w:tc>
          <w:tcPr>
            <w:tcW w:w="900" w:type="dxa"/>
          </w:tcPr>
          <w:p w14:paraId="38A6D4EE" w14:textId="77777777" w:rsidR="00E65CA9" w:rsidRPr="004B7ACA" w:rsidRDefault="00E65CA9" w:rsidP="00CF6787">
            <w:pPr>
              <w:widowControl/>
              <w:spacing w:before="120"/>
              <w:jc w:val="both"/>
              <w:rPr>
                <w:rFonts w:ascii="Arial" w:hAnsi="Arial" w:cs="Arial"/>
                <w:i/>
                <w:iCs/>
                <w:szCs w:val="24"/>
                <w:lang w:eastAsia="en-US"/>
              </w:rPr>
            </w:pPr>
            <w:r w:rsidRPr="004B7ACA">
              <w:rPr>
                <w:rFonts w:ascii="Arial" w:hAnsi="Arial" w:cs="Arial"/>
                <w:i/>
                <w:iCs/>
                <w:szCs w:val="24"/>
                <w:lang w:eastAsia="en-US"/>
              </w:rPr>
              <w:t>Deň</w:t>
            </w:r>
          </w:p>
          <w:p w14:paraId="73437604" w14:textId="77777777" w:rsidR="00E65CA9" w:rsidRPr="004B7ACA" w:rsidRDefault="00E65CA9" w:rsidP="00CF6787">
            <w:pPr>
              <w:widowControl/>
              <w:spacing w:before="120"/>
              <w:jc w:val="both"/>
              <w:rPr>
                <w:rFonts w:ascii="Arial" w:hAnsi="Arial" w:cs="Arial"/>
                <w:i/>
                <w:iCs/>
                <w:szCs w:val="24"/>
                <w:lang w:eastAsia="en-US"/>
              </w:rPr>
            </w:pPr>
            <w:r w:rsidRPr="004B7ACA">
              <w:rPr>
                <w:rFonts w:ascii="Arial" w:hAnsi="Arial" w:cs="Arial"/>
                <w:i/>
                <w:iCs/>
                <w:szCs w:val="24"/>
                <w:lang w:eastAsia="en-US"/>
              </w:rPr>
              <w:t>Večer</w:t>
            </w:r>
          </w:p>
          <w:p w14:paraId="7E136332" w14:textId="77777777" w:rsidR="00E65CA9" w:rsidRPr="004B7ACA" w:rsidRDefault="00E65CA9" w:rsidP="00CF6787">
            <w:pPr>
              <w:widowControl/>
              <w:spacing w:before="120"/>
              <w:jc w:val="both"/>
              <w:rPr>
                <w:rFonts w:ascii="Arial" w:hAnsi="Arial" w:cs="Arial"/>
                <w:i/>
                <w:iCs/>
                <w:szCs w:val="24"/>
                <w:lang w:eastAsia="en-US"/>
              </w:rPr>
            </w:pPr>
            <w:r w:rsidRPr="004B7ACA">
              <w:rPr>
                <w:rFonts w:ascii="Arial" w:hAnsi="Arial" w:cs="Arial"/>
                <w:i/>
                <w:iCs/>
                <w:szCs w:val="24"/>
                <w:lang w:eastAsia="en-US"/>
              </w:rPr>
              <w:t>Noc</w:t>
            </w:r>
          </w:p>
        </w:tc>
        <w:tc>
          <w:tcPr>
            <w:tcW w:w="1080" w:type="dxa"/>
          </w:tcPr>
          <w:p w14:paraId="48D17D29"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45</w:t>
            </w:r>
          </w:p>
          <w:p w14:paraId="27BB5B72"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45</w:t>
            </w:r>
          </w:p>
          <w:p w14:paraId="59AFFE2D"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40</w:t>
            </w:r>
          </w:p>
        </w:tc>
        <w:tc>
          <w:tcPr>
            <w:tcW w:w="1260" w:type="dxa"/>
          </w:tcPr>
          <w:p w14:paraId="4FB6F56A"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45</w:t>
            </w:r>
          </w:p>
          <w:p w14:paraId="38F1C105"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45</w:t>
            </w:r>
          </w:p>
          <w:p w14:paraId="2D86AAAB"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40</w:t>
            </w:r>
          </w:p>
        </w:tc>
        <w:tc>
          <w:tcPr>
            <w:tcW w:w="720" w:type="dxa"/>
          </w:tcPr>
          <w:p w14:paraId="224E3166"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50</w:t>
            </w:r>
          </w:p>
          <w:p w14:paraId="2CC9D047"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50</w:t>
            </w:r>
          </w:p>
          <w:p w14:paraId="5547EC70"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40</w:t>
            </w:r>
          </w:p>
        </w:tc>
        <w:tc>
          <w:tcPr>
            <w:tcW w:w="900" w:type="dxa"/>
          </w:tcPr>
          <w:p w14:paraId="43466AD1"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w:t>
            </w:r>
          </w:p>
          <w:p w14:paraId="7F7C9D80"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w:t>
            </w:r>
          </w:p>
          <w:p w14:paraId="6AB345F0"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60</w:t>
            </w:r>
          </w:p>
        </w:tc>
        <w:tc>
          <w:tcPr>
            <w:tcW w:w="1080" w:type="dxa"/>
          </w:tcPr>
          <w:p w14:paraId="7A8EED90"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45</w:t>
            </w:r>
          </w:p>
          <w:p w14:paraId="583CA44C"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45</w:t>
            </w:r>
          </w:p>
          <w:p w14:paraId="2977E289"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40</w:t>
            </w:r>
          </w:p>
        </w:tc>
      </w:tr>
      <w:tr w:rsidR="004B7ACA" w:rsidRPr="004B7ACA" w14:paraId="24C187FD" w14:textId="77777777" w:rsidTr="003B6C9D">
        <w:tc>
          <w:tcPr>
            <w:tcW w:w="993" w:type="dxa"/>
          </w:tcPr>
          <w:p w14:paraId="150D363E" w14:textId="77777777" w:rsidR="00E65CA9" w:rsidRPr="004B7ACA" w:rsidRDefault="00E65CA9" w:rsidP="00CF6787">
            <w:pPr>
              <w:widowControl/>
              <w:spacing w:before="120"/>
              <w:jc w:val="both"/>
              <w:rPr>
                <w:rFonts w:ascii="Arial" w:hAnsi="Arial" w:cs="Arial"/>
                <w:i/>
                <w:iCs/>
                <w:szCs w:val="24"/>
                <w:lang w:eastAsia="en-US"/>
              </w:rPr>
            </w:pPr>
            <w:r w:rsidRPr="004B7ACA">
              <w:rPr>
                <w:rFonts w:ascii="Arial" w:hAnsi="Arial" w:cs="Arial"/>
                <w:i/>
                <w:iCs/>
                <w:szCs w:val="24"/>
                <w:lang w:eastAsia="en-US"/>
              </w:rPr>
              <w:t>II.</w:t>
            </w:r>
          </w:p>
        </w:tc>
        <w:tc>
          <w:tcPr>
            <w:tcW w:w="3713" w:type="dxa"/>
          </w:tcPr>
          <w:p w14:paraId="36E69927" w14:textId="77777777" w:rsidR="00E65CA9" w:rsidRPr="004B7ACA" w:rsidRDefault="00E65CA9" w:rsidP="00CF6787">
            <w:pPr>
              <w:pStyle w:val="tabu"/>
              <w:spacing w:after="0"/>
              <w:rPr>
                <w:rFonts w:cs="Arial"/>
                <w:iCs/>
                <w:szCs w:val="24"/>
                <w:lang w:eastAsia="en-US"/>
              </w:rPr>
            </w:pPr>
            <w:r w:rsidRPr="004B7ACA">
              <w:rPr>
                <w:rFonts w:cs="Arial"/>
                <w:iCs/>
                <w:szCs w:val="24"/>
                <w:lang w:eastAsia="en-US"/>
              </w:rPr>
              <w:t xml:space="preserve">Priestor pred oknami obytných miestností bytových a rodinných domov, priestor pred oknami chránených miestností   školských budov, zdravotníckych zariadení  a iných chránených objektov, </w:t>
            </w:r>
            <w:r w:rsidRPr="004B7ACA">
              <w:rPr>
                <w:rFonts w:cs="Arial"/>
                <w:iCs/>
                <w:szCs w:val="24"/>
                <w:vertAlign w:val="superscript"/>
                <w:lang w:eastAsia="en-US"/>
              </w:rPr>
              <w:t>d)</w:t>
            </w:r>
            <w:r w:rsidRPr="004B7ACA">
              <w:rPr>
                <w:rFonts w:cs="Arial"/>
                <w:iCs/>
                <w:szCs w:val="24"/>
                <w:lang w:eastAsia="en-US"/>
              </w:rPr>
              <w:t xml:space="preserve"> rekreačné územie</w:t>
            </w:r>
          </w:p>
        </w:tc>
        <w:tc>
          <w:tcPr>
            <w:tcW w:w="900" w:type="dxa"/>
          </w:tcPr>
          <w:p w14:paraId="478E4296" w14:textId="77777777" w:rsidR="00E65CA9" w:rsidRPr="004B7ACA" w:rsidRDefault="00E65CA9" w:rsidP="00CF6787">
            <w:pPr>
              <w:widowControl/>
              <w:spacing w:before="120"/>
              <w:jc w:val="both"/>
              <w:rPr>
                <w:rFonts w:ascii="Arial" w:hAnsi="Arial" w:cs="Arial"/>
                <w:i/>
                <w:iCs/>
                <w:szCs w:val="24"/>
                <w:lang w:eastAsia="en-US"/>
              </w:rPr>
            </w:pPr>
            <w:r w:rsidRPr="004B7ACA">
              <w:rPr>
                <w:rFonts w:ascii="Arial" w:hAnsi="Arial" w:cs="Arial"/>
                <w:i/>
                <w:iCs/>
                <w:szCs w:val="24"/>
                <w:lang w:eastAsia="en-US"/>
              </w:rPr>
              <w:t xml:space="preserve"> Deň</w:t>
            </w:r>
          </w:p>
          <w:p w14:paraId="379D5108" w14:textId="77777777" w:rsidR="00E65CA9" w:rsidRPr="004B7ACA" w:rsidRDefault="00E65CA9" w:rsidP="00CF6787">
            <w:pPr>
              <w:widowControl/>
              <w:spacing w:before="120"/>
              <w:jc w:val="both"/>
              <w:rPr>
                <w:rFonts w:ascii="Arial" w:hAnsi="Arial" w:cs="Arial"/>
                <w:i/>
                <w:iCs/>
                <w:szCs w:val="24"/>
                <w:lang w:eastAsia="en-US"/>
              </w:rPr>
            </w:pPr>
            <w:r w:rsidRPr="004B7ACA">
              <w:rPr>
                <w:rFonts w:ascii="Arial" w:hAnsi="Arial" w:cs="Arial"/>
                <w:i/>
                <w:iCs/>
                <w:szCs w:val="24"/>
                <w:lang w:eastAsia="en-US"/>
              </w:rPr>
              <w:t>Večer</w:t>
            </w:r>
          </w:p>
          <w:p w14:paraId="293A5FE6" w14:textId="77777777" w:rsidR="00E65CA9" w:rsidRPr="004B7ACA" w:rsidRDefault="00E65CA9" w:rsidP="00CF6787">
            <w:pPr>
              <w:pStyle w:val="tabu"/>
              <w:spacing w:after="0"/>
              <w:rPr>
                <w:rFonts w:cs="Arial"/>
                <w:iCs/>
                <w:szCs w:val="24"/>
                <w:lang w:eastAsia="en-US"/>
              </w:rPr>
            </w:pPr>
            <w:r w:rsidRPr="004B7ACA">
              <w:rPr>
                <w:rFonts w:cs="Arial"/>
                <w:iCs/>
              </w:rPr>
              <w:t>Noc</w:t>
            </w:r>
          </w:p>
        </w:tc>
        <w:tc>
          <w:tcPr>
            <w:tcW w:w="1080" w:type="dxa"/>
          </w:tcPr>
          <w:p w14:paraId="3F7DB2AD"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50</w:t>
            </w:r>
          </w:p>
          <w:p w14:paraId="543C728F"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50</w:t>
            </w:r>
          </w:p>
          <w:p w14:paraId="2E03BE61" w14:textId="77777777" w:rsidR="00E65CA9" w:rsidRPr="004B7ACA" w:rsidRDefault="00E65CA9" w:rsidP="00CF6787">
            <w:pPr>
              <w:pStyle w:val="tabu"/>
              <w:spacing w:after="0"/>
              <w:jc w:val="center"/>
              <w:rPr>
                <w:rFonts w:cs="Arial"/>
                <w:iCs/>
                <w:szCs w:val="24"/>
                <w:lang w:eastAsia="en-US"/>
              </w:rPr>
            </w:pPr>
            <w:r w:rsidRPr="004B7ACA">
              <w:rPr>
                <w:rFonts w:cs="Arial"/>
                <w:iCs/>
                <w:szCs w:val="24"/>
                <w:lang w:eastAsia="en-US"/>
              </w:rPr>
              <w:t>45</w:t>
            </w:r>
          </w:p>
        </w:tc>
        <w:tc>
          <w:tcPr>
            <w:tcW w:w="1260" w:type="dxa"/>
          </w:tcPr>
          <w:p w14:paraId="60AB4E54"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50</w:t>
            </w:r>
          </w:p>
          <w:p w14:paraId="26E8C41C"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50</w:t>
            </w:r>
          </w:p>
          <w:p w14:paraId="4AB8269C"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45</w:t>
            </w:r>
          </w:p>
        </w:tc>
        <w:tc>
          <w:tcPr>
            <w:tcW w:w="720" w:type="dxa"/>
          </w:tcPr>
          <w:p w14:paraId="15AE109B"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55</w:t>
            </w:r>
          </w:p>
          <w:p w14:paraId="51BFCD4B"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55</w:t>
            </w:r>
          </w:p>
          <w:p w14:paraId="46339EEC"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45</w:t>
            </w:r>
          </w:p>
        </w:tc>
        <w:tc>
          <w:tcPr>
            <w:tcW w:w="900" w:type="dxa"/>
          </w:tcPr>
          <w:p w14:paraId="4564940F"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w:t>
            </w:r>
          </w:p>
          <w:p w14:paraId="3E90D280"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w:t>
            </w:r>
          </w:p>
          <w:p w14:paraId="54E8442D"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65</w:t>
            </w:r>
          </w:p>
        </w:tc>
        <w:tc>
          <w:tcPr>
            <w:tcW w:w="1080" w:type="dxa"/>
          </w:tcPr>
          <w:p w14:paraId="6D8C5DB8"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50</w:t>
            </w:r>
          </w:p>
          <w:p w14:paraId="3CF440D9"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50</w:t>
            </w:r>
          </w:p>
          <w:p w14:paraId="016898FB"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45</w:t>
            </w:r>
          </w:p>
        </w:tc>
      </w:tr>
      <w:tr w:rsidR="004B7ACA" w:rsidRPr="004B7ACA" w14:paraId="3A4A949C" w14:textId="77777777" w:rsidTr="003B6C9D">
        <w:tc>
          <w:tcPr>
            <w:tcW w:w="993" w:type="dxa"/>
          </w:tcPr>
          <w:p w14:paraId="2F8AAE3C" w14:textId="77777777" w:rsidR="00E65CA9" w:rsidRPr="004B7ACA" w:rsidRDefault="00E65CA9" w:rsidP="00CF6787">
            <w:pPr>
              <w:widowControl/>
              <w:spacing w:before="120"/>
              <w:jc w:val="both"/>
              <w:rPr>
                <w:rFonts w:ascii="Arial" w:hAnsi="Arial" w:cs="Arial"/>
                <w:i/>
                <w:iCs/>
                <w:szCs w:val="24"/>
                <w:lang w:eastAsia="en-US"/>
              </w:rPr>
            </w:pPr>
            <w:r w:rsidRPr="004B7ACA">
              <w:rPr>
                <w:rFonts w:ascii="Arial" w:hAnsi="Arial" w:cs="Arial"/>
                <w:i/>
                <w:iCs/>
                <w:szCs w:val="24"/>
                <w:lang w:eastAsia="en-US"/>
              </w:rPr>
              <w:t>III.</w:t>
            </w:r>
          </w:p>
        </w:tc>
        <w:tc>
          <w:tcPr>
            <w:tcW w:w="3713" w:type="dxa"/>
          </w:tcPr>
          <w:p w14:paraId="764AF10C" w14:textId="77777777" w:rsidR="00E65CA9" w:rsidRPr="004B7ACA" w:rsidRDefault="00E65CA9" w:rsidP="00CF6787">
            <w:pPr>
              <w:widowControl/>
              <w:spacing w:before="120"/>
              <w:jc w:val="both"/>
              <w:rPr>
                <w:rFonts w:ascii="Arial" w:hAnsi="Arial" w:cs="Arial"/>
                <w:i/>
                <w:iCs/>
                <w:szCs w:val="24"/>
                <w:lang w:eastAsia="en-US"/>
              </w:rPr>
            </w:pPr>
            <w:r w:rsidRPr="004B7ACA">
              <w:rPr>
                <w:rFonts w:ascii="Arial" w:hAnsi="Arial" w:cs="Arial"/>
                <w:i/>
                <w:iCs/>
                <w:szCs w:val="24"/>
                <w:lang w:eastAsia="en-US"/>
              </w:rPr>
              <w:t xml:space="preserve">Územie ako v kategórii II v okolí  </w:t>
            </w:r>
            <w:r w:rsidRPr="004B7ACA">
              <w:rPr>
                <w:rFonts w:ascii="Arial" w:hAnsi="Arial" w:cs="Arial"/>
                <w:i/>
                <w:iCs/>
                <w:szCs w:val="24"/>
                <w:vertAlign w:val="superscript"/>
                <w:lang w:eastAsia="en-US"/>
              </w:rPr>
              <w:t>a)</w:t>
            </w:r>
            <w:r w:rsidRPr="004B7ACA">
              <w:rPr>
                <w:rFonts w:ascii="Arial" w:hAnsi="Arial" w:cs="Arial"/>
                <w:i/>
                <w:iCs/>
                <w:szCs w:val="24"/>
                <w:lang w:eastAsia="en-US"/>
              </w:rPr>
              <w:t xml:space="preserve"> diaľnic, ciest I.  a II. triedy, miestnych komunikácií s hromadnou dopravou, železničných dráh  a letísk  </w:t>
            </w:r>
            <w:r w:rsidRPr="004B7ACA">
              <w:rPr>
                <w:rFonts w:ascii="Arial" w:hAnsi="Arial" w:cs="Arial"/>
                <w:i/>
                <w:iCs/>
                <w:szCs w:val="24"/>
                <w:vertAlign w:val="superscript"/>
                <w:lang w:eastAsia="en-US"/>
              </w:rPr>
              <w:t>11)</w:t>
            </w:r>
            <w:r w:rsidRPr="004B7ACA">
              <w:rPr>
                <w:rFonts w:ascii="Arial" w:hAnsi="Arial" w:cs="Arial"/>
                <w:i/>
                <w:iCs/>
                <w:szCs w:val="24"/>
                <w:lang w:eastAsia="en-US"/>
              </w:rPr>
              <w:t xml:space="preserve">, mestské centrá </w:t>
            </w:r>
          </w:p>
        </w:tc>
        <w:tc>
          <w:tcPr>
            <w:tcW w:w="900" w:type="dxa"/>
          </w:tcPr>
          <w:p w14:paraId="340E593A" w14:textId="77777777" w:rsidR="00E65CA9" w:rsidRPr="004B7ACA" w:rsidRDefault="00E65CA9" w:rsidP="00CF6787">
            <w:pPr>
              <w:widowControl/>
              <w:spacing w:before="120"/>
              <w:jc w:val="both"/>
              <w:rPr>
                <w:rFonts w:ascii="Arial" w:hAnsi="Arial" w:cs="Arial"/>
                <w:i/>
                <w:iCs/>
                <w:szCs w:val="24"/>
                <w:lang w:eastAsia="en-US"/>
              </w:rPr>
            </w:pPr>
            <w:r w:rsidRPr="004B7ACA">
              <w:rPr>
                <w:rFonts w:ascii="Arial" w:hAnsi="Arial" w:cs="Arial"/>
                <w:i/>
                <w:iCs/>
                <w:szCs w:val="24"/>
                <w:lang w:eastAsia="en-US"/>
              </w:rPr>
              <w:t>Deň</w:t>
            </w:r>
          </w:p>
          <w:p w14:paraId="2581CBAE" w14:textId="77777777" w:rsidR="00E65CA9" w:rsidRPr="004B7ACA" w:rsidRDefault="00E65CA9" w:rsidP="00CF6787">
            <w:pPr>
              <w:widowControl/>
              <w:spacing w:before="120"/>
              <w:jc w:val="both"/>
              <w:rPr>
                <w:rFonts w:ascii="Arial" w:hAnsi="Arial" w:cs="Arial"/>
                <w:i/>
                <w:iCs/>
                <w:szCs w:val="24"/>
                <w:lang w:eastAsia="en-US"/>
              </w:rPr>
            </w:pPr>
            <w:r w:rsidRPr="004B7ACA">
              <w:rPr>
                <w:rFonts w:ascii="Arial" w:hAnsi="Arial" w:cs="Arial"/>
                <w:i/>
                <w:iCs/>
                <w:szCs w:val="24"/>
                <w:lang w:eastAsia="en-US"/>
              </w:rPr>
              <w:t>Večer</w:t>
            </w:r>
          </w:p>
          <w:p w14:paraId="7F6FA23B" w14:textId="77777777" w:rsidR="00E65CA9" w:rsidRPr="004B7ACA" w:rsidRDefault="00E65CA9" w:rsidP="00CF6787">
            <w:pPr>
              <w:pStyle w:val="tabu"/>
              <w:spacing w:after="0"/>
              <w:rPr>
                <w:rFonts w:cs="Arial"/>
                <w:iCs/>
                <w:szCs w:val="24"/>
                <w:lang w:eastAsia="en-US"/>
              </w:rPr>
            </w:pPr>
            <w:r w:rsidRPr="004B7ACA">
              <w:rPr>
                <w:rFonts w:cs="Arial"/>
                <w:iCs/>
              </w:rPr>
              <w:t>Noc</w:t>
            </w:r>
          </w:p>
        </w:tc>
        <w:tc>
          <w:tcPr>
            <w:tcW w:w="1080" w:type="dxa"/>
          </w:tcPr>
          <w:p w14:paraId="78AFB155"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60</w:t>
            </w:r>
          </w:p>
          <w:p w14:paraId="07330C7C"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60</w:t>
            </w:r>
          </w:p>
          <w:p w14:paraId="4C72953D"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50</w:t>
            </w:r>
          </w:p>
        </w:tc>
        <w:tc>
          <w:tcPr>
            <w:tcW w:w="1260" w:type="dxa"/>
          </w:tcPr>
          <w:p w14:paraId="62D414BB"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60</w:t>
            </w:r>
          </w:p>
          <w:p w14:paraId="7D2C4663"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60</w:t>
            </w:r>
          </w:p>
          <w:p w14:paraId="269538DB"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55</w:t>
            </w:r>
          </w:p>
        </w:tc>
        <w:tc>
          <w:tcPr>
            <w:tcW w:w="720" w:type="dxa"/>
          </w:tcPr>
          <w:p w14:paraId="45B2EAD2"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60</w:t>
            </w:r>
          </w:p>
          <w:p w14:paraId="7BE75C24"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60</w:t>
            </w:r>
          </w:p>
          <w:p w14:paraId="75C6D9D2"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50</w:t>
            </w:r>
          </w:p>
        </w:tc>
        <w:tc>
          <w:tcPr>
            <w:tcW w:w="900" w:type="dxa"/>
          </w:tcPr>
          <w:p w14:paraId="689F3A28"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w:t>
            </w:r>
          </w:p>
          <w:p w14:paraId="3F870DE3"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w:t>
            </w:r>
          </w:p>
          <w:p w14:paraId="3B2C92E2"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75</w:t>
            </w:r>
          </w:p>
        </w:tc>
        <w:tc>
          <w:tcPr>
            <w:tcW w:w="1080" w:type="dxa"/>
          </w:tcPr>
          <w:p w14:paraId="380BC4A4"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 xml:space="preserve">50 </w:t>
            </w:r>
          </w:p>
          <w:p w14:paraId="36838791"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50</w:t>
            </w:r>
          </w:p>
          <w:p w14:paraId="6EF4A428"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 xml:space="preserve"> 45</w:t>
            </w:r>
          </w:p>
        </w:tc>
      </w:tr>
      <w:tr w:rsidR="004B7ACA" w:rsidRPr="004B7ACA" w14:paraId="4EF65E12" w14:textId="77777777" w:rsidTr="003B6C9D">
        <w:trPr>
          <w:cantSplit/>
        </w:trPr>
        <w:tc>
          <w:tcPr>
            <w:tcW w:w="993" w:type="dxa"/>
          </w:tcPr>
          <w:p w14:paraId="5A33E4BC" w14:textId="77777777" w:rsidR="00E65CA9" w:rsidRPr="004B7ACA" w:rsidRDefault="00E65CA9" w:rsidP="00CF6787">
            <w:pPr>
              <w:widowControl/>
              <w:spacing w:before="120"/>
              <w:jc w:val="both"/>
              <w:rPr>
                <w:rFonts w:ascii="Arial" w:hAnsi="Arial" w:cs="Arial"/>
                <w:i/>
                <w:iCs/>
                <w:szCs w:val="24"/>
                <w:lang w:eastAsia="en-US"/>
              </w:rPr>
            </w:pPr>
            <w:r w:rsidRPr="004B7ACA">
              <w:rPr>
                <w:rFonts w:ascii="Arial" w:hAnsi="Arial" w:cs="Arial"/>
                <w:i/>
                <w:iCs/>
                <w:szCs w:val="24"/>
                <w:lang w:eastAsia="en-US"/>
              </w:rPr>
              <w:t>IV.</w:t>
            </w:r>
          </w:p>
        </w:tc>
        <w:tc>
          <w:tcPr>
            <w:tcW w:w="3713" w:type="dxa"/>
          </w:tcPr>
          <w:p w14:paraId="13DAE5C1" w14:textId="77777777" w:rsidR="00E65CA9" w:rsidRPr="004B7ACA" w:rsidRDefault="00E65CA9" w:rsidP="00CF6787">
            <w:pPr>
              <w:widowControl/>
              <w:spacing w:before="120"/>
              <w:jc w:val="both"/>
              <w:rPr>
                <w:rFonts w:ascii="Arial" w:hAnsi="Arial" w:cs="Arial"/>
                <w:i/>
                <w:iCs/>
                <w:szCs w:val="24"/>
                <w:lang w:eastAsia="en-US"/>
              </w:rPr>
            </w:pPr>
            <w:r w:rsidRPr="004B7ACA">
              <w:rPr>
                <w:rFonts w:ascii="Arial" w:hAnsi="Arial" w:cs="Arial"/>
                <w:i/>
                <w:iCs/>
                <w:szCs w:val="24"/>
                <w:lang w:eastAsia="en-US"/>
              </w:rPr>
              <w:t>Územie bez obytnej funkcie a bez chránených vonkajších priestorov,   výrobné zóny, priemyselné parky, areály závodov</w:t>
            </w:r>
          </w:p>
        </w:tc>
        <w:tc>
          <w:tcPr>
            <w:tcW w:w="900" w:type="dxa"/>
          </w:tcPr>
          <w:p w14:paraId="4FACCE57" w14:textId="77777777" w:rsidR="00E65CA9" w:rsidRPr="004B7ACA" w:rsidRDefault="00E65CA9" w:rsidP="00CF6787">
            <w:pPr>
              <w:widowControl/>
              <w:spacing w:before="120"/>
              <w:jc w:val="both"/>
              <w:rPr>
                <w:rFonts w:ascii="Arial" w:hAnsi="Arial" w:cs="Arial"/>
                <w:i/>
                <w:iCs/>
                <w:szCs w:val="24"/>
                <w:lang w:eastAsia="en-US"/>
              </w:rPr>
            </w:pPr>
            <w:r w:rsidRPr="004B7ACA">
              <w:rPr>
                <w:rFonts w:ascii="Arial" w:hAnsi="Arial" w:cs="Arial"/>
                <w:i/>
                <w:iCs/>
                <w:szCs w:val="24"/>
                <w:lang w:eastAsia="en-US"/>
              </w:rPr>
              <w:t>Deň</w:t>
            </w:r>
          </w:p>
          <w:p w14:paraId="3374C668" w14:textId="77777777" w:rsidR="00E65CA9" w:rsidRPr="004B7ACA" w:rsidRDefault="00E65CA9" w:rsidP="00CF6787">
            <w:pPr>
              <w:widowControl/>
              <w:spacing w:before="120"/>
              <w:jc w:val="both"/>
              <w:rPr>
                <w:rFonts w:ascii="Arial" w:hAnsi="Arial" w:cs="Arial"/>
                <w:i/>
                <w:iCs/>
                <w:szCs w:val="24"/>
                <w:lang w:eastAsia="en-US"/>
              </w:rPr>
            </w:pPr>
            <w:r w:rsidRPr="004B7ACA">
              <w:rPr>
                <w:rFonts w:ascii="Arial" w:hAnsi="Arial" w:cs="Arial"/>
                <w:i/>
                <w:iCs/>
                <w:szCs w:val="24"/>
                <w:lang w:eastAsia="en-US"/>
              </w:rPr>
              <w:t>Večer</w:t>
            </w:r>
          </w:p>
          <w:p w14:paraId="21EC65B7" w14:textId="77777777" w:rsidR="00E65CA9" w:rsidRPr="004B7ACA" w:rsidRDefault="00E65CA9" w:rsidP="00CF6787">
            <w:pPr>
              <w:widowControl/>
              <w:spacing w:before="120"/>
              <w:jc w:val="both"/>
              <w:rPr>
                <w:rFonts w:ascii="Arial" w:hAnsi="Arial" w:cs="Arial"/>
                <w:i/>
                <w:iCs/>
                <w:szCs w:val="24"/>
                <w:lang w:eastAsia="en-US"/>
              </w:rPr>
            </w:pPr>
            <w:r w:rsidRPr="004B7ACA">
              <w:rPr>
                <w:rFonts w:ascii="Arial" w:hAnsi="Arial" w:cs="Arial"/>
                <w:i/>
                <w:iCs/>
                <w:szCs w:val="24"/>
                <w:lang w:eastAsia="en-US"/>
              </w:rPr>
              <w:t>Noc</w:t>
            </w:r>
          </w:p>
        </w:tc>
        <w:tc>
          <w:tcPr>
            <w:tcW w:w="1080" w:type="dxa"/>
          </w:tcPr>
          <w:p w14:paraId="0506E078"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70</w:t>
            </w:r>
          </w:p>
          <w:p w14:paraId="73DE1DE7"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70</w:t>
            </w:r>
          </w:p>
          <w:p w14:paraId="2B2E1D9B"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70</w:t>
            </w:r>
          </w:p>
        </w:tc>
        <w:tc>
          <w:tcPr>
            <w:tcW w:w="1260" w:type="dxa"/>
          </w:tcPr>
          <w:p w14:paraId="2332925C"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70</w:t>
            </w:r>
          </w:p>
          <w:p w14:paraId="66259F19"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70</w:t>
            </w:r>
          </w:p>
          <w:p w14:paraId="4C556D74"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 xml:space="preserve">70 </w:t>
            </w:r>
          </w:p>
        </w:tc>
        <w:tc>
          <w:tcPr>
            <w:tcW w:w="720" w:type="dxa"/>
          </w:tcPr>
          <w:p w14:paraId="0454E026"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70</w:t>
            </w:r>
          </w:p>
          <w:p w14:paraId="4727BF96"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70</w:t>
            </w:r>
          </w:p>
          <w:p w14:paraId="5AEDB6A8"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70</w:t>
            </w:r>
          </w:p>
        </w:tc>
        <w:tc>
          <w:tcPr>
            <w:tcW w:w="900" w:type="dxa"/>
          </w:tcPr>
          <w:p w14:paraId="6C852AB6"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w:t>
            </w:r>
          </w:p>
          <w:p w14:paraId="4BC48699"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w:t>
            </w:r>
          </w:p>
          <w:p w14:paraId="4D6C666F"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95</w:t>
            </w:r>
          </w:p>
        </w:tc>
        <w:tc>
          <w:tcPr>
            <w:tcW w:w="1080" w:type="dxa"/>
          </w:tcPr>
          <w:p w14:paraId="52A29BC5"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70</w:t>
            </w:r>
          </w:p>
          <w:p w14:paraId="433EC08A"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70</w:t>
            </w:r>
          </w:p>
          <w:p w14:paraId="596D3E28" w14:textId="77777777" w:rsidR="00E65CA9" w:rsidRPr="004B7ACA" w:rsidRDefault="00E65CA9" w:rsidP="00CF6787">
            <w:pPr>
              <w:widowControl/>
              <w:spacing w:before="120"/>
              <w:jc w:val="center"/>
              <w:rPr>
                <w:rFonts w:ascii="Arial" w:hAnsi="Arial" w:cs="Arial"/>
                <w:i/>
                <w:iCs/>
                <w:szCs w:val="24"/>
                <w:lang w:eastAsia="en-US"/>
              </w:rPr>
            </w:pPr>
            <w:r w:rsidRPr="004B7ACA">
              <w:rPr>
                <w:rFonts w:ascii="Arial" w:hAnsi="Arial" w:cs="Arial"/>
                <w:i/>
                <w:iCs/>
                <w:szCs w:val="24"/>
                <w:lang w:eastAsia="en-US"/>
              </w:rPr>
              <w:t>70</w:t>
            </w:r>
          </w:p>
        </w:tc>
      </w:tr>
    </w:tbl>
    <w:p w14:paraId="5C83B4B3" w14:textId="77777777" w:rsidR="00E65CA9" w:rsidRPr="004B7ACA" w:rsidRDefault="00E65CA9" w:rsidP="00EA41EC">
      <w:pPr>
        <w:widowControl/>
        <w:jc w:val="both"/>
        <w:rPr>
          <w:rFonts w:ascii="Arial" w:hAnsi="Arial" w:cs="Arial"/>
          <w:sz w:val="18"/>
          <w:szCs w:val="16"/>
          <w:lang w:eastAsia="en-US"/>
        </w:rPr>
      </w:pPr>
      <w:r w:rsidRPr="004B7ACA">
        <w:rPr>
          <w:rFonts w:ascii="Arial" w:hAnsi="Arial" w:cs="Arial"/>
          <w:sz w:val="18"/>
          <w:szCs w:val="16"/>
          <w:lang w:eastAsia="en-US"/>
        </w:rPr>
        <w:t>Poznámky k tabuľke:</w:t>
      </w:r>
    </w:p>
    <w:p w14:paraId="43B820E7" w14:textId="77777777" w:rsidR="00E65CA9" w:rsidRPr="004B7ACA" w:rsidRDefault="00E65CA9" w:rsidP="0095439F">
      <w:pPr>
        <w:widowControl/>
        <w:numPr>
          <w:ilvl w:val="0"/>
          <w:numId w:val="8"/>
        </w:numPr>
        <w:ind w:left="1060" w:hanging="703"/>
        <w:jc w:val="both"/>
        <w:rPr>
          <w:rFonts w:ascii="Arial" w:hAnsi="Arial" w:cs="Arial"/>
          <w:sz w:val="18"/>
          <w:szCs w:val="16"/>
          <w:lang w:eastAsia="en-US"/>
        </w:rPr>
      </w:pPr>
      <w:r w:rsidRPr="004B7ACA">
        <w:rPr>
          <w:rFonts w:ascii="Arial" w:hAnsi="Arial" w:cs="Arial"/>
          <w:sz w:val="18"/>
          <w:szCs w:val="16"/>
          <w:lang w:eastAsia="en-US"/>
        </w:rPr>
        <w:t>Prípustné hodnoty platia pre suchý povrch vozovky a nezasnežený terén</w:t>
      </w:r>
    </w:p>
    <w:p w14:paraId="09D30AA6" w14:textId="77777777" w:rsidR="00E65CA9" w:rsidRPr="004B7ACA" w:rsidRDefault="00E65CA9" w:rsidP="0095439F">
      <w:pPr>
        <w:widowControl/>
        <w:numPr>
          <w:ilvl w:val="0"/>
          <w:numId w:val="8"/>
        </w:numPr>
        <w:ind w:left="1060" w:hanging="703"/>
        <w:jc w:val="both"/>
        <w:rPr>
          <w:rFonts w:ascii="Arial" w:hAnsi="Arial" w:cs="Arial"/>
          <w:sz w:val="18"/>
          <w:szCs w:val="16"/>
          <w:lang w:eastAsia="en-US"/>
        </w:rPr>
      </w:pPr>
      <w:r w:rsidRPr="004B7ACA">
        <w:rPr>
          <w:rFonts w:ascii="Arial" w:hAnsi="Arial" w:cs="Arial"/>
          <w:sz w:val="18"/>
          <w:szCs w:val="16"/>
          <w:lang w:eastAsia="en-US"/>
        </w:rPr>
        <w:t>Pozemná doprava je doprava na pozemných komunikáciách vrátane električkovej dopravy.</w:t>
      </w:r>
      <w:r w:rsidRPr="004B7ACA">
        <w:rPr>
          <w:rFonts w:ascii="Arial" w:hAnsi="Arial" w:cs="Arial"/>
          <w:sz w:val="18"/>
          <w:szCs w:val="16"/>
          <w:vertAlign w:val="superscript"/>
          <w:lang w:eastAsia="en-US"/>
        </w:rPr>
        <w:t>11</w:t>
      </w:r>
      <w:r w:rsidRPr="004B7ACA">
        <w:rPr>
          <w:rFonts w:ascii="Arial" w:hAnsi="Arial" w:cs="Arial"/>
          <w:sz w:val="18"/>
          <w:szCs w:val="16"/>
          <w:lang w:eastAsia="en-US"/>
        </w:rPr>
        <w:t>)</w:t>
      </w:r>
    </w:p>
    <w:p w14:paraId="004C35C9" w14:textId="77777777" w:rsidR="00E65CA9" w:rsidRPr="004B7ACA" w:rsidRDefault="00E65CA9" w:rsidP="0095439F">
      <w:pPr>
        <w:widowControl/>
        <w:numPr>
          <w:ilvl w:val="0"/>
          <w:numId w:val="8"/>
        </w:numPr>
        <w:ind w:left="1060" w:hanging="703"/>
        <w:jc w:val="both"/>
        <w:rPr>
          <w:rFonts w:ascii="Arial" w:hAnsi="Arial" w:cs="Arial"/>
          <w:sz w:val="18"/>
          <w:szCs w:val="16"/>
          <w:lang w:eastAsia="en-US"/>
        </w:rPr>
      </w:pPr>
      <w:r w:rsidRPr="004B7ACA">
        <w:rPr>
          <w:rFonts w:ascii="Arial" w:hAnsi="Arial" w:cs="Arial"/>
          <w:sz w:val="18"/>
          <w:szCs w:val="16"/>
          <w:lang w:eastAsia="en-US"/>
        </w:rPr>
        <w:t>Zastávky miestnej hromadnej dopravy, autobusovej, železnej, vodnej dopravy a stanovištia taxislužieb určené iba na nastupovanie a vystupovanie osôb sa hodnotia ako súčasť pozemnej a vodnej dopravy.</w:t>
      </w:r>
    </w:p>
    <w:p w14:paraId="06B80B55" w14:textId="77777777" w:rsidR="00E65CA9" w:rsidRPr="004B7ACA" w:rsidRDefault="00E65CA9" w:rsidP="0095439F">
      <w:pPr>
        <w:widowControl/>
        <w:numPr>
          <w:ilvl w:val="0"/>
          <w:numId w:val="8"/>
        </w:numPr>
        <w:ind w:left="1060" w:hanging="703"/>
        <w:jc w:val="both"/>
        <w:rPr>
          <w:rFonts w:ascii="Arial" w:hAnsi="Arial" w:cs="Arial"/>
          <w:sz w:val="18"/>
          <w:szCs w:val="16"/>
          <w:lang w:eastAsia="en-US"/>
        </w:rPr>
      </w:pPr>
      <w:r w:rsidRPr="004B7ACA">
        <w:rPr>
          <w:rFonts w:ascii="Arial" w:hAnsi="Arial" w:cs="Arial"/>
          <w:sz w:val="18"/>
          <w:szCs w:val="16"/>
          <w:lang w:eastAsia="en-US"/>
        </w:rPr>
        <w:t>Prípustné hodnoty pred fasádou nebytových objektov sa uplatňujú v čase ich používania, napr. školy počas vyučovania a pod.</w:t>
      </w:r>
    </w:p>
    <w:p w14:paraId="5D976EE8" w14:textId="7F216A85" w:rsidR="00E65CA9" w:rsidRPr="00DA2BE8" w:rsidRDefault="00E65CA9" w:rsidP="00DC00C4">
      <w:pPr>
        <w:widowControl/>
        <w:spacing w:before="120"/>
        <w:jc w:val="both"/>
        <w:rPr>
          <w:rFonts w:ascii="Arial" w:hAnsi="Arial" w:cs="Arial"/>
          <w:i/>
          <w:iCs/>
          <w:sz w:val="18"/>
          <w:lang w:eastAsia="en-US"/>
        </w:rPr>
      </w:pPr>
      <w:r w:rsidRPr="00DA2BE8">
        <w:rPr>
          <w:rFonts w:ascii="Arial" w:hAnsi="Arial" w:cs="Arial"/>
          <w:i/>
          <w:iCs/>
          <w:sz w:val="18"/>
          <w:lang w:eastAsia="en-US"/>
        </w:rPr>
        <w:t xml:space="preserve">Tab. </w:t>
      </w:r>
      <w:r w:rsidR="00047C3E" w:rsidRPr="00DA2BE8">
        <w:rPr>
          <w:rFonts w:ascii="Arial" w:hAnsi="Arial" w:cs="Arial"/>
          <w:i/>
          <w:iCs/>
          <w:sz w:val="18"/>
          <w:lang w:eastAsia="en-US"/>
        </w:rPr>
        <w:t>č. IV.3.2.2</w:t>
      </w:r>
      <w:r w:rsidRPr="00DA2BE8">
        <w:rPr>
          <w:rFonts w:ascii="Arial" w:hAnsi="Arial" w:cs="Arial"/>
          <w:i/>
          <w:iCs/>
          <w:sz w:val="18"/>
          <w:lang w:eastAsia="en-US"/>
        </w:rPr>
        <w:t xml:space="preserve">: Korekcie  K na stanovenie posudzovaných hodnôt hluku vo vonkajšom prostredí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37"/>
        <w:gridCol w:w="3019"/>
        <w:gridCol w:w="3006"/>
      </w:tblGrid>
      <w:tr w:rsidR="004B7ACA" w:rsidRPr="004B7ACA" w14:paraId="6F56FDF9" w14:textId="77777777" w:rsidTr="00CF6787">
        <w:tc>
          <w:tcPr>
            <w:tcW w:w="3070" w:type="dxa"/>
          </w:tcPr>
          <w:p w14:paraId="158696E3" w14:textId="77777777" w:rsidR="00E65CA9" w:rsidRPr="00EA41EC" w:rsidRDefault="00E65CA9" w:rsidP="00CF6787">
            <w:pPr>
              <w:widowControl/>
              <w:jc w:val="both"/>
              <w:rPr>
                <w:rFonts w:ascii="Arial" w:hAnsi="Arial" w:cs="Arial"/>
                <w:b/>
                <w:bCs/>
                <w:sz w:val="22"/>
                <w:szCs w:val="24"/>
                <w:lang w:eastAsia="en-US"/>
              </w:rPr>
            </w:pPr>
            <w:r w:rsidRPr="00EA41EC">
              <w:rPr>
                <w:rFonts w:ascii="Arial" w:hAnsi="Arial" w:cs="Arial"/>
                <w:b/>
                <w:bCs/>
                <w:sz w:val="22"/>
                <w:szCs w:val="24"/>
                <w:lang w:eastAsia="en-US"/>
              </w:rPr>
              <w:t>Špecifický hluk</w:t>
            </w:r>
          </w:p>
        </w:tc>
        <w:tc>
          <w:tcPr>
            <w:tcW w:w="3071" w:type="dxa"/>
          </w:tcPr>
          <w:p w14:paraId="67573A22" w14:textId="77777777" w:rsidR="00E65CA9" w:rsidRPr="00EA41EC" w:rsidRDefault="00E65CA9" w:rsidP="00CF6787">
            <w:pPr>
              <w:widowControl/>
              <w:jc w:val="both"/>
              <w:rPr>
                <w:rFonts w:ascii="Arial" w:hAnsi="Arial" w:cs="Arial"/>
                <w:b/>
                <w:bCs/>
                <w:sz w:val="22"/>
                <w:szCs w:val="24"/>
                <w:lang w:eastAsia="en-US"/>
              </w:rPr>
            </w:pPr>
            <w:r w:rsidRPr="00EA41EC">
              <w:rPr>
                <w:rFonts w:ascii="Arial" w:hAnsi="Arial" w:cs="Arial"/>
                <w:b/>
                <w:bCs/>
                <w:sz w:val="22"/>
                <w:szCs w:val="24"/>
                <w:lang w:eastAsia="en-US"/>
              </w:rPr>
              <w:t>Referenčný  časový interval</w:t>
            </w:r>
          </w:p>
        </w:tc>
        <w:tc>
          <w:tcPr>
            <w:tcW w:w="3071" w:type="dxa"/>
          </w:tcPr>
          <w:p w14:paraId="185E28FC" w14:textId="77777777" w:rsidR="00E65CA9" w:rsidRPr="004B7ACA" w:rsidRDefault="00E65CA9" w:rsidP="00CF6787">
            <w:pPr>
              <w:widowControl/>
              <w:jc w:val="both"/>
              <w:rPr>
                <w:rFonts w:ascii="Arial" w:hAnsi="Arial" w:cs="Arial"/>
                <w:b/>
                <w:bCs/>
                <w:sz w:val="22"/>
                <w:szCs w:val="24"/>
                <w:lang w:eastAsia="en-US"/>
              </w:rPr>
            </w:pPr>
            <w:r w:rsidRPr="00EA41EC">
              <w:rPr>
                <w:rFonts w:ascii="Arial" w:hAnsi="Arial" w:cs="Arial"/>
                <w:b/>
                <w:bCs/>
                <w:sz w:val="22"/>
                <w:szCs w:val="24"/>
                <w:lang w:eastAsia="en-US"/>
              </w:rPr>
              <w:t xml:space="preserve">K </w:t>
            </w:r>
            <w:r w:rsidRPr="00EA41EC">
              <w:rPr>
                <w:rFonts w:ascii="Arial" w:hAnsi="Arial" w:cs="Arial"/>
                <w:b/>
                <w:bCs/>
                <w:sz w:val="22"/>
                <w:szCs w:val="24"/>
                <w:vertAlign w:val="superscript"/>
                <w:lang w:eastAsia="en-US"/>
              </w:rPr>
              <w:t>a)</w:t>
            </w:r>
            <w:r w:rsidRPr="00EA41EC">
              <w:rPr>
                <w:rFonts w:ascii="Arial" w:hAnsi="Arial" w:cs="Arial"/>
                <w:b/>
                <w:bCs/>
                <w:sz w:val="22"/>
                <w:szCs w:val="24"/>
                <w:lang w:eastAsia="en-US"/>
              </w:rPr>
              <w:t xml:space="preserve"> na určenie L</w:t>
            </w:r>
            <w:r w:rsidRPr="00EA41EC">
              <w:rPr>
                <w:rFonts w:ascii="Arial" w:hAnsi="Arial" w:cs="Arial"/>
                <w:b/>
                <w:bCs/>
                <w:sz w:val="22"/>
                <w:szCs w:val="24"/>
                <w:vertAlign w:val="subscript"/>
                <w:lang w:eastAsia="en-US"/>
              </w:rPr>
              <w:t xml:space="preserve">R,Aeq  </w:t>
            </w:r>
            <w:r w:rsidRPr="00EA41EC">
              <w:rPr>
                <w:rFonts w:ascii="Arial" w:hAnsi="Arial" w:cs="Arial"/>
                <w:b/>
                <w:bCs/>
                <w:sz w:val="22"/>
                <w:szCs w:val="24"/>
                <w:lang w:eastAsia="en-US"/>
              </w:rPr>
              <w:t>(dB)</w:t>
            </w:r>
          </w:p>
        </w:tc>
      </w:tr>
      <w:tr w:rsidR="004B7ACA" w:rsidRPr="004B7ACA" w14:paraId="28F136C3" w14:textId="77777777" w:rsidTr="00CF6787">
        <w:tc>
          <w:tcPr>
            <w:tcW w:w="3070" w:type="dxa"/>
          </w:tcPr>
          <w:p w14:paraId="775A1CA9" w14:textId="77777777" w:rsidR="00E65CA9" w:rsidRPr="004B7ACA" w:rsidRDefault="00E65CA9" w:rsidP="00CF6787">
            <w:pPr>
              <w:widowControl/>
              <w:jc w:val="both"/>
              <w:rPr>
                <w:rFonts w:ascii="Arial" w:hAnsi="Arial" w:cs="Arial"/>
                <w:sz w:val="22"/>
                <w:szCs w:val="24"/>
                <w:lang w:eastAsia="en-US"/>
              </w:rPr>
            </w:pPr>
            <w:r w:rsidRPr="004B7ACA">
              <w:rPr>
                <w:rFonts w:ascii="Arial" w:hAnsi="Arial" w:cs="Arial"/>
                <w:sz w:val="22"/>
                <w:szCs w:val="24"/>
                <w:lang w:eastAsia="en-US"/>
              </w:rPr>
              <w:t xml:space="preserve">Zvlášť rušivý hluk, tónový hluk, bežný impulzový hluk </w:t>
            </w:r>
            <w:r w:rsidRPr="004B7ACA">
              <w:rPr>
                <w:rFonts w:ascii="Arial" w:hAnsi="Arial" w:cs="Arial"/>
                <w:sz w:val="22"/>
                <w:szCs w:val="24"/>
                <w:vertAlign w:val="superscript"/>
                <w:lang w:eastAsia="en-US"/>
              </w:rPr>
              <w:t>b)</w:t>
            </w:r>
          </w:p>
        </w:tc>
        <w:tc>
          <w:tcPr>
            <w:tcW w:w="3071" w:type="dxa"/>
          </w:tcPr>
          <w:p w14:paraId="570A6C1D" w14:textId="77777777" w:rsidR="00E65CA9" w:rsidRPr="004B7ACA" w:rsidRDefault="00E65CA9" w:rsidP="00CF6787">
            <w:pPr>
              <w:widowControl/>
              <w:jc w:val="both"/>
              <w:rPr>
                <w:rFonts w:ascii="Arial" w:hAnsi="Arial" w:cs="Arial"/>
                <w:sz w:val="22"/>
                <w:szCs w:val="24"/>
                <w:lang w:eastAsia="en-US"/>
              </w:rPr>
            </w:pPr>
            <w:r w:rsidRPr="004B7ACA">
              <w:rPr>
                <w:rFonts w:ascii="Arial" w:hAnsi="Arial" w:cs="Arial"/>
                <w:sz w:val="22"/>
                <w:szCs w:val="24"/>
                <w:lang w:eastAsia="en-US"/>
              </w:rPr>
              <w:t>Deň, večer, noc</w:t>
            </w:r>
          </w:p>
        </w:tc>
        <w:tc>
          <w:tcPr>
            <w:tcW w:w="3071" w:type="dxa"/>
          </w:tcPr>
          <w:p w14:paraId="45E283F4" w14:textId="77777777" w:rsidR="00E65CA9" w:rsidRPr="004B7ACA" w:rsidRDefault="00E65CA9" w:rsidP="00CF6787">
            <w:pPr>
              <w:widowControl/>
              <w:jc w:val="center"/>
              <w:rPr>
                <w:rFonts w:ascii="Arial" w:hAnsi="Arial" w:cs="Arial"/>
                <w:sz w:val="22"/>
                <w:szCs w:val="24"/>
                <w:lang w:eastAsia="en-US"/>
              </w:rPr>
            </w:pPr>
            <w:r w:rsidRPr="004B7ACA">
              <w:rPr>
                <w:rFonts w:ascii="Arial" w:hAnsi="Arial" w:cs="Arial"/>
                <w:sz w:val="22"/>
                <w:szCs w:val="24"/>
                <w:lang w:eastAsia="en-US"/>
              </w:rPr>
              <w:t>+5a)</w:t>
            </w:r>
          </w:p>
          <w:p w14:paraId="1DED054E" w14:textId="77777777" w:rsidR="00E65CA9" w:rsidRPr="004B7ACA" w:rsidRDefault="00E65CA9" w:rsidP="00CF6787">
            <w:pPr>
              <w:widowControl/>
              <w:jc w:val="center"/>
              <w:rPr>
                <w:rFonts w:ascii="Arial" w:hAnsi="Arial" w:cs="Arial"/>
                <w:sz w:val="22"/>
                <w:szCs w:val="24"/>
                <w:lang w:eastAsia="en-US"/>
              </w:rPr>
            </w:pPr>
          </w:p>
        </w:tc>
      </w:tr>
      <w:tr w:rsidR="004B7ACA" w:rsidRPr="004B7ACA" w14:paraId="47D5FC1B" w14:textId="77777777" w:rsidTr="00CF6787">
        <w:tc>
          <w:tcPr>
            <w:tcW w:w="3070" w:type="dxa"/>
          </w:tcPr>
          <w:p w14:paraId="48CE9DDF" w14:textId="77777777" w:rsidR="00E65CA9" w:rsidRPr="004B7ACA" w:rsidRDefault="00E65CA9" w:rsidP="00CF6787">
            <w:pPr>
              <w:pStyle w:val="Hlavika"/>
              <w:tabs>
                <w:tab w:val="clear" w:pos="4703"/>
                <w:tab w:val="clear" w:pos="9406"/>
              </w:tabs>
              <w:rPr>
                <w:rFonts w:ascii="Arial" w:hAnsi="Arial" w:cs="Arial"/>
                <w:sz w:val="22"/>
                <w:lang w:val="sk-SK"/>
              </w:rPr>
            </w:pPr>
            <w:r w:rsidRPr="004B7ACA">
              <w:rPr>
                <w:rFonts w:ascii="Arial" w:hAnsi="Arial" w:cs="Arial"/>
                <w:sz w:val="22"/>
                <w:lang w:val="sk-SK"/>
              </w:rPr>
              <w:t xml:space="preserve">Vysokoimpulzný hluk </w:t>
            </w:r>
            <w:r w:rsidRPr="004B7ACA">
              <w:rPr>
                <w:rFonts w:ascii="Arial" w:hAnsi="Arial" w:cs="Arial"/>
                <w:sz w:val="22"/>
                <w:vertAlign w:val="superscript"/>
                <w:lang w:val="sk-SK"/>
              </w:rPr>
              <w:t>b)</w:t>
            </w:r>
          </w:p>
        </w:tc>
        <w:tc>
          <w:tcPr>
            <w:tcW w:w="3071" w:type="dxa"/>
          </w:tcPr>
          <w:p w14:paraId="398B5558" w14:textId="77777777" w:rsidR="00E65CA9" w:rsidRPr="004B7ACA" w:rsidRDefault="00E65CA9" w:rsidP="00CF6787">
            <w:pPr>
              <w:widowControl/>
              <w:jc w:val="both"/>
              <w:rPr>
                <w:rFonts w:ascii="Arial" w:hAnsi="Arial" w:cs="Arial"/>
                <w:sz w:val="22"/>
                <w:szCs w:val="24"/>
                <w:lang w:eastAsia="en-US"/>
              </w:rPr>
            </w:pPr>
            <w:r w:rsidRPr="004B7ACA">
              <w:rPr>
                <w:rFonts w:ascii="Arial" w:hAnsi="Arial" w:cs="Arial"/>
                <w:sz w:val="22"/>
                <w:szCs w:val="24"/>
                <w:lang w:eastAsia="en-US"/>
              </w:rPr>
              <w:t>Deň, večer, noc</w:t>
            </w:r>
          </w:p>
        </w:tc>
        <w:tc>
          <w:tcPr>
            <w:tcW w:w="3071" w:type="dxa"/>
          </w:tcPr>
          <w:p w14:paraId="3155E8F0" w14:textId="77777777" w:rsidR="00E65CA9" w:rsidRPr="004B7ACA" w:rsidRDefault="00E65CA9" w:rsidP="00CF6787">
            <w:pPr>
              <w:widowControl/>
              <w:jc w:val="center"/>
              <w:rPr>
                <w:rFonts w:ascii="Arial" w:hAnsi="Arial" w:cs="Arial"/>
                <w:sz w:val="22"/>
                <w:szCs w:val="24"/>
                <w:lang w:eastAsia="en-US"/>
              </w:rPr>
            </w:pPr>
            <w:r w:rsidRPr="004B7ACA">
              <w:rPr>
                <w:rFonts w:ascii="Arial" w:hAnsi="Arial" w:cs="Arial"/>
                <w:sz w:val="22"/>
                <w:szCs w:val="24"/>
                <w:lang w:eastAsia="en-US"/>
              </w:rPr>
              <w:t>+12a)</w:t>
            </w:r>
          </w:p>
        </w:tc>
      </w:tr>
      <w:tr w:rsidR="004B7ACA" w:rsidRPr="004B7ACA" w14:paraId="380EB1DA" w14:textId="77777777" w:rsidTr="00CF6787">
        <w:tc>
          <w:tcPr>
            <w:tcW w:w="3070" w:type="dxa"/>
          </w:tcPr>
          <w:p w14:paraId="77356522" w14:textId="77777777" w:rsidR="00E65CA9" w:rsidRPr="004B7ACA" w:rsidRDefault="00E65CA9" w:rsidP="00CF6787">
            <w:pPr>
              <w:widowControl/>
              <w:jc w:val="both"/>
              <w:rPr>
                <w:rFonts w:ascii="Arial" w:hAnsi="Arial" w:cs="Arial"/>
                <w:sz w:val="22"/>
                <w:szCs w:val="24"/>
                <w:lang w:eastAsia="en-US"/>
              </w:rPr>
            </w:pPr>
            <w:r w:rsidRPr="004B7ACA">
              <w:rPr>
                <w:rFonts w:ascii="Arial" w:hAnsi="Arial" w:cs="Arial"/>
                <w:sz w:val="22"/>
                <w:szCs w:val="24"/>
                <w:lang w:eastAsia="en-US"/>
              </w:rPr>
              <w:t>Vysokoenergetický impulzný hluk</w:t>
            </w:r>
          </w:p>
        </w:tc>
        <w:tc>
          <w:tcPr>
            <w:tcW w:w="3071" w:type="dxa"/>
          </w:tcPr>
          <w:p w14:paraId="5675B493" w14:textId="77777777" w:rsidR="00E65CA9" w:rsidRPr="004B7ACA" w:rsidRDefault="00E65CA9" w:rsidP="00CF6787">
            <w:pPr>
              <w:widowControl/>
              <w:jc w:val="both"/>
              <w:rPr>
                <w:rFonts w:ascii="Arial" w:hAnsi="Arial" w:cs="Arial"/>
                <w:sz w:val="22"/>
                <w:szCs w:val="24"/>
                <w:lang w:eastAsia="en-US"/>
              </w:rPr>
            </w:pPr>
            <w:r w:rsidRPr="004B7ACA">
              <w:rPr>
                <w:rFonts w:ascii="Arial" w:hAnsi="Arial" w:cs="Arial"/>
                <w:sz w:val="22"/>
                <w:szCs w:val="24"/>
                <w:lang w:eastAsia="en-US"/>
              </w:rPr>
              <w:t>Deň, večer, noc</w:t>
            </w:r>
          </w:p>
        </w:tc>
        <w:tc>
          <w:tcPr>
            <w:tcW w:w="3071" w:type="dxa"/>
          </w:tcPr>
          <w:p w14:paraId="7C9D428A" w14:textId="77777777" w:rsidR="00E65CA9" w:rsidRPr="004B7ACA" w:rsidRDefault="00E65CA9" w:rsidP="00CF6787">
            <w:pPr>
              <w:widowControl/>
              <w:jc w:val="center"/>
              <w:rPr>
                <w:rFonts w:ascii="Arial" w:hAnsi="Arial" w:cs="Arial"/>
                <w:sz w:val="22"/>
                <w:szCs w:val="24"/>
                <w:lang w:eastAsia="en-US"/>
              </w:rPr>
            </w:pPr>
            <w:r w:rsidRPr="004B7ACA">
              <w:rPr>
                <w:rFonts w:ascii="Arial" w:hAnsi="Arial" w:cs="Arial"/>
                <w:sz w:val="22"/>
                <w:szCs w:val="24"/>
                <w:lang w:eastAsia="en-US"/>
              </w:rPr>
              <w:t>podľa b)</w:t>
            </w:r>
          </w:p>
        </w:tc>
      </w:tr>
    </w:tbl>
    <w:p w14:paraId="2311B009" w14:textId="77777777" w:rsidR="00394BB0" w:rsidRDefault="00394BB0" w:rsidP="00DC00C4">
      <w:pPr>
        <w:pStyle w:val="BodyText32"/>
        <w:spacing w:line="240" w:lineRule="auto"/>
        <w:rPr>
          <w:rFonts w:cs="Arial"/>
          <w:sz w:val="20"/>
          <w:szCs w:val="16"/>
        </w:rPr>
      </w:pPr>
    </w:p>
    <w:p w14:paraId="26C9CCA4" w14:textId="43A81A9C" w:rsidR="00E65CA9" w:rsidRPr="004B7ACA" w:rsidRDefault="00E65CA9" w:rsidP="00DC00C4">
      <w:pPr>
        <w:pStyle w:val="BodyText32"/>
        <w:spacing w:line="240" w:lineRule="auto"/>
        <w:rPr>
          <w:rFonts w:cs="Arial"/>
          <w:sz w:val="20"/>
          <w:szCs w:val="16"/>
        </w:rPr>
      </w:pPr>
      <w:r w:rsidRPr="004B7ACA">
        <w:rPr>
          <w:rFonts w:cs="Arial"/>
          <w:sz w:val="20"/>
          <w:szCs w:val="16"/>
        </w:rPr>
        <w:t>Poznámky k tabuľke:</w:t>
      </w:r>
    </w:p>
    <w:p w14:paraId="26BC7E41" w14:textId="77777777" w:rsidR="00E65CA9" w:rsidRPr="004B7ACA" w:rsidRDefault="00E65CA9" w:rsidP="0095439F">
      <w:pPr>
        <w:widowControl/>
        <w:numPr>
          <w:ilvl w:val="0"/>
          <w:numId w:val="9"/>
        </w:numPr>
        <w:ind w:left="1060" w:hanging="703"/>
        <w:jc w:val="both"/>
        <w:rPr>
          <w:rFonts w:ascii="Arial" w:hAnsi="Arial" w:cs="Arial"/>
          <w:szCs w:val="16"/>
          <w:lang w:eastAsia="en-US"/>
        </w:rPr>
      </w:pPr>
      <w:r w:rsidRPr="004B7ACA">
        <w:rPr>
          <w:rFonts w:ascii="Arial" w:hAnsi="Arial" w:cs="Arial"/>
          <w:szCs w:val="16"/>
          <w:lang w:eastAsia="en-US"/>
        </w:rPr>
        <w:t>Korekcie sa uplatňujú pre časový interval trvania špecifického hluku.</w:t>
      </w:r>
    </w:p>
    <w:p w14:paraId="284452D0" w14:textId="77777777" w:rsidR="00E65CA9" w:rsidRPr="004B7ACA" w:rsidRDefault="00E65CA9" w:rsidP="0095439F">
      <w:pPr>
        <w:widowControl/>
        <w:numPr>
          <w:ilvl w:val="0"/>
          <w:numId w:val="9"/>
        </w:numPr>
        <w:ind w:left="1060" w:hanging="703"/>
        <w:jc w:val="both"/>
        <w:rPr>
          <w:rFonts w:ascii="Arial" w:hAnsi="Arial" w:cs="Arial"/>
          <w:szCs w:val="24"/>
          <w:lang w:eastAsia="en-US"/>
        </w:rPr>
      </w:pPr>
      <w:r w:rsidRPr="004B7ACA">
        <w:rPr>
          <w:rFonts w:ascii="Arial" w:hAnsi="Arial" w:cs="Arial"/>
          <w:szCs w:val="16"/>
          <w:lang w:eastAsia="en-US"/>
        </w:rPr>
        <w:t>Pri hodnotení vysokoenergetického impulzového hluku sa primerane postupuje podľa slovenskej technickej normy STN ISO 1996 - 1</w:t>
      </w:r>
    </w:p>
    <w:p w14:paraId="6029CF2D" w14:textId="77777777" w:rsidR="00E65CA9" w:rsidRPr="004B7ACA" w:rsidRDefault="00E65CA9" w:rsidP="006E2F72">
      <w:pPr>
        <w:pStyle w:val="A-Text11"/>
      </w:pPr>
      <w:r w:rsidRPr="004B7ACA">
        <w:lastRenderedPageBreak/>
        <w:t xml:space="preserve">Rozhodujúce možné negatívne pôsobenie prevádzky na obyvateľstvo je nepriame prostredníctvom znečistenia ovzdušia, vznikom a nakladaním s odpadmi a hlukom z automobilov. </w:t>
      </w:r>
    </w:p>
    <w:p w14:paraId="29668CAF" w14:textId="42ADDB5E" w:rsidR="00E65CA9" w:rsidRPr="004B7ACA" w:rsidRDefault="00E65CA9" w:rsidP="006E2F72">
      <w:pPr>
        <w:pStyle w:val="A-Text11"/>
      </w:pPr>
      <w:r w:rsidRPr="004B7ACA">
        <w:t xml:space="preserve">Predpoklad možného ovplyvnenia obyvateľstva hlukom </w:t>
      </w:r>
      <w:r w:rsidR="004B7ACA" w:rsidRPr="004B7ACA">
        <w:t>bol</w:t>
      </w:r>
      <w:r w:rsidRPr="004B7ACA">
        <w:t xml:space="preserve">  overený akustickou (hlukovou) štúdiou</w:t>
      </w:r>
      <w:r w:rsidRPr="004B7ACA">
        <w:rPr>
          <w:iCs/>
        </w:rPr>
        <w:t>, ktorá porovná</w:t>
      </w:r>
      <w:r w:rsidR="004B7ACA" w:rsidRPr="004B7ACA">
        <w:rPr>
          <w:iCs/>
        </w:rPr>
        <w:t>v</w:t>
      </w:r>
      <w:r w:rsidRPr="004B7ACA">
        <w:rPr>
          <w:iCs/>
        </w:rPr>
        <w:t>a obidva navrhované varianty</w:t>
      </w:r>
      <w:r w:rsidR="004B7ACA" w:rsidRPr="004B7ACA">
        <w:rPr>
          <w:iCs/>
        </w:rPr>
        <w:t>.</w:t>
      </w:r>
    </w:p>
    <w:p w14:paraId="1C67F3EE" w14:textId="7E1B7D8F" w:rsidR="00FB2E46" w:rsidRDefault="00FB2E46" w:rsidP="00FB2E46">
      <w:pPr>
        <w:pStyle w:val="A-Text11"/>
      </w:pPr>
      <w:r w:rsidRPr="002C749D">
        <w:t xml:space="preserve">Pre vetranie jednotlivých častí objektu, ktoré slúžia ako obchodné prevádzky v nájomných priestoroch sú navrhnuté štandardné klimatizačné jednotky umiestnené na streche, alebo v suteréne. V projekte je dôsledne dbané na ochranu proti šíreniu hluku a vibrácií. V rámci technickej správy sú navrhnuté viaceré opatrenia. </w:t>
      </w:r>
      <w:r>
        <w:t>Akustická štúdia odporúča</w:t>
      </w:r>
      <w:r w:rsidRPr="002C749D">
        <w:t xml:space="preserve"> detailnejšie posúdenie exteriérových zariadení v rámci ďalšieho stupňa projektovej dokumentácie, po upresnení akustických parametrov jednotlivých zariadení. </w:t>
      </w:r>
    </w:p>
    <w:p w14:paraId="7CA3AC90" w14:textId="53EE24D5" w:rsidR="006213CA" w:rsidRPr="008B1AD6" w:rsidRDefault="006213CA" w:rsidP="006E2F72">
      <w:pPr>
        <w:pStyle w:val="A-Text11"/>
      </w:pPr>
      <w:r w:rsidRPr="008B1AD6">
        <w:t>Spracovaním parametrov hlukového poľa akustickým softvérom CadnaA, (DataKustik, vers. 4.4.145) v záujmovom území po obvode projektovaného objektu boli vypočítané hlukové záťaže v najkritickejších bodoch  fasády objektov a následne stanovené požiadavky  na stupeň vzduchovej nepriezvučnosti prvkov obvodových plášťov.</w:t>
      </w:r>
    </w:p>
    <w:p w14:paraId="7AD82BB5" w14:textId="77777777" w:rsidR="0029466C" w:rsidRDefault="006213CA" w:rsidP="006E2F72">
      <w:pPr>
        <w:pStyle w:val="A-Text11"/>
      </w:pPr>
      <w:r w:rsidRPr="008B1AD6">
        <w:t xml:space="preserve">Z modelácie vplyvu hluku z dopravy na dotknuté vonkajšie prostredie (Hluková štúdia Príloha </w:t>
      </w:r>
      <w:r w:rsidRPr="008B1AD6">
        <w:rPr>
          <w:i/>
          <w:iCs/>
        </w:rPr>
        <w:t>8</w:t>
      </w:r>
      <w:r w:rsidRPr="008B1AD6">
        <w:rPr>
          <w:bCs/>
          <w:i/>
          <w:iCs/>
        </w:rPr>
        <w:t>.4,</w:t>
      </w:r>
      <w:r w:rsidRPr="008B1AD6">
        <w:rPr>
          <w:bCs/>
          <w:i/>
        </w:rPr>
        <w:t xml:space="preserve"> 8.5, 8.6 </w:t>
      </w:r>
      <w:r w:rsidRPr="008B1AD6">
        <w:rPr>
          <w:i/>
        </w:rPr>
        <w:t xml:space="preserve">Hluková mapa – </w:t>
      </w:r>
      <w:r w:rsidRPr="008B1AD6">
        <w:rPr>
          <w:bCs/>
          <w:i/>
        </w:rPr>
        <w:t>Vplyv hluku na dotknuté vonkajšie prostredie v budúcom stave – deň, večer, noc)</w:t>
      </w:r>
      <w:r w:rsidRPr="008B1AD6">
        <w:t xml:space="preserve"> vyplýva, že na fasádach navrhovaných objektov budú  hladiny hluku </w:t>
      </w:r>
    </w:p>
    <w:p w14:paraId="1D887C53" w14:textId="5BC39FD9" w:rsidR="006213CA" w:rsidRPr="008B1AD6" w:rsidRDefault="006213CA" w:rsidP="006E2F72">
      <w:pPr>
        <w:pStyle w:val="A-Text11"/>
      </w:pPr>
      <w:r w:rsidRPr="008B1AD6">
        <w:t>z pozemnej dopravy v referenčnom intervale deň, večer a noc dosahovať hodnoty:</w:t>
      </w:r>
    </w:p>
    <w:p w14:paraId="29D9FADF" w14:textId="6B56D695" w:rsidR="006213CA" w:rsidRPr="008B1AD6" w:rsidRDefault="006213CA" w:rsidP="0095439F">
      <w:pPr>
        <w:widowControl/>
        <w:numPr>
          <w:ilvl w:val="0"/>
          <w:numId w:val="31"/>
        </w:numPr>
        <w:autoSpaceDE w:val="0"/>
        <w:autoSpaceDN w:val="0"/>
        <w:adjustRightInd w:val="0"/>
        <w:spacing w:before="120"/>
        <w:jc w:val="both"/>
        <w:rPr>
          <w:rFonts w:ascii="Arial" w:hAnsi="Arial" w:cs="Arial"/>
          <w:sz w:val="22"/>
          <w:szCs w:val="22"/>
        </w:rPr>
      </w:pPr>
      <w:bookmarkStart w:id="307" w:name="OLE_LINK27"/>
      <w:bookmarkStart w:id="308" w:name="OLE_LINK28"/>
      <w:r w:rsidRPr="008B1AD6">
        <w:rPr>
          <w:rFonts w:ascii="Arial" w:hAnsi="Arial" w:cs="Arial"/>
          <w:i/>
          <w:sz w:val="22"/>
          <w:szCs w:val="22"/>
        </w:rPr>
        <w:t>Bytový súbor Terchov</w:t>
      </w:r>
      <w:r w:rsidR="003F3158">
        <w:rPr>
          <w:rFonts w:ascii="Arial" w:hAnsi="Arial" w:cs="Arial"/>
          <w:i/>
          <w:sz w:val="22"/>
          <w:szCs w:val="22"/>
        </w:rPr>
        <w:t>s</w:t>
      </w:r>
      <w:r w:rsidRPr="008B1AD6">
        <w:rPr>
          <w:rFonts w:ascii="Arial" w:hAnsi="Arial" w:cs="Arial"/>
          <w:i/>
          <w:sz w:val="22"/>
          <w:szCs w:val="22"/>
        </w:rPr>
        <w:t>ká (objekt A1 A2)</w:t>
      </w:r>
    </w:p>
    <w:p w14:paraId="27FF640D" w14:textId="77777777" w:rsidR="006213CA" w:rsidRPr="008B1AD6" w:rsidRDefault="006213CA" w:rsidP="006213CA">
      <w:pPr>
        <w:autoSpaceDE w:val="0"/>
        <w:autoSpaceDN w:val="0"/>
        <w:adjustRightInd w:val="0"/>
        <w:spacing w:line="276" w:lineRule="auto"/>
        <w:ind w:left="720"/>
        <w:jc w:val="both"/>
        <w:rPr>
          <w:rFonts w:ascii="Arial" w:hAnsi="Arial" w:cs="Arial"/>
          <w:sz w:val="22"/>
          <w:szCs w:val="22"/>
        </w:rPr>
      </w:pPr>
      <w:r w:rsidRPr="008B1AD6">
        <w:rPr>
          <w:rFonts w:ascii="Arial" w:hAnsi="Arial" w:cs="Arial"/>
          <w:sz w:val="22"/>
          <w:szCs w:val="22"/>
        </w:rPr>
        <w:t xml:space="preserve">  </w:t>
      </w:r>
      <w:r w:rsidRPr="008B1AD6">
        <w:rPr>
          <w:rFonts w:ascii="Arial" w:hAnsi="Arial" w:cs="Arial"/>
          <w:i/>
          <w:sz w:val="22"/>
          <w:szCs w:val="22"/>
        </w:rPr>
        <w:t>L</w:t>
      </w:r>
      <w:r w:rsidRPr="008B1AD6">
        <w:rPr>
          <w:rFonts w:ascii="Arial" w:hAnsi="Arial" w:cs="Arial"/>
          <w:i/>
          <w:sz w:val="22"/>
          <w:szCs w:val="22"/>
          <w:vertAlign w:val="subscript"/>
        </w:rPr>
        <w:t>R</w:t>
      </w:r>
      <w:r w:rsidRPr="008B1AD6">
        <w:rPr>
          <w:rFonts w:ascii="Arial" w:hAnsi="Arial" w:cs="Arial"/>
          <w:i/>
          <w:sz w:val="22"/>
          <w:szCs w:val="22"/>
        </w:rPr>
        <w:t>,</w:t>
      </w:r>
      <w:r w:rsidRPr="008B1AD6">
        <w:rPr>
          <w:rFonts w:ascii="Arial" w:hAnsi="Arial" w:cs="Arial"/>
          <w:i/>
          <w:sz w:val="22"/>
          <w:szCs w:val="22"/>
          <w:vertAlign w:val="subscript"/>
        </w:rPr>
        <w:t>Aeq,d</w:t>
      </w:r>
      <w:r w:rsidRPr="008B1AD6">
        <w:rPr>
          <w:rFonts w:ascii="Arial" w:hAnsi="Arial" w:cs="Arial"/>
          <w:sz w:val="22"/>
          <w:szCs w:val="22"/>
        </w:rPr>
        <w:t xml:space="preserve"> =  62 - 74 dB - pre referenčný interval deň</w:t>
      </w:r>
      <w:r w:rsidRPr="008B1AD6">
        <w:rPr>
          <w:rFonts w:ascii="Arial" w:hAnsi="Arial" w:cs="Arial"/>
          <w:sz w:val="22"/>
          <w:szCs w:val="22"/>
        </w:rPr>
        <w:tab/>
      </w:r>
    </w:p>
    <w:p w14:paraId="0BAE11CE" w14:textId="77777777" w:rsidR="006213CA" w:rsidRPr="008B1AD6" w:rsidRDefault="006213CA" w:rsidP="006213CA">
      <w:pPr>
        <w:autoSpaceDE w:val="0"/>
        <w:autoSpaceDN w:val="0"/>
        <w:adjustRightInd w:val="0"/>
        <w:spacing w:line="276" w:lineRule="auto"/>
        <w:ind w:left="12" w:firstLine="708"/>
        <w:rPr>
          <w:rFonts w:ascii="Arial" w:hAnsi="Arial" w:cs="Arial"/>
          <w:sz w:val="22"/>
          <w:szCs w:val="22"/>
        </w:rPr>
      </w:pPr>
      <w:r w:rsidRPr="008B1AD6">
        <w:rPr>
          <w:rFonts w:ascii="Arial" w:hAnsi="Arial" w:cs="Arial"/>
          <w:sz w:val="22"/>
          <w:szCs w:val="22"/>
        </w:rPr>
        <w:t xml:space="preserve">  </w:t>
      </w:r>
      <w:r w:rsidRPr="008B1AD6">
        <w:rPr>
          <w:rFonts w:ascii="Arial" w:hAnsi="Arial" w:cs="Arial"/>
          <w:i/>
          <w:sz w:val="22"/>
          <w:szCs w:val="22"/>
        </w:rPr>
        <w:t>L</w:t>
      </w:r>
      <w:r w:rsidRPr="008B1AD6">
        <w:rPr>
          <w:rFonts w:ascii="Arial" w:hAnsi="Arial" w:cs="Arial"/>
          <w:i/>
          <w:sz w:val="22"/>
          <w:szCs w:val="22"/>
          <w:vertAlign w:val="subscript"/>
        </w:rPr>
        <w:t>R</w:t>
      </w:r>
      <w:r w:rsidRPr="008B1AD6">
        <w:rPr>
          <w:rFonts w:ascii="Arial" w:hAnsi="Arial" w:cs="Arial"/>
          <w:i/>
          <w:sz w:val="22"/>
          <w:szCs w:val="22"/>
        </w:rPr>
        <w:t>,</w:t>
      </w:r>
      <w:r w:rsidRPr="008B1AD6">
        <w:rPr>
          <w:rFonts w:ascii="Arial" w:hAnsi="Arial" w:cs="Arial"/>
          <w:i/>
          <w:sz w:val="22"/>
          <w:szCs w:val="22"/>
          <w:vertAlign w:val="subscript"/>
        </w:rPr>
        <w:t>Aeq,v</w:t>
      </w:r>
      <w:r w:rsidRPr="008B1AD6">
        <w:rPr>
          <w:rFonts w:ascii="Arial" w:hAnsi="Arial" w:cs="Arial"/>
          <w:sz w:val="22"/>
          <w:szCs w:val="22"/>
        </w:rPr>
        <w:t xml:space="preserve"> =  59 - 70 dB - pre referenčný interval večer</w:t>
      </w:r>
    </w:p>
    <w:p w14:paraId="2FEDBF76" w14:textId="77777777" w:rsidR="006213CA" w:rsidRPr="008B1AD6" w:rsidRDefault="006213CA" w:rsidP="006213CA">
      <w:pPr>
        <w:autoSpaceDE w:val="0"/>
        <w:autoSpaceDN w:val="0"/>
        <w:adjustRightInd w:val="0"/>
        <w:spacing w:line="276" w:lineRule="auto"/>
        <w:ind w:left="708" w:firstLine="12"/>
        <w:rPr>
          <w:rFonts w:ascii="Arial" w:hAnsi="Arial" w:cs="Arial"/>
          <w:sz w:val="22"/>
          <w:szCs w:val="22"/>
        </w:rPr>
      </w:pPr>
      <w:r w:rsidRPr="008B1AD6">
        <w:rPr>
          <w:rFonts w:ascii="Arial" w:hAnsi="Arial" w:cs="Arial"/>
          <w:sz w:val="22"/>
          <w:szCs w:val="22"/>
        </w:rPr>
        <w:t xml:space="preserve">  </w:t>
      </w:r>
      <w:r w:rsidRPr="008B1AD6">
        <w:rPr>
          <w:rFonts w:ascii="Arial" w:hAnsi="Arial" w:cs="Arial"/>
          <w:i/>
          <w:sz w:val="22"/>
          <w:szCs w:val="22"/>
        </w:rPr>
        <w:t>L</w:t>
      </w:r>
      <w:r w:rsidRPr="008B1AD6">
        <w:rPr>
          <w:rFonts w:ascii="Arial" w:hAnsi="Arial" w:cs="Arial"/>
          <w:i/>
          <w:sz w:val="22"/>
          <w:szCs w:val="22"/>
          <w:vertAlign w:val="subscript"/>
        </w:rPr>
        <w:t>R</w:t>
      </w:r>
      <w:r w:rsidRPr="008B1AD6">
        <w:rPr>
          <w:rFonts w:ascii="Arial" w:hAnsi="Arial" w:cs="Arial"/>
          <w:i/>
          <w:sz w:val="22"/>
          <w:szCs w:val="22"/>
        </w:rPr>
        <w:t>,</w:t>
      </w:r>
      <w:r w:rsidRPr="008B1AD6">
        <w:rPr>
          <w:rFonts w:ascii="Arial" w:hAnsi="Arial" w:cs="Arial"/>
          <w:i/>
          <w:sz w:val="22"/>
          <w:szCs w:val="22"/>
          <w:vertAlign w:val="subscript"/>
        </w:rPr>
        <w:t>Aeq,n</w:t>
      </w:r>
      <w:r w:rsidRPr="008B1AD6">
        <w:rPr>
          <w:rFonts w:ascii="Arial" w:hAnsi="Arial" w:cs="Arial"/>
          <w:sz w:val="22"/>
          <w:szCs w:val="22"/>
        </w:rPr>
        <w:t xml:space="preserve"> =  53 – 65 dB - pre referenčný interval noc</w:t>
      </w:r>
    </w:p>
    <w:p w14:paraId="26FAA678" w14:textId="7D72FDDF" w:rsidR="006213CA" w:rsidRPr="008B1AD6" w:rsidRDefault="006213CA" w:rsidP="0095439F">
      <w:pPr>
        <w:widowControl/>
        <w:numPr>
          <w:ilvl w:val="0"/>
          <w:numId w:val="31"/>
        </w:numPr>
        <w:autoSpaceDE w:val="0"/>
        <w:autoSpaceDN w:val="0"/>
        <w:adjustRightInd w:val="0"/>
        <w:spacing w:line="276" w:lineRule="auto"/>
        <w:jc w:val="both"/>
        <w:rPr>
          <w:rFonts w:ascii="Arial" w:hAnsi="Arial" w:cs="Arial"/>
          <w:sz w:val="22"/>
          <w:szCs w:val="22"/>
        </w:rPr>
      </w:pPr>
      <w:r w:rsidRPr="008B1AD6">
        <w:rPr>
          <w:rFonts w:ascii="Arial" w:hAnsi="Arial" w:cs="Arial"/>
          <w:i/>
          <w:sz w:val="22"/>
          <w:szCs w:val="22"/>
        </w:rPr>
        <w:t>Bytový súbor Terchov</w:t>
      </w:r>
      <w:r w:rsidR="003F3158">
        <w:rPr>
          <w:rFonts w:ascii="Arial" w:hAnsi="Arial" w:cs="Arial"/>
          <w:i/>
          <w:sz w:val="22"/>
          <w:szCs w:val="22"/>
        </w:rPr>
        <w:t>s</w:t>
      </w:r>
      <w:r w:rsidRPr="008B1AD6">
        <w:rPr>
          <w:rFonts w:ascii="Arial" w:hAnsi="Arial" w:cs="Arial"/>
          <w:i/>
          <w:sz w:val="22"/>
          <w:szCs w:val="22"/>
        </w:rPr>
        <w:t>ká (objekty B1 – B6)</w:t>
      </w:r>
    </w:p>
    <w:p w14:paraId="08A85DC1" w14:textId="77777777" w:rsidR="006213CA" w:rsidRPr="008B1AD6" w:rsidRDefault="006213CA" w:rsidP="006213CA">
      <w:pPr>
        <w:autoSpaceDE w:val="0"/>
        <w:autoSpaceDN w:val="0"/>
        <w:adjustRightInd w:val="0"/>
        <w:spacing w:line="276" w:lineRule="auto"/>
        <w:ind w:left="720"/>
        <w:jc w:val="both"/>
        <w:rPr>
          <w:rFonts w:ascii="Arial" w:hAnsi="Arial" w:cs="Arial"/>
          <w:sz w:val="22"/>
          <w:szCs w:val="22"/>
        </w:rPr>
      </w:pPr>
      <w:r w:rsidRPr="008B1AD6">
        <w:rPr>
          <w:rFonts w:ascii="Arial" w:hAnsi="Arial" w:cs="Arial"/>
          <w:sz w:val="22"/>
          <w:szCs w:val="22"/>
        </w:rPr>
        <w:t xml:space="preserve">  </w:t>
      </w:r>
      <w:r w:rsidRPr="008B1AD6">
        <w:rPr>
          <w:rFonts w:ascii="Arial" w:hAnsi="Arial" w:cs="Arial"/>
          <w:i/>
          <w:sz w:val="22"/>
          <w:szCs w:val="22"/>
        </w:rPr>
        <w:t>L</w:t>
      </w:r>
      <w:r w:rsidRPr="008B1AD6">
        <w:rPr>
          <w:rFonts w:ascii="Arial" w:hAnsi="Arial" w:cs="Arial"/>
          <w:i/>
          <w:sz w:val="22"/>
          <w:szCs w:val="22"/>
          <w:vertAlign w:val="subscript"/>
        </w:rPr>
        <w:t>R</w:t>
      </w:r>
      <w:r w:rsidRPr="008B1AD6">
        <w:rPr>
          <w:rFonts w:ascii="Arial" w:hAnsi="Arial" w:cs="Arial"/>
          <w:i/>
          <w:sz w:val="22"/>
          <w:szCs w:val="22"/>
        </w:rPr>
        <w:t>,</w:t>
      </w:r>
      <w:r w:rsidRPr="008B1AD6">
        <w:rPr>
          <w:rFonts w:ascii="Arial" w:hAnsi="Arial" w:cs="Arial"/>
          <w:i/>
          <w:sz w:val="22"/>
          <w:szCs w:val="22"/>
          <w:vertAlign w:val="subscript"/>
        </w:rPr>
        <w:t>Aeq,d</w:t>
      </w:r>
      <w:r w:rsidRPr="008B1AD6">
        <w:rPr>
          <w:rFonts w:ascii="Arial" w:hAnsi="Arial" w:cs="Arial"/>
          <w:sz w:val="22"/>
          <w:szCs w:val="22"/>
        </w:rPr>
        <w:t xml:space="preserve"> =  56 - 67 dB - pre referenčný interval deň</w:t>
      </w:r>
      <w:r w:rsidRPr="008B1AD6">
        <w:rPr>
          <w:rFonts w:ascii="Arial" w:hAnsi="Arial" w:cs="Arial"/>
          <w:sz w:val="22"/>
          <w:szCs w:val="22"/>
        </w:rPr>
        <w:tab/>
      </w:r>
    </w:p>
    <w:p w14:paraId="3E2157F5" w14:textId="77777777" w:rsidR="006213CA" w:rsidRPr="008B1AD6" w:rsidRDefault="006213CA" w:rsidP="006213CA">
      <w:pPr>
        <w:autoSpaceDE w:val="0"/>
        <w:autoSpaceDN w:val="0"/>
        <w:adjustRightInd w:val="0"/>
        <w:spacing w:line="276" w:lineRule="auto"/>
        <w:ind w:left="12" w:firstLine="708"/>
        <w:rPr>
          <w:rFonts w:ascii="Arial" w:hAnsi="Arial" w:cs="Arial"/>
          <w:sz w:val="22"/>
          <w:szCs w:val="22"/>
        </w:rPr>
      </w:pPr>
      <w:r w:rsidRPr="008B1AD6">
        <w:rPr>
          <w:rFonts w:ascii="Arial" w:hAnsi="Arial" w:cs="Arial"/>
          <w:sz w:val="22"/>
          <w:szCs w:val="22"/>
        </w:rPr>
        <w:t xml:space="preserve">  </w:t>
      </w:r>
      <w:r w:rsidRPr="008B1AD6">
        <w:rPr>
          <w:rFonts w:ascii="Arial" w:hAnsi="Arial" w:cs="Arial"/>
          <w:i/>
          <w:sz w:val="22"/>
          <w:szCs w:val="22"/>
        </w:rPr>
        <w:t>L</w:t>
      </w:r>
      <w:r w:rsidRPr="008B1AD6">
        <w:rPr>
          <w:rFonts w:ascii="Arial" w:hAnsi="Arial" w:cs="Arial"/>
          <w:i/>
          <w:sz w:val="22"/>
          <w:szCs w:val="22"/>
          <w:vertAlign w:val="subscript"/>
        </w:rPr>
        <w:t>R</w:t>
      </w:r>
      <w:r w:rsidRPr="008B1AD6">
        <w:rPr>
          <w:rFonts w:ascii="Arial" w:hAnsi="Arial" w:cs="Arial"/>
          <w:i/>
          <w:sz w:val="22"/>
          <w:szCs w:val="22"/>
        </w:rPr>
        <w:t>,</w:t>
      </w:r>
      <w:r w:rsidRPr="008B1AD6">
        <w:rPr>
          <w:rFonts w:ascii="Arial" w:hAnsi="Arial" w:cs="Arial"/>
          <w:i/>
          <w:sz w:val="22"/>
          <w:szCs w:val="22"/>
          <w:vertAlign w:val="subscript"/>
        </w:rPr>
        <w:t>Aeq,v</w:t>
      </w:r>
      <w:r w:rsidRPr="008B1AD6">
        <w:rPr>
          <w:rFonts w:ascii="Arial" w:hAnsi="Arial" w:cs="Arial"/>
          <w:sz w:val="22"/>
          <w:szCs w:val="22"/>
        </w:rPr>
        <w:t xml:space="preserve"> =  54 - 63 dB - pre referenčný interval večer</w:t>
      </w:r>
    </w:p>
    <w:p w14:paraId="2038173D" w14:textId="77777777" w:rsidR="006213CA" w:rsidRPr="008B1AD6" w:rsidRDefault="006213CA" w:rsidP="006213CA">
      <w:pPr>
        <w:autoSpaceDE w:val="0"/>
        <w:autoSpaceDN w:val="0"/>
        <w:adjustRightInd w:val="0"/>
        <w:spacing w:line="276" w:lineRule="auto"/>
        <w:ind w:left="708" w:firstLine="12"/>
        <w:rPr>
          <w:rFonts w:ascii="Arial" w:hAnsi="Arial" w:cs="Arial"/>
          <w:sz w:val="22"/>
          <w:szCs w:val="22"/>
        </w:rPr>
      </w:pPr>
      <w:r w:rsidRPr="008B1AD6">
        <w:rPr>
          <w:rFonts w:ascii="Arial" w:hAnsi="Arial" w:cs="Arial"/>
          <w:sz w:val="22"/>
          <w:szCs w:val="22"/>
        </w:rPr>
        <w:t xml:space="preserve">  </w:t>
      </w:r>
      <w:r w:rsidRPr="008B1AD6">
        <w:rPr>
          <w:rFonts w:ascii="Arial" w:hAnsi="Arial" w:cs="Arial"/>
          <w:i/>
          <w:sz w:val="22"/>
          <w:szCs w:val="22"/>
        </w:rPr>
        <w:t>L</w:t>
      </w:r>
      <w:r w:rsidRPr="008B1AD6">
        <w:rPr>
          <w:rFonts w:ascii="Arial" w:hAnsi="Arial" w:cs="Arial"/>
          <w:i/>
          <w:sz w:val="22"/>
          <w:szCs w:val="22"/>
          <w:vertAlign w:val="subscript"/>
        </w:rPr>
        <w:t>R</w:t>
      </w:r>
      <w:r w:rsidRPr="008B1AD6">
        <w:rPr>
          <w:rFonts w:ascii="Arial" w:hAnsi="Arial" w:cs="Arial"/>
          <w:i/>
          <w:sz w:val="22"/>
          <w:szCs w:val="22"/>
        </w:rPr>
        <w:t>,</w:t>
      </w:r>
      <w:r w:rsidRPr="008B1AD6">
        <w:rPr>
          <w:rFonts w:ascii="Arial" w:hAnsi="Arial" w:cs="Arial"/>
          <w:i/>
          <w:sz w:val="22"/>
          <w:szCs w:val="22"/>
          <w:vertAlign w:val="subscript"/>
        </w:rPr>
        <w:t>Aeq,n</w:t>
      </w:r>
      <w:r w:rsidRPr="008B1AD6">
        <w:rPr>
          <w:rFonts w:ascii="Arial" w:hAnsi="Arial" w:cs="Arial"/>
          <w:sz w:val="22"/>
          <w:szCs w:val="22"/>
        </w:rPr>
        <w:t xml:space="preserve"> =  47 - 58 dB - pre referenčný interval noc</w:t>
      </w:r>
    </w:p>
    <w:bookmarkEnd w:id="307"/>
    <w:bookmarkEnd w:id="308"/>
    <w:p w14:paraId="12D1B18A" w14:textId="77777777" w:rsidR="006213CA" w:rsidRPr="008B1AD6" w:rsidRDefault="006213CA" w:rsidP="006E2F72">
      <w:pPr>
        <w:pStyle w:val="A-Text11"/>
      </w:pPr>
      <w:r w:rsidRPr="008B1AD6">
        <w:rPr>
          <w:lang w:eastAsia="ar-SA"/>
        </w:rPr>
        <w:t xml:space="preserve">Posudzované hodnoty prekračujú najvyššie prípustné hodnoty </w:t>
      </w:r>
      <w:r w:rsidRPr="008B1AD6">
        <w:t xml:space="preserve">podľa Tab.1 pre hluk z cestnej dopravy aj pre hluk z iných zdrojov podľa Vyhlášky MZ SR č. 549/2007 Z.z. </w:t>
      </w:r>
    </w:p>
    <w:p w14:paraId="39F5DD94" w14:textId="100CA792" w:rsidR="006213CA" w:rsidRPr="008B1AD6" w:rsidRDefault="006213CA" w:rsidP="006E2F72">
      <w:pPr>
        <w:pStyle w:val="A-Text11"/>
        <w:rPr>
          <w:iCs/>
        </w:rPr>
      </w:pPr>
      <w:r w:rsidRPr="008B1AD6">
        <w:t>Podľa článku 1.6 Vyhlášky 549/2007 Z.z</w:t>
      </w:r>
      <w:r w:rsidRPr="008B1AD6">
        <w:rPr>
          <w:i/>
        </w:rPr>
        <w:t xml:space="preserve"> Ak je preukázané, že jestvujúci hluk z pozemnej a koľajovej dopravy prekračujúci prípustné hodnoty podľa Tabuľky č. 1 pre kategóriu územia II a III zapríčinený postupným narastaním dopravy nie je možné obmedziť dostupnými technologickými opatreniami alebo organizačnými opatreniami bez podstatného narušenia dopravného výkonu, ...posudzovaná hodnota pre kategóriu územia III môže prekročiť prípustné hodnoty najviac o 10 dB</w:t>
      </w:r>
    </w:p>
    <w:p w14:paraId="02FBF360" w14:textId="63039945" w:rsidR="006213CA" w:rsidRPr="008B1AD6" w:rsidRDefault="006213CA" w:rsidP="006E2F72">
      <w:pPr>
        <w:pStyle w:val="A-Text11"/>
      </w:pPr>
      <w:r w:rsidRPr="008B1AD6">
        <w:t>V zmysle 549/2007 je potrebné dodržať:</w:t>
      </w:r>
    </w:p>
    <w:p w14:paraId="1DAAF730" w14:textId="77777777" w:rsidR="006213CA" w:rsidRPr="008B1AD6" w:rsidRDefault="006213CA" w:rsidP="006E2F72">
      <w:pPr>
        <w:pStyle w:val="A-Text11"/>
      </w:pPr>
      <w:r w:rsidRPr="008B1AD6">
        <w:t>Podľa čl. 1.9. prílohy Vyhlášky MZ SR 549/2007 Z. z. je možné umiestňovať nové budovy na bývanie a budovy vyžadujúce tiché prostredie okrem škôl, škôlok, nemocničných izieb a pod. aj v území, kde hluk z dopravy prekračuje hodnoty uvedené v tabuľke pre územie kat. II na základe súhlasného stanoviska orgánu ochrany zdravia, za predpokladu, že:</w:t>
      </w:r>
    </w:p>
    <w:p w14:paraId="31ECC4C7" w14:textId="77777777" w:rsidR="006213CA" w:rsidRPr="008B1AD6" w:rsidRDefault="006213CA" w:rsidP="006E2F72">
      <w:pPr>
        <w:pStyle w:val="A-Text11"/>
      </w:pPr>
      <w:r w:rsidRPr="008B1AD6">
        <w:t>a) sa vykonajú opatrenia na ochranu ich vnútorného prostredia</w:t>
      </w:r>
    </w:p>
    <w:p w14:paraId="6345C2D5" w14:textId="77777777" w:rsidR="006213CA" w:rsidRPr="008B1AD6" w:rsidRDefault="006213CA" w:rsidP="006E2F72">
      <w:pPr>
        <w:pStyle w:val="A-Text11"/>
      </w:pPr>
      <w:r w:rsidRPr="008B1AD6">
        <w:lastRenderedPageBreak/>
        <w:t>b) ak posudzovaná hodnota v primeranej časti priľahlého vonkajšieho prostredia budovy na bývanie alebo oddychovej zóny v tesnej blízkosti budovy na bývanie neprekročí prípustné hodnoty uvedené v Tab.1 pre kategóriu územia III. o viac ako 5 dB.</w:t>
      </w:r>
    </w:p>
    <w:p w14:paraId="06505C98" w14:textId="77777777" w:rsidR="006213CA" w:rsidRPr="008B1AD6" w:rsidRDefault="006213CA" w:rsidP="006213CA">
      <w:pPr>
        <w:tabs>
          <w:tab w:val="left" w:pos="448"/>
        </w:tabs>
        <w:jc w:val="both"/>
        <w:rPr>
          <w:rFonts w:ascii="Arial" w:hAnsi="Arial" w:cs="Arial"/>
          <w:sz w:val="22"/>
          <w:szCs w:val="22"/>
        </w:rPr>
      </w:pPr>
    </w:p>
    <w:p w14:paraId="53FCE652" w14:textId="77777777" w:rsidR="006213CA" w:rsidRPr="008B1AD6" w:rsidRDefault="006213CA" w:rsidP="006213CA">
      <w:pPr>
        <w:tabs>
          <w:tab w:val="left" w:pos="448"/>
        </w:tabs>
        <w:jc w:val="both"/>
        <w:rPr>
          <w:rFonts w:ascii="Arial" w:hAnsi="Arial" w:cs="Arial"/>
          <w:sz w:val="22"/>
          <w:szCs w:val="22"/>
        </w:rPr>
      </w:pPr>
      <w:r w:rsidRPr="008B1AD6">
        <w:rPr>
          <w:rFonts w:ascii="Arial" w:hAnsi="Arial" w:cs="Arial"/>
          <w:sz w:val="22"/>
          <w:szCs w:val="22"/>
        </w:rPr>
        <w:t>To znamená:</w:t>
      </w:r>
    </w:p>
    <w:p w14:paraId="6F25072D" w14:textId="77777777" w:rsidR="006213CA" w:rsidRPr="008B1AD6" w:rsidRDefault="006213CA" w:rsidP="006213CA">
      <w:pPr>
        <w:tabs>
          <w:tab w:val="left" w:pos="448"/>
        </w:tabs>
        <w:jc w:val="both"/>
        <w:rPr>
          <w:rFonts w:ascii="Arial" w:hAnsi="Arial" w:cs="Arial"/>
          <w:sz w:val="22"/>
          <w:szCs w:val="22"/>
        </w:rPr>
      </w:pPr>
      <w:r w:rsidRPr="008B1AD6">
        <w:rPr>
          <w:rFonts w:ascii="Arial" w:hAnsi="Arial" w:cs="Arial"/>
          <w:sz w:val="22"/>
          <w:szCs w:val="22"/>
        </w:rPr>
        <w:t xml:space="preserve">- neprekročí 65 dB cez deň a večer </w:t>
      </w:r>
    </w:p>
    <w:p w14:paraId="7A913C0F" w14:textId="77777777" w:rsidR="006213CA" w:rsidRPr="008B1AD6" w:rsidRDefault="006213CA" w:rsidP="006213CA">
      <w:pPr>
        <w:tabs>
          <w:tab w:val="left" w:pos="448"/>
        </w:tabs>
        <w:jc w:val="both"/>
        <w:rPr>
          <w:rFonts w:ascii="Arial" w:hAnsi="Arial" w:cs="Arial"/>
          <w:sz w:val="22"/>
          <w:szCs w:val="22"/>
        </w:rPr>
      </w:pPr>
      <w:r w:rsidRPr="008B1AD6">
        <w:rPr>
          <w:rFonts w:ascii="Arial" w:hAnsi="Arial" w:cs="Arial"/>
          <w:sz w:val="22"/>
          <w:szCs w:val="22"/>
        </w:rPr>
        <w:t>- neprekročí 55 dB v noci</w:t>
      </w:r>
    </w:p>
    <w:p w14:paraId="6CE7D134" w14:textId="77777777" w:rsidR="006213CA" w:rsidRPr="008B1AD6" w:rsidRDefault="006213CA" w:rsidP="008B1AD6">
      <w:pPr>
        <w:tabs>
          <w:tab w:val="left" w:pos="448"/>
        </w:tabs>
        <w:spacing w:before="120"/>
        <w:jc w:val="both"/>
        <w:rPr>
          <w:rFonts w:ascii="Arial" w:hAnsi="Arial" w:cs="Arial"/>
          <w:sz w:val="22"/>
          <w:szCs w:val="22"/>
        </w:rPr>
      </w:pPr>
      <w:r w:rsidRPr="008B1AD6">
        <w:rPr>
          <w:rFonts w:ascii="Arial" w:hAnsi="Arial" w:cs="Arial"/>
          <w:sz w:val="22"/>
          <w:szCs w:val="22"/>
        </w:rPr>
        <w:t>Táto podmienka je splnená.</w:t>
      </w:r>
    </w:p>
    <w:p w14:paraId="38CE5E76" w14:textId="5BD262BD" w:rsidR="006213CA" w:rsidRPr="008B1AD6" w:rsidRDefault="006213CA" w:rsidP="006E2F72">
      <w:pPr>
        <w:pStyle w:val="A-Text11"/>
      </w:pPr>
      <w:r w:rsidRPr="008B1AD6">
        <w:t>Na základe modelácie stavu hlukových pomerov v danej lokalite po spustení objektu do prevádzky, bol spracovaný grafický návrh vzduchovej nepriezvučnosti jednotlivých častí fasád (</w:t>
      </w:r>
      <w:r w:rsidRPr="008B1AD6">
        <w:rPr>
          <w:i/>
          <w:iCs/>
        </w:rPr>
        <w:t>Príloha č. 10.7</w:t>
      </w:r>
      <w:r w:rsidRPr="008B1AD6">
        <w:t xml:space="preserve">), pričom všetky časti obvodového plášťa sú navrhnuté s ohľadom na hluk z vonkajšieho prostredia (hluk z  dopravy). Hodnoty požadovanej vzduchovej nepriezvučnosti sa vzťahujú vždy na celú výšku fasády a  na všetky prvky obvodového plášťa. </w:t>
      </w:r>
    </w:p>
    <w:p w14:paraId="519C126C" w14:textId="0875CED5" w:rsidR="006213CA" w:rsidRPr="008B1AD6" w:rsidRDefault="006213CA" w:rsidP="006E2F72">
      <w:pPr>
        <w:pStyle w:val="A-Text11"/>
      </w:pPr>
      <w:r w:rsidRPr="008B1AD6">
        <w:t>Akustická štúdia konštatuje, že navrhovanú výstavbu je možné hodnotiť ako vyhovujúcu pokiaľ budú dodržané odporúčania uvedené v tejto štúdii:</w:t>
      </w:r>
    </w:p>
    <w:p w14:paraId="75E0B4B3" w14:textId="6D06AA9D" w:rsidR="006213CA" w:rsidRPr="008B1AD6" w:rsidRDefault="006213CA" w:rsidP="006E2F72">
      <w:pPr>
        <w:pStyle w:val="A-Text11"/>
      </w:pPr>
      <w:r w:rsidRPr="008B1AD6">
        <w:t>VPLYV HLUKU OKOLIA NA OBJEKTY NAVRHOVANEJ ČINNOSTI</w:t>
      </w:r>
    </w:p>
    <w:p w14:paraId="1DCF3F9A" w14:textId="07108648" w:rsidR="006213CA" w:rsidRPr="008B1AD6" w:rsidRDefault="006213CA" w:rsidP="006E2F72">
      <w:pPr>
        <w:pStyle w:val="A-Text11"/>
      </w:pPr>
      <w:r w:rsidRPr="008B1AD6">
        <w:t xml:space="preserve">Hluk z automobilovej dopravy v zmysle Vyhlášky MZ SR č.549/2007 Z.z. prekračuje prípustné hodnoty. Tento nepriaznivý stav je možné eliminovať voľbou vhodných stavebných konštrukcií fasády a zároveň zabezpečením vetrania bez nutnosti otvorenia okna. </w:t>
      </w:r>
      <w:r w:rsidR="003F3158">
        <w:t>t</w:t>
      </w:r>
      <w:r w:rsidRPr="008B1AD6">
        <w:t>zv. tiché prostredie v primeranej časti priľahlého vonkajšieho prostredia budovy podľa bodu 1.9. prílohy Vyhlášky MZ SR 549/2007 Z. z. je zabezpečené</w:t>
      </w:r>
    </w:p>
    <w:p w14:paraId="308E66A8" w14:textId="77777777" w:rsidR="006213CA" w:rsidRPr="008B1AD6" w:rsidRDefault="006213CA" w:rsidP="006E2F72">
      <w:pPr>
        <w:pStyle w:val="A-Text11"/>
      </w:pPr>
      <w:r w:rsidRPr="008B1AD6">
        <w:t>VPLYV HLUKU NAVRHOVANEJ ČINNOSTI NA OKOLIE</w:t>
      </w:r>
    </w:p>
    <w:p w14:paraId="7896D9D3" w14:textId="77777777" w:rsidR="006213CA" w:rsidRPr="008B1AD6" w:rsidRDefault="006213CA" w:rsidP="006E2F72">
      <w:pPr>
        <w:pStyle w:val="A-Text11"/>
      </w:pPr>
      <w:r w:rsidRPr="008B1AD6">
        <w:t xml:space="preserve">Z hľadiska hlukovej záťaže je možné za vhodnejší označiť Variant č. 2, nakoľko technológia UPS produkuje výrazne menej hluku do okolia, ako motorgenerátor. </w:t>
      </w:r>
    </w:p>
    <w:p w14:paraId="5989110E" w14:textId="77777777" w:rsidR="002C749D" w:rsidRDefault="002C749D" w:rsidP="006E2F72">
      <w:pPr>
        <w:pStyle w:val="A-Text11"/>
      </w:pPr>
      <w:r w:rsidRPr="002C749D">
        <w:t xml:space="preserve">Pre vetranie jednotlivých častí objektu, ktoré slúžia ako obchodné prevádzky v nájomných priestoroch sú navrhnuté štandardné klimatizačné jednotky umiestnené na streche, alebo v suteréne. V projekte je dôsledne dbané na ochranu proti šíreniu hluku a vibrácií. V rámci technickej správy sú navrhnuté viaceré opatrenia. Odporúčame detailnejšie posúdenie exteriérových zariadení v rámci ďalšieho stupňa projektovej dokumentácie, po upresnení akustických parametrov jednotlivých zariadení. </w:t>
      </w:r>
    </w:p>
    <w:p w14:paraId="6E7395F6" w14:textId="60A33861" w:rsidR="00F7428D" w:rsidRDefault="00F7428D" w:rsidP="006E2F72">
      <w:pPr>
        <w:pStyle w:val="A-Text11"/>
        <w:rPr>
          <w:snapToGrid w:val="0"/>
        </w:rPr>
      </w:pPr>
      <w:r w:rsidRPr="000D75A7">
        <w:t>V rozptylovej štúdii b</w:t>
      </w:r>
      <w:r w:rsidR="006213CA" w:rsidRPr="000D75A7">
        <w:t>ola</w:t>
      </w:r>
      <w:r w:rsidRPr="000D75A7">
        <w:t xml:space="preserve">  hodnotená existujúca  najvyššia koncentrácia znečisťujúcich látok na výpočtovej ploche po uvedení objektu do prevádzky</w:t>
      </w:r>
      <w:r w:rsidR="008F7867">
        <w:t xml:space="preserve">. </w:t>
      </w:r>
      <w:r w:rsidRPr="000D75A7">
        <w:t xml:space="preserve">Uvedenie objektu do prevádzky </w:t>
      </w:r>
      <w:r w:rsidR="00487572" w:rsidRPr="000D75A7">
        <w:t xml:space="preserve">by nemalo </w:t>
      </w:r>
      <w:r w:rsidRPr="000D75A7">
        <w:t>ovplyvn</w:t>
      </w:r>
      <w:r w:rsidR="00487572" w:rsidRPr="000D75A7">
        <w:t>iť</w:t>
      </w:r>
      <w:r w:rsidRPr="000D75A7">
        <w:t xml:space="preserve">  znečistenie ovzdušia najbližšieho okolia objektu</w:t>
      </w:r>
      <w:r w:rsidRPr="000D75A7">
        <w:rPr>
          <w:snapToGrid w:val="0"/>
        </w:rPr>
        <w:t>.</w:t>
      </w:r>
    </w:p>
    <w:p w14:paraId="5EDC6F12" w14:textId="4562EF2B" w:rsidR="004C7801" w:rsidRDefault="004C7801" w:rsidP="006E2F72">
      <w:pPr>
        <w:pStyle w:val="A-Text11"/>
        <w:rPr>
          <w:snapToGrid w:val="0"/>
        </w:rPr>
      </w:pPr>
      <w:r w:rsidRPr="000D2037">
        <w:rPr>
          <w:rFonts w:eastAsia="Calibri"/>
        </w:rPr>
        <w:t>V prípade koncentrácie odpadového vzduchu riadeným spôsobom do bodového zdroja je potrebné splniť podmienky dostatočného rozptylu ZL</w:t>
      </w:r>
      <w:r>
        <w:rPr>
          <w:rFonts w:eastAsia="Calibri"/>
        </w:rPr>
        <w:t>.</w:t>
      </w:r>
    </w:p>
    <w:p w14:paraId="1096873E" w14:textId="0EA5BCBC" w:rsidR="00BD1CC4" w:rsidRDefault="004C7801" w:rsidP="008F7867">
      <w:pPr>
        <w:pStyle w:val="A-Text11"/>
        <w:rPr>
          <w:snapToGrid w:val="0"/>
        </w:rPr>
      </w:pPr>
      <w:r w:rsidRPr="004C7801">
        <w:rPr>
          <w:snapToGrid w:val="0"/>
        </w:rPr>
        <w:t>Z výsledku výpočt</w:t>
      </w:r>
      <w:r>
        <w:rPr>
          <w:snapToGrid w:val="0"/>
        </w:rPr>
        <w:t>ov</w:t>
      </w:r>
      <w:r w:rsidRPr="004C7801">
        <w:rPr>
          <w:snapToGrid w:val="0"/>
        </w:rPr>
        <w:t xml:space="preserve"> je zrejmé, že pri uvedenej konfigurácií  limit  pre maximálnu hodinovú koncentráciu NO</w:t>
      </w:r>
      <w:r w:rsidRPr="008F7867">
        <w:rPr>
          <w:snapToGrid w:val="0"/>
          <w:vertAlign w:val="subscript"/>
        </w:rPr>
        <w:t>2</w:t>
      </w:r>
      <w:r w:rsidRPr="004C7801">
        <w:rPr>
          <w:snapToGrid w:val="0"/>
        </w:rPr>
        <w:t xml:space="preserve"> (200 µg/m</w:t>
      </w:r>
      <w:r w:rsidRPr="00F65162">
        <w:rPr>
          <w:snapToGrid w:val="0"/>
          <w:vertAlign w:val="superscript"/>
        </w:rPr>
        <w:t>3</w:t>
      </w:r>
      <w:r w:rsidRPr="004C7801">
        <w:rPr>
          <w:snapToGrid w:val="0"/>
        </w:rPr>
        <w:t>) a limit pre maximálnu hodinovú koncentráciu CO (10000 µg/m</w:t>
      </w:r>
      <w:r w:rsidRPr="00F65162">
        <w:rPr>
          <w:snapToGrid w:val="0"/>
          <w:vertAlign w:val="superscript"/>
        </w:rPr>
        <w:t>3</w:t>
      </w:r>
      <w:r w:rsidRPr="004C7801">
        <w:rPr>
          <w:snapToGrid w:val="0"/>
        </w:rPr>
        <w:t xml:space="preserve">) </w:t>
      </w:r>
      <w:r>
        <w:rPr>
          <w:snapToGrid w:val="0"/>
        </w:rPr>
        <w:t xml:space="preserve">z výduchov podzemnej garáže  a kotolne </w:t>
      </w:r>
      <w:r w:rsidRPr="004C7801">
        <w:rPr>
          <w:snapToGrid w:val="0"/>
        </w:rPr>
        <w:t>nie je prekročený.</w:t>
      </w:r>
      <w:r w:rsidR="008F7867">
        <w:rPr>
          <w:snapToGrid w:val="0"/>
        </w:rPr>
        <w:t xml:space="preserve"> (</w:t>
      </w:r>
      <w:r w:rsidR="00BD1CC4" w:rsidRPr="00BD1CC4">
        <w:rPr>
          <w:snapToGrid w:val="0"/>
        </w:rPr>
        <w:t xml:space="preserve">V zmysle vyhl. 410/2012 Z.z. musí byť výška výduchu </w:t>
      </w:r>
      <w:r w:rsidR="008F7867">
        <w:rPr>
          <w:snapToGrid w:val="0"/>
        </w:rPr>
        <w:t xml:space="preserve">z podzemnej garáže </w:t>
      </w:r>
      <w:r w:rsidR="00BD1CC4" w:rsidRPr="00BD1CC4">
        <w:rPr>
          <w:snapToGrid w:val="0"/>
        </w:rPr>
        <w:t xml:space="preserve">minimálne vo výške 4 m nad terénom. </w:t>
      </w:r>
      <w:r w:rsidR="008F7867">
        <w:rPr>
          <w:snapToGrid w:val="0"/>
        </w:rPr>
        <w:t>)</w:t>
      </w:r>
    </w:p>
    <w:p w14:paraId="3ED15C73" w14:textId="1401E59C" w:rsidR="008F7867" w:rsidRPr="008F7867" w:rsidRDefault="008F7867" w:rsidP="008F7867">
      <w:pPr>
        <w:pStyle w:val="A-Text11"/>
        <w:rPr>
          <w:snapToGrid w:val="0"/>
        </w:rPr>
      </w:pPr>
      <w:r w:rsidRPr="008F7867">
        <w:rPr>
          <w:snapToGrid w:val="0"/>
        </w:rPr>
        <w:t xml:space="preserve">V ďalšom stupni projektovej dokumentácie je potrebné navrhnúť </w:t>
      </w:r>
      <w:r w:rsidR="006D5EA4">
        <w:rPr>
          <w:snapToGrid w:val="0"/>
        </w:rPr>
        <w:t xml:space="preserve">vhodné </w:t>
      </w:r>
      <w:r w:rsidRPr="008F7867">
        <w:rPr>
          <w:snapToGrid w:val="0"/>
        </w:rPr>
        <w:t>technické opatrenia (výber typu,</w:t>
      </w:r>
      <w:r>
        <w:rPr>
          <w:snapToGrid w:val="0"/>
        </w:rPr>
        <w:t xml:space="preserve"> </w:t>
      </w:r>
      <w:r w:rsidRPr="008F7867">
        <w:rPr>
          <w:snapToGrid w:val="0"/>
        </w:rPr>
        <w:t>umiestnenie</w:t>
      </w:r>
      <w:r>
        <w:rPr>
          <w:snapToGrid w:val="0"/>
        </w:rPr>
        <w:t xml:space="preserve"> zdroja) </w:t>
      </w:r>
      <w:r w:rsidRPr="008F7867">
        <w:rPr>
          <w:snapToGrid w:val="0"/>
        </w:rPr>
        <w:t xml:space="preserve"> </w:t>
      </w:r>
      <w:r>
        <w:rPr>
          <w:snapToGrid w:val="0"/>
        </w:rPr>
        <w:t xml:space="preserve">týkajúce sa </w:t>
      </w:r>
      <w:r w:rsidR="006D5EA4">
        <w:rPr>
          <w:snapToGrid w:val="0"/>
        </w:rPr>
        <w:t>náhradného zdroja</w:t>
      </w:r>
      <w:r w:rsidR="00613781">
        <w:rPr>
          <w:snapToGrid w:val="0"/>
        </w:rPr>
        <w:t xml:space="preserve"> el. energie</w:t>
      </w:r>
      <w:r w:rsidR="006D5EA4">
        <w:rPr>
          <w:snapToGrid w:val="0"/>
        </w:rPr>
        <w:t xml:space="preserve">, navrhovanom vo </w:t>
      </w:r>
      <w:r>
        <w:rPr>
          <w:snapToGrid w:val="0"/>
        </w:rPr>
        <w:t>Variant</w:t>
      </w:r>
      <w:r w:rsidR="006D5EA4">
        <w:rPr>
          <w:snapToGrid w:val="0"/>
        </w:rPr>
        <w:t>e</w:t>
      </w:r>
      <w:r>
        <w:rPr>
          <w:snapToGrid w:val="0"/>
        </w:rPr>
        <w:t xml:space="preserve"> 1 </w:t>
      </w:r>
      <w:r w:rsidRPr="008F7867">
        <w:rPr>
          <w:snapToGrid w:val="0"/>
        </w:rPr>
        <w:t xml:space="preserve">tak, aby boli splnené legislatívne požiadavky v zmysle Vestníka </w:t>
      </w:r>
      <w:r w:rsidRPr="008F7867">
        <w:rPr>
          <w:snapToGrid w:val="0"/>
        </w:rPr>
        <w:lastRenderedPageBreak/>
        <w:t>MŽP SR ročník IV 1996 čiastka 5</w:t>
      </w:r>
      <w:r>
        <w:rPr>
          <w:snapToGrid w:val="0"/>
        </w:rPr>
        <w:t xml:space="preserve">, </w:t>
      </w:r>
      <w:r w:rsidRPr="008F7867">
        <w:rPr>
          <w:snapToGrid w:val="0"/>
        </w:rPr>
        <w:t>ktorý pojednáva o umiestňovaní komínov voči posudzovaným bodom do vzdialenosti 100 m.</w:t>
      </w:r>
    </w:p>
    <w:p w14:paraId="07463BF6" w14:textId="05980BA5" w:rsidR="008F7867" w:rsidRPr="000D75A7" w:rsidRDefault="008F7867" w:rsidP="008F7867">
      <w:pPr>
        <w:pStyle w:val="A-Text11"/>
        <w:ind w:firstLine="0"/>
        <w:rPr>
          <w:snapToGrid w:val="0"/>
        </w:rPr>
      </w:pPr>
      <w:r w:rsidRPr="008F7867">
        <w:rPr>
          <w:snapToGrid w:val="0"/>
        </w:rPr>
        <w:t>Z hľadiska vplyvu náhradného zdroja na úroveň znečistenia ovzdušia v riešenej lokalite je výhodnejší Variant 2 - náhradný zdroj energie - UPS batériový zdroj, ktorý nie je zdrojom znečisťovania ovzdušia.</w:t>
      </w:r>
    </w:p>
    <w:p w14:paraId="30F4BD5C" w14:textId="2A050503" w:rsidR="00A62826" w:rsidRPr="0083096F" w:rsidRDefault="00BD1CC4" w:rsidP="006E2F72">
      <w:pPr>
        <w:pStyle w:val="A-Text11"/>
      </w:pPr>
      <w:r w:rsidRPr="00BD1CC4">
        <w:t>Výsledky rozptylovej štúdie preukázali, že najvyššie hodnoty koncentrácií znečisťujúcich látok vzhľadom na dotknuté prostredie pri najnepriaznivejších rozptylových a prevádzkových podmienkach a pri zohľadnení kumulatívnych vplyvov, budú nižšie ako sú legislatívou stanovené limitné hodnoty.</w:t>
      </w:r>
    </w:p>
    <w:p w14:paraId="28BEB184" w14:textId="246111D0" w:rsidR="00E65CA9" w:rsidRPr="0083096F" w:rsidRDefault="00E65CA9" w:rsidP="006E2F72">
      <w:pPr>
        <w:pStyle w:val="A-Text11"/>
        <w:rPr>
          <w:lang w:eastAsia="ar-SA"/>
        </w:rPr>
      </w:pPr>
      <w:r w:rsidRPr="0083096F">
        <w:t xml:space="preserve">Špecifickým problémom je posúdenie vplyvu plánovanej výstavby na denné osvetlenie okolitých miestností s dlhodobým pobytom ľudí. </w:t>
      </w:r>
      <w:r w:rsidRPr="0083096F">
        <w:rPr>
          <w:lang w:eastAsia="ar-SA"/>
        </w:rPr>
        <w:t xml:space="preserve">Súčasťou </w:t>
      </w:r>
      <w:r w:rsidR="000D75A7" w:rsidRPr="0083096F">
        <w:rPr>
          <w:lang w:eastAsia="ar-SA"/>
        </w:rPr>
        <w:t>predkladaného zámeru j</w:t>
      </w:r>
      <w:r w:rsidRPr="0083096F">
        <w:rPr>
          <w:lang w:eastAsia="ar-SA"/>
        </w:rPr>
        <w:t xml:space="preserve">e svetelnotechnické posúdenie, v ktorom </w:t>
      </w:r>
      <w:r w:rsidR="00487572" w:rsidRPr="0083096F">
        <w:rPr>
          <w:lang w:eastAsia="ar-SA"/>
        </w:rPr>
        <w:t>bud</w:t>
      </w:r>
      <w:r w:rsidRPr="0083096F">
        <w:rPr>
          <w:lang w:eastAsia="ar-SA"/>
        </w:rPr>
        <w:t>e vyhodnoten</w:t>
      </w:r>
      <w:r w:rsidR="00B0708D" w:rsidRPr="0083096F">
        <w:rPr>
          <w:lang w:eastAsia="ar-SA"/>
        </w:rPr>
        <w:t>ý</w:t>
      </w:r>
      <w:r w:rsidRPr="0083096F">
        <w:rPr>
          <w:lang w:eastAsia="ar-SA"/>
        </w:rPr>
        <w:t xml:space="preserve">  vplyv na dennú osvetlenosť v miestnostiach dotknutých okolitých budov v zmysle STN  73 4301, STN 73 0580.</w:t>
      </w:r>
    </w:p>
    <w:p w14:paraId="3AF52B20" w14:textId="70CAA0DB" w:rsidR="0083096F" w:rsidRPr="00A62826" w:rsidRDefault="004804E1" w:rsidP="004804E1">
      <w:pPr>
        <w:pStyle w:val="TEXT2"/>
        <w:spacing w:before="120" w:line="240" w:lineRule="auto"/>
        <w:ind w:firstLine="426"/>
        <w:rPr>
          <w:rFonts w:cs="Arial"/>
          <w:b/>
          <w:bCs/>
          <w:sz w:val="22"/>
          <w:lang w:val="sk-SK" w:eastAsia="ar-SA"/>
        </w:rPr>
      </w:pPr>
      <w:r w:rsidRPr="00A62826">
        <w:rPr>
          <w:rFonts w:cs="Arial"/>
          <w:b/>
          <w:bCs/>
          <w:sz w:val="22"/>
          <w:lang w:val="sk-SK" w:eastAsia="ar-SA"/>
        </w:rPr>
        <w:t>Preslnenie okolitej zástavby</w:t>
      </w:r>
    </w:p>
    <w:p w14:paraId="2889E327" w14:textId="20056C54" w:rsidR="004804E1" w:rsidRPr="00A62826" w:rsidRDefault="004804E1" w:rsidP="00B502F5">
      <w:pPr>
        <w:pStyle w:val="A-Text11"/>
        <w:rPr>
          <w:lang w:eastAsia="ar-SA"/>
        </w:rPr>
      </w:pPr>
      <w:r w:rsidRPr="00A62826">
        <w:rPr>
          <w:lang w:eastAsia="ar-SA"/>
        </w:rPr>
        <w:t>Pre posúdenie preslnenia okolitej zástavby boli vybraté okolité budovy, ktoré budú plánovanou výstavbou dotknuté.</w:t>
      </w:r>
      <w:r w:rsidR="00B502F5" w:rsidRPr="00A62826">
        <w:rPr>
          <w:lang w:eastAsia="ar-SA"/>
        </w:rPr>
        <w:t xml:space="preserve"> Ďalej boli pre posúdenie vytýčené kontrolné body ktoré boli vybrané ako kritické vzhľadom na posudzovanú stavbu. Zrovnávacia hladina ±0,000 bola vždy vedená posudzovaným kontrolným bodom, prevýšenia boli merané od tejto hladiny. Kontrolný bod bol umiestnený v 1/3 výške okna najmenej vo výške 1,2 m nad podlahou posudzovaného obytného priestoru.</w:t>
      </w:r>
    </w:p>
    <w:p w14:paraId="0ADD0E52" w14:textId="207C5D4D" w:rsidR="00B502F5" w:rsidRPr="00A62826" w:rsidRDefault="00B502F5" w:rsidP="00B502F5">
      <w:pPr>
        <w:pStyle w:val="A-Text11"/>
        <w:rPr>
          <w:lang w:eastAsia="ar-SA"/>
        </w:rPr>
      </w:pPr>
      <w:r w:rsidRPr="00A62826">
        <w:rPr>
          <w:lang w:eastAsia="ar-SA"/>
        </w:rPr>
        <w:t>K dostatočnej dobe insolácie dôjde pre všetky kontrolné body. Body ktoré majú priaznivejšiu polohu z hľadiska svetlotechniky vyhovejú automaticky. Požiadavka STN 73 4301 na čas preslnenia bytu od 21. marca do 22. septembra aspoň 1,5 hodinu denne najmenej tretiny súčtu plôch všetkých jeho obytných miestností je splnená aj po realizácii plánovanej stavby.</w:t>
      </w:r>
    </w:p>
    <w:p w14:paraId="0B198672" w14:textId="798EE5AE" w:rsidR="00B502F5" w:rsidRPr="00A62826" w:rsidRDefault="00B502F5" w:rsidP="00B502F5">
      <w:pPr>
        <w:pStyle w:val="A-Text11"/>
        <w:rPr>
          <w:lang w:eastAsia="ar-SA"/>
        </w:rPr>
      </w:pPr>
      <w:r w:rsidRPr="00A62826">
        <w:rPr>
          <w:lang w:eastAsia="ar-SA"/>
        </w:rPr>
        <w:t>Z uvedeného vyplýva, že plánovaná výstavba nie je v rozpore s požiadavkou na účinné preslnenie posudzovanej okolitej zástavby v zmysle kritérií STN 73 4301:2021.</w:t>
      </w:r>
    </w:p>
    <w:p w14:paraId="4B2CC652" w14:textId="7CADBCCA" w:rsidR="00A23819" w:rsidRPr="00A62826" w:rsidRDefault="00A23819" w:rsidP="00B502F5">
      <w:pPr>
        <w:pStyle w:val="A-Text11"/>
        <w:rPr>
          <w:b/>
          <w:bCs/>
          <w:lang w:eastAsia="ar-SA"/>
        </w:rPr>
      </w:pPr>
      <w:r w:rsidRPr="00A62826">
        <w:rPr>
          <w:b/>
          <w:bCs/>
          <w:lang w:eastAsia="ar-SA"/>
        </w:rPr>
        <w:t>Denné osvetlenie okolitej zástavby</w:t>
      </w:r>
    </w:p>
    <w:p w14:paraId="303081B4" w14:textId="47551B8F" w:rsidR="00A23819" w:rsidRPr="00A62826" w:rsidRDefault="00A23819" w:rsidP="00A23819">
      <w:pPr>
        <w:pStyle w:val="A-Text11"/>
        <w:rPr>
          <w:lang w:eastAsia="ar-SA"/>
        </w:rPr>
      </w:pPr>
      <w:r w:rsidRPr="00A62826">
        <w:rPr>
          <w:lang w:eastAsia="ar-SA"/>
        </w:rPr>
        <w:t>Pre posúdenie denného osvetlenia boli vybrané kontrolné body na okolitých fasádach, ktoré sú z hľadiska denného osvetlenia v najnepriaznivejšej polohe, vzhľadom na plánovanú stavbu. Pre posúdenie boli vybraté okolité budovy, ktoré budú plánovanou výstavbou dotknuté. Ďalej boli vybraté polohy kontrolných bodov, ktoré boli identifikované ako kritické vzhľadom na navrhovanú výstavbu pre posúdenie denného osvetlenia. Kontrolný bod pre účel posúdenia ekvivalentného uhla tienenia bol umiestnený v strede osvetľovacieho otvoru, minimálne však vo výške 2,0m nad upraveným terénom.</w:t>
      </w:r>
    </w:p>
    <w:p w14:paraId="270F0F26" w14:textId="7D3E3AA9" w:rsidR="00A23819" w:rsidRPr="00A62826" w:rsidRDefault="0014035B" w:rsidP="0014035B">
      <w:pPr>
        <w:pStyle w:val="A-Text11"/>
        <w:rPr>
          <w:lang w:eastAsia="ar-SA"/>
        </w:rPr>
      </w:pPr>
      <w:r w:rsidRPr="00A62826">
        <w:rPr>
          <w:lang w:eastAsia="ar-SA"/>
        </w:rPr>
        <w:t>Z hľadiska osvetlenia okolitej zástavby plánovaná stavba nie je v rozpore s požiadavkami STN 73 0580-1 Zmena 2 na denné osvetlenie vnútorných priestorov s dlhodobým pobytom ľudí v okolitých budovách.</w:t>
      </w:r>
    </w:p>
    <w:p w14:paraId="6EBC2797" w14:textId="77777777" w:rsidR="00394BB0" w:rsidRDefault="00394BB0" w:rsidP="0014035B">
      <w:pPr>
        <w:pStyle w:val="A-Text11"/>
        <w:rPr>
          <w:b/>
          <w:bCs/>
          <w:lang w:eastAsia="ar-SA"/>
        </w:rPr>
      </w:pPr>
    </w:p>
    <w:p w14:paraId="575D7388" w14:textId="789B092E" w:rsidR="0014035B" w:rsidRPr="00A62826" w:rsidRDefault="0014035B" w:rsidP="0014035B">
      <w:pPr>
        <w:pStyle w:val="A-Text11"/>
        <w:rPr>
          <w:b/>
          <w:bCs/>
          <w:lang w:eastAsia="ar-SA"/>
        </w:rPr>
      </w:pPr>
      <w:r w:rsidRPr="00A62826">
        <w:rPr>
          <w:b/>
          <w:bCs/>
          <w:lang w:eastAsia="ar-SA"/>
        </w:rPr>
        <w:t>Preslnenie navrhovaných priestorov</w:t>
      </w:r>
    </w:p>
    <w:p w14:paraId="7841EC71" w14:textId="1E893A88" w:rsidR="0014035B" w:rsidRPr="00A62826" w:rsidRDefault="0014035B" w:rsidP="0014035B">
      <w:pPr>
        <w:pStyle w:val="A-Text11"/>
        <w:rPr>
          <w:lang w:eastAsia="ar-SA"/>
        </w:rPr>
      </w:pPr>
      <w:r w:rsidRPr="00A62826">
        <w:rPr>
          <w:lang w:eastAsia="ar-SA"/>
        </w:rPr>
        <w:t xml:space="preserve">K dostatočnej dobe insolácie dôjde pre všetky kontrolné body. Body ktoré majú priaznivejšiu polohu z hľadiska svetlotechniky vyhovejú automaticky. Požiadavka STN 73 4301 </w:t>
      </w:r>
      <w:r w:rsidRPr="00A62826">
        <w:rPr>
          <w:lang w:eastAsia="ar-SA"/>
        </w:rPr>
        <w:lastRenderedPageBreak/>
        <w:t>na čas preslnenia bytu od 21. marca do 22. septembra aspoň 1,5 hodinu denne najmenej tretiny súčtu plôch všetkých jeho obytných miestností je splnená aj po realizácii plánovanej stavby.</w:t>
      </w:r>
    </w:p>
    <w:p w14:paraId="7988322B" w14:textId="387447E9" w:rsidR="0014035B" w:rsidRPr="00A62826" w:rsidRDefault="0014035B" w:rsidP="0014035B">
      <w:pPr>
        <w:pStyle w:val="A-Text11"/>
        <w:rPr>
          <w:lang w:eastAsia="ar-SA"/>
        </w:rPr>
      </w:pPr>
      <w:r w:rsidRPr="00A62826">
        <w:rPr>
          <w:lang w:eastAsia="ar-SA"/>
        </w:rPr>
        <w:t>Z uvedeného vyplýva, že plánovaná výstavba nie je v rozpore s požiadavkou na účinné preslnenie posudzovanej okolitej zástavby v zmysle kritérií STN 73 4301:2021.</w:t>
      </w:r>
    </w:p>
    <w:p w14:paraId="7CA608D7" w14:textId="77777777" w:rsidR="003876B4" w:rsidRPr="00A62826" w:rsidRDefault="003876B4" w:rsidP="003876B4">
      <w:pPr>
        <w:pStyle w:val="A-Text11"/>
        <w:rPr>
          <w:b/>
          <w:bCs/>
          <w:lang w:eastAsia="ar-SA"/>
        </w:rPr>
      </w:pPr>
      <w:r w:rsidRPr="00A62826">
        <w:rPr>
          <w:b/>
          <w:bCs/>
          <w:lang w:eastAsia="ar-SA"/>
        </w:rPr>
        <w:t>Stanovenie činiteľa dennej osvetlenosti navrhovaných priestorov</w:t>
      </w:r>
    </w:p>
    <w:p w14:paraId="5FF77D33" w14:textId="35D22E4A" w:rsidR="003876B4" w:rsidRPr="00A62826" w:rsidRDefault="003876B4" w:rsidP="003876B4">
      <w:pPr>
        <w:pStyle w:val="A-Text11"/>
        <w:rPr>
          <w:lang w:eastAsia="ar-SA"/>
        </w:rPr>
      </w:pPr>
      <w:r w:rsidRPr="00A62826">
        <w:rPr>
          <w:lang w:eastAsia="ar-SA"/>
        </w:rPr>
        <w:t>Pre posúdenie denného osvetlenia miestností s trvalým pobytom osôb boli vybrané tie, ktoré majú menej priaznivú polohu oproti ostatným a sú vo väčšej miere tienené okolitou zástavbou a geometriou vlastnej budovy. Pokiaľ budú vyhovujúce tieto miestnosti vyhovejú aj ostatné, ktoré majú priaznivejšie podmienky z hľadiska denného osvetlenia.</w:t>
      </w:r>
    </w:p>
    <w:p w14:paraId="5B468BE5" w14:textId="47A86D5A" w:rsidR="003876B4" w:rsidRPr="00A62826" w:rsidRDefault="003876B4" w:rsidP="003876B4">
      <w:pPr>
        <w:pStyle w:val="A-Text11"/>
        <w:rPr>
          <w:lang w:eastAsia="ar-SA"/>
        </w:rPr>
      </w:pPr>
      <w:r w:rsidRPr="00A62826">
        <w:rPr>
          <w:lang w:eastAsia="ar-SA"/>
        </w:rPr>
        <w:t xml:space="preserve">Výpočet činiteľa dennej osvetlenosti pre 1.NP - Minimálna hodnota v dvoch kontrolných bodoch v polovici hĺbky miestnosti, vzdialených 1 m od vnútorných povrchov bočných stien v polovici hĺbky miestnosti, sú hodnoty č.d.o. viac ako 0,75% a priemerná hodnota č.d.o. z obidvoch týchto bodov je viac ako 0,9%. Denné osvetlenie posudzovaných obytných miestností je v súlade s požiadavkami STN 73 0580-2. </w:t>
      </w:r>
    </w:p>
    <w:p w14:paraId="2377FAA0" w14:textId="7C90F58F" w:rsidR="003876B4" w:rsidRPr="00A62826" w:rsidRDefault="003876B4" w:rsidP="003876B4">
      <w:pPr>
        <w:pStyle w:val="A-Text11"/>
        <w:rPr>
          <w:lang w:eastAsia="ar-SA"/>
        </w:rPr>
      </w:pPr>
      <w:r w:rsidRPr="00A62826">
        <w:rPr>
          <w:lang w:eastAsia="ar-SA"/>
        </w:rPr>
        <w:t>Výpočet činiteľa dennej osvetlenosti pre 2.NP - Minimálna hodnota v dvoch kontrolných bodoch v polovici hĺbky miestnosti, vzdialených 1 m od vnútorných povrchov bočných stien v polovici hĺbky miestnosti, sú hodnoty č.d.o. viac ako 0,75% a priemerná hodnota č.d.o. z obidvoch týchto bodov je viac ako 0,9%. Denné osvetlenie posudzovaných obytných miestností je v súlade s požiadavkami STN 73 0580-2.</w:t>
      </w:r>
    </w:p>
    <w:p w14:paraId="20C15032" w14:textId="6C78FE83" w:rsidR="003876B4" w:rsidRPr="00A62826" w:rsidRDefault="003876B4" w:rsidP="00571414">
      <w:pPr>
        <w:pStyle w:val="A-Text11"/>
        <w:rPr>
          <w:lang w:eastAsia="ar-SA"/>
        </w:rPr>
      </w:pPr>
      <w:r w:rsidRPr="00A62826">
        <w:rPr>
          <w:lang w:eastAsia="ar-SA"/>
        </w:rPr>
        <w:t xml:space="preserve">Výpočet činiteľa dennej osvetlenosti pre </w:t>
      </w:r>
      <w:r w:rsidR="00571414" w:rsidRPr="00A62826">
        <w:rPr>
          <w:lang w:eastAsia="ar-SA"/>
        </w:rPr>
        <w:t xml:space="preserve"> 3.NP - Minimálna hodnota v dvoch kontrolných bodoch v polovici hĺbky miestnosti, vzdialených 1 m od vnútorných povrchov bočných stien v polovici hĺbky miestnosti, sú hodnoty č.d.o. viac ako 0,75% a priemerná hodnota č.d.o. z obidvoch týchto bodov je viac ako 0,9%. Denné osvetlenie posudzovaných obytných miestností je v súlade s požiadavkami STN 73 0580-2.</w:t>
      </w:r>
    </w:p>
    <w:p w14:paraId="2F0A78AA" w14:textId="131F9FE1" w:rsidR="004804E1" w:rsidRPr="00A62826" w:rsidRDefault="003876B4" w:rsidP="00571414">
      <w:pPr>
        <w:pStyle w:val="A-Text11"/>
        <w:rPr>
          <w:lang w:eastAsia="ar-SA"/>
        </w:rPr>
      </w:pPr>
      <w:r w:rsidRPr="00A62826">
        <w:rPr>
          <w:lang w:eastAsia="ar-SA"/>
        </w:rPr>
        <w:t>Výpočet činiteľa dennej osvetlenosti pre</w:t>
      </w:r>
      <w:r w:rsidR="00571414" w:rsidRPr="00A62826">
        <w:rPr>
          <w:lang w:eastAsia="ar-SA"/>
        </w:rPr>
        <w:t xml:space="preserve"> 4. NP Minimálna hodnota v dvoch kontrolných bodoch v polovici hĺbky miestnosti, vzdialených 1 m od vnútorných povrchov bočných stien v polovici hĺbky miestnosti, sú hodnoty č.d.o. viac ako 0,75% a priemerná hodnota č.d.o. z obidvoch týchto bodov je viac ako 0,9%. Denné osvetlenie posudzovaných obytných miestností je v súlade s požiadavkami STN 73 0580-2.</w:t>
      </w:r>
    </w:p>
    <w:p w14:paraId="486CC077" w14:textId="77777777" w:rsidR="0040564A" w:rsidRPr="00A62826" w:rsidRDefault="0040564A" w:rsidP="0040564A">
      <w:pPr>
        <w:pStyle w:val="A-Text11"/>
        <w:rPr>
          <w:b/>
          <w:bCs/>
          <w:lang w:eastAsia="ar-SA"/>
        </w:rPr>
      </w:pPr>
      <w:r w:rsidRPr="00A62826">
        <w:rPr>
          <w:b/>
          <w:bCs/>
          <w:lang w:eastAsia="ar-SA"/>
        </w:rPr>
        <w:t>Vplyv stavby na okolitú zástavbu</w:t>
      </w:r>
    </w:p>
    <w:p w14:paraId="457E0194" w14:textId="25555E6C" w:rsidR="0040564A" w:rsidRPr="00A62826" w:rsidRDefault="0040564A" w:rsidP="0040564A">
      <w:pPr>
        <w:pStyle w:val="A-Text11"/>
        <w:rPr>
          <w:lang w:eastAsia="ar-SA"/>
        </w:rPr>
      </w:pPr>
      <w:r w:rsidRPr="00A62826">
        <w:rPr>
          <w:lang w:eastAsia="ar-SA"/>
        </w:rPr>
        <w:t>Po výpočte hodinových azimutálnych priebehov pohybu slnka pre obdobie od 21.marca do 22.septembra možno konštatovať, že posudzovaná okolitá zástavba bude mať vyhovujúcu dobu insolácie aj po zrealizovaní navrhovanej stavby.</w:t>
      </w:r>
    </w:p>
    <w:p w14:paraId="20AF386B" w14:textId="18EF815A" w:rsidR="0040564A" w:rsidRPr="00A62826" w:rsidRDefault="0040564A" w:rsidP="0040564A">
      <w:pPr>
        <w:pStyle w:val="A-Text11"/>
        <w:rPr>
          <w:lang w:eastAsia="ar-SA"/>
        </w:rPr>
      </w:pPr>
      <w:r w:rsidRPr="00A62826">
        <w:rPr>
          <w:lang w:eastAsia="ar-SA"/>
        </w:rPr>
        <w:t>Po grafickom stanovení ekvivalentného uhla tienenia pre kontrolné body možno konštatovať, že nedôjde k prekročeniu miery možného zatienenia okolitej zástavby, pre daný typ zástavby, lokalitu a sklon terénu platí maximálny ekvivalentný uhol tienenia 30°.</w:t>
      </w:r>
    </w:p>
    <w:p w14:paraId="3F453E2D" w14:textId="37421830" w:rsidR="00571414" w:rsidRPr="00A62826" w:rsidRDefault="0040564A" w:rsidP="0040564A">
      <w:pPr>
        <w:pStyle w:val="A-Text11"/>
        <w:rPr>
          <w:lang w:eastAsia="ar-SA"/>
        </w:rPr>
      </w:pPr>
      <w:r w:rsidRPr="00A62826">
        <w:rPr>
          <w:lang w:eastAsia="ar-SA"/>
        </w:rPr>
        <w:t>Všetky výpočty boli zrealizované pre najnepriaznivejšie prípady tienenia.</w:t>
      </w:r>
    </w:p>
    <w:p w14:paraId="2F926511" w14:textId="67B5AD47" w:rsidR="00394BB0" w:rsidRDefault="00394BB0" w:rsidP="0040564A">
      <w:pPr>
        <w:pStyle w:val="A-Text11"/>
        <w:rPr>
          <w:b/>
          <w:bCs/>
          <w:lang w:eastAsia="ar-SA"/>
        </w:rPr>
      </w:pPr>
    </w:p>
    <w:p w14:paraId="3FC5702F" w14:textId="146D8A6D" w:rsidR="00741143" w:rsidRDefault="00741143" w:rsidP="0040564A">
      <w:pPr>
        <w:pStyle w:val="A-Text11"/>
        <w:rPr>
          <w:b/>
          <w:bCs/>
          <w:lang w:eastAsia="ar-SA"/>
        </w:rPr>
      </w:pPr>
    </w:p>
    <w:p w14:paraId="496438C9" w14:textId="77777777" w:rsidR="00741143" w:rsidRDefault="00741143" w:rsidP="0040564A">
      <w:pPr>
        <w:pStyle w:val="A-Text11"/>
        <w:rPr>
          <w:b/>
          <w:bCs/>
          <w:lang w:eastAsia="ar-SA"/>
        </w:rPr>
      </w:pPr>
    </w:p>
    <w:p w14:paraId="7DA6AFA4" w14:textId="4347ABB0" w:rsidR="0040564A" w:rsidRPr="00A62826" w:rsidRDefault="0040564A" w:rsidP="0040564A">
      <w:pPr>
        <w:pStyle w:val="A-Text11"/>
        <w:rPr>
          <w:b/>
          <w:bCs/>
          <w:lang w:eastAsia="ar-SA"/>
        </w:rPr>
      </w:pPr>
      <w:r w:rsidRPr="00A62826">
        <w:rPr>
          <w:b/>
          <w:bCs/>
          <w:lang w:eastAsia="ar-SA"/>
        </w:rPr>
        <w:lastRenderedPageBreak/>
        <w:t>Navrhovaná stavba</w:t>
      </w:r>
    </w:p>
    <w:p w14:paraId="54D7EB44" w14:textId="5469D3E6" w:rsidR="0040564A" w:rsidRPr="00A62826" w:rsidRDefault="0040564A" w:rsidP="0040564A">
      <w:pPr>
        <w:pStyle w:val="A-Text11"/>
        <w:rPr>
          <w:lang w:eastAsia="ar-SA"/>
        </w:rPr>
      </w:pPr>
      <w:r w:rsidRPr="00A62826">
        <w:rPr>
          <w:lang w:eastAsia="ar-SA"/>
        </w:rPr>
        <w:t>Posudzované obytné priestory z hľadiska doby preslnenia vyhovujú podmienkam STN 73 4301:2021 Budovy na bývanie a vyhovuje aj z hľadiska denného osvetlenia budov podmienkam STN 73 0580: 2000, Denné osvetlenie budov.</w:t>
      </w:r>
    </w:p>
    <w:p w14:paraId="546C9923" w14:textId="026DFEAC" w:rsidR="00E65CA9" w:rsidRPr="00F9441E" w:rsidRDefault="00E65CA9" w:rsidP="00F9441E">
      <w:pPr>
        <w:pStyle w:val="A-Text11"/>
        <w:ind w:firstLine="0"/>
        <w:rPr>
          <w:b/>
          <w:bCs/>
        </w:rPr>
      </w:pPr>
      <w:bookmarkStart w:id="309" w:name="_Toc395894105"/>
      <w:bookmarkStart w:id="310" w:name="_Toc403849697"/>
      <w:bookmarkStart w:id="311" w:name="_Toc495992983"/>
      <w:r w:rsidRPr="00F9441E">
        <w:rPr>
          <w:b/>
          <w:bCs/>
        </w:rPr>
        <w:t>Predpokladané vplyvy na prírodné prostredie</w:t>
      </w:r>
      <w:bookmarkEnd w:id="309"/>
      <w:bookmarkEnd w:id="310"/>
      <w:bookmarkEnd w:id="311"/>
      <w:r w:rsidRPr="00F9441E">
        <w:rPr>
          <w:b/>
          <w:bCs/>
        </w:rPr>
        <w:t xml:space="preserve">  </w:t>
      </w:r>
    </w:p>
    <w:p w14:paraId="653BC95A" w14:textId="77777777" w:rsidR="00E65CA9" w:rsidRPr="00EF0A21" w:rsidRDefault="00E65CA9" w:rsidP="00DC00C4">
      <w:pPr>
        <w:pStyle w:val="nadpis20"/>
        <w:suppressAutoHyphens w:val="0"/>
        <w:rPr>
          <w:lang w:eastAsia="en-US"/>
        </w:rPr>
      </w:pPr>
      <w:bookmarkStart w:id="312" w:name="_Toc501123974"/>
      <w:bookmarkStart w:id="313" w:name="_Toc501123975"/>
      <w:r w:rsidRPr="00EF0A21">
        <w:rPr>
          <w:lang w:eastAsia="en-US"/>
        </w:rPr>
        <w:t xml:space="preserve">Vplyvy na ovzdušie a  miestnu klímu </w:t>
      </w:r>
      <w:bookmarkEnd w:id="312"/>
    </w:p>
    <w:p w14:paraId="03CDC045" w14:textId="77777777" w:rsidR="00D47E33" w:rsidRPr="00EF0A21" w:rsidRDefault="00D47E33" w:rsidP="006E2F72">
      <w:pPr>
        <w:pStyle w:val="A-Text11"/>
      </w:pPr>
      <w:r w:rsidRPr="00EF0A21">
        <w:t xml:space="preserve">Lokálne zmeny mikroklimatických pomerov by mohli súvisieť so zmenami  pomeru zastúpenia  spevnených plôch, budov a zelene. Lokálne by sa mohlo zmeniť prúdenie vzduchu, ktoré bude ovplyvnené prekážkami stavieb. </w:t>
      </w:r>
    </w:p>
    <w:p w14:paraId="027E7A34" w14:textId="77777777" w:rsidR="00D47E33" w:rsidRPr="00EF0A21" w:rsidRDefault="00D47E33" w:rsidP="006E2F72">
      <w:pPr>
        <w:pStyle w:val="A-Text11"/>
      </w:pPr>
      <w:r w:rsidRPr="00EF0A21">
        <w:t>Po ukončení výstavby bude pozemok upravený a dotvorený atraktívnymi sadovými úpravami verejnej zelene a drobnou architektúrou.</w:t>
      </w:r>
    </w:p>
    <w:p w14:paraId="4922DF34" w14:textId="58341810" w:rsidR="00D47E33" w:rsidRPr="00EF0A21" w:rsidRDefault="00D47E33" w:rsidP="006E2F72">
      <w:pPr>
        <w:pStyle w:val="A-Text11"/>
        <w:rPr>
          <w:lang w:eastAsia="ar-SA"/>
        </w:rPr>
      </w:pPr>
      <w:r w:rsidRPr="00EF0A21">
        <w:rPr>
          <w:lang w:eastAsia="ar-SA"/>
        </w:rPr>
        <w:t>Zeleň bude doplnená spevnenými plochami v podobe chodníkov a prvkov drobnej architektúry. Cieľom je vytvorenie atraktívneho prírodného prostredia parkového charakteru s príslušnou vybavenosťou, ktorá budú v plnej miere pokrývať nároky obyvateľov na krátkodobú rekreáciu</w:t>
      </w:r>
      <w:r w:rsidR="00487572" w:rsidRPr="00EF0A21">
        <w:rPr>
          <w:lang w:eastAsia="ar-SA"/>
        </w:rPr>
        <w:t>.</w:t>
      </w:r>
      <w:r w:rsidRPr="00EF0A21">
        <w:rPr>
          <w:lang w:eastAsia="ar-SA"/>
        </w:rPr>
        <w:t xml:space="preserve"> </w:t>
      </w:r>
    </w:p>
    <w:p w14:paraId="59D99E37" w14:textId="77777777" w:rsidR="00D47E33" w:rsidRPr="004A7717" w:rsidRDefault="00D47E33" w:rsidP="006E2F72">
      <w:pPr>
        <w:pStyle w:val="A-Text11"/>
        <w:rPr>
          <w:color w:val="FF0000"/>
        </w:rPr>
      </w:pPr>
      <w:r w:rsidRPr="00EF0A21">
        <w:t>Dokumentácia k navrhovanej činnosti bola zhotovená s cieľom maximalizovať podiel zelene, ktorá  pôsobí nielen  ekostabilizačne ale zlepšuje aj mikroklímu</w:t>
      </w:r>
      <w:r w:rsidRPr="004A7717">
        <w:rPr>
          <w:color w:val="FF0000"/>
        </w:rPr>
        <w:t>.</w:t>
      </w:r>
    </w:p>
    <w:p w14:paraId="0C978A09" w14:textId="77777777" w:rsidR="00D47E33" w:rsidRPr="004A7717" w:rsidRDefault="00D47E33" w:rsidP="006E2F72">
      <w:pPr>
        <w:pStyle w:val="A-Text11"/>
        <w:rPr>
          <w:color w:val="FF0000"/>
        </w:rPr>
      </w:pPr>
      <w:r w:rsidRPr="00EF0A21">
        <w:t>Riešenie stavby, energetická hospodárnosť budov, požiadavky na riešenie sadových úprav, vsakovacie zariadenia sú konkrétnym napĺňaním  požiadaviek Adaptačnej stratégie Slovenskej republiky na nepriaznivé dôsledky zmeny klímy</w:t>
      </w:r>
      <w:r w:rsidRPr="004A7717">
        <w:rPr>
          <w:color w:val="FF0000"/>
        </w:rPr>
        <w:t xml:space="preserve">.  </w:t>
      </w:r>
    </w:p>
    <w:p w14:paraId="412DCCEF" w14:textId="25854BDA" w:rsidR="00D47E33" w:rsidRPr="00EF0A21" w:rsidRDefault="00D47E33" w:rsidP="006E2F72">
      <w:pPr>
        <w:pStyle w:val="A-Text11"/>
        <w:rPr>
          <w:lang w:eastAsia="ar-SA"/>
        </w:rPr>
      </w:pPr>
      <w:r w:rsidRPr="00EF0A21">
        <w:t xml:space="preserve">Cieľom sadových úprav v zóne je vytvoriť nový kultivovaný celok, určený rezidentom a širokej verejnosti, ktorý zvýši kvalitu života v širšom centre Bratislavy. V maximálnej možnej miere tak využije danosti prostredia. Úlohou zelene v riešenom areáli je vhodne funkčne a esteticky podporiť funkcie a využitie jednotlivých plôch. </w:t>
      </w:r>
    </w:p>
    <w:p w14:paraId="3CB50095" w14:textId="77777777" w:rsidR="0052347B" w:rsidRPr="00EF0A21" w:rsidRDefault="0052347B" w:rsidP="006E2F72">
      <w:pPr>
        <w:pStyle w:val="A-Text11"/>
      </w:pPr>
      <w:r w:rsidRPr="00EF0A21">
        <w:t>Do úprav budú v maximálnej možnej miere zapojené aj pôvodné dreviny (okrem inváznych druhov), ktoré nebude nutné odstrániť a ktoré budú spĺňať kvalitatívne požiadavky, resp. ich zdravotný stav bude umožňovať ich dlhodobú existenciu a nebudú ohrozovať prevádzku v danom mieste. Doplnkovú závlahu bude zabezpečovať automatický závlahový systém.</w:t>
      </w:r>
    </w:p>
    <w:p w14:paraId="06E42043" w14:textId="4C1EBD53" w:rsidR="0052347B" w:rsidRPr="00EF0A21" w:rsidRDefault="0052347B" w:rsidP="006E2F72">
      <w:pPr>
        <w:pStyle w:val="A-Text11"/>
      </w:pPr>
      <w:r w:rsidRPr="00EF0A21">
        <w:t>Súčasťou sadových úprav bude aj začlenenie komunitných záhrad</w:t>
      </w:r>
      <w:r w:rsidR="002F1FE8" w:rsidRPr="00EF0A21">
        <w:t xml:space="preserve">  </w:t>
      </w:r>
      <w:r w:rsidRPr="00EF0A21">
        <w:t xml:space="preserve"> do prostredia, čím sa zvýši atraktivita využitia priestoru v prospech ekologických, estetických a v neposlednom rade i medziľudských vzťahov. </w:t>
      </w:r>
    </w:p>
    <w:p w14:paraId="35DA422B" w14:textId="77777777" w:rsidR="00D47E33" w:rsidRPr="004A7717" w:rsidRDefault="00D47E33" w:rsidP="006E2F72">
      <w:pPr>
        <w:pStyle w:val="A-Text11"/>
        <w:rPr>
          <w:color w:val="FF0000"/>
        </w:rPr>
      </w:pPr>
      <w:r w:rsidRPr="00EF0A21">
        <w:t>Dažďové odpadové vody budú vsakované v blízkosti objektov na pozemku investora</w:t>
      </w:r>
      <w:r w:rsidRPr="004A7717">
        <w:rPr>
          <w:color w:val="FF0000"/>
        </w:rPr>
        <w:t xml:space="preserve">.  </w:t>
      </w:r>
    </w:p>
    <w:p w14:paraId="296D52F9" w14:textId="14B6A8FF" w:rsidR="00EF0A21" w:rsidRDefault="00D47E33" w:rsidP="006E2F72">
      <w:pPr>
        <w:pStyle w:val="A-Text11"/>
        <w:rPr>
          <w:szCs w:val="24"/>
        </w:rPr>
      </w:pPr>
      <w:r w:rsidRPr="00EF0A21">
        <w:rPr>
          <w:szCs w:val="24"/>
        </w:rPr>
        <w:t>Prevádzka objektu bude predstavovať zdroj znečisťovania ovzdušia.</w:t>
      </w:r>
      <w:r w:rsidR="003A4268">
        <w:rPr>
          <w:szCs w:val="24"/>
        </w:rPr>
        <w:t xml:space="preserve"> Vo Variante č. 1 bude zdrojom znečisťovania ovzdušia náhradný zdroj elektrickej energie. </w:t>
      </w:r>
    </w:p>
    <w:p w14:paraId="684500ED" w14:textId="70B18243" w:rsidR="00E65CA9" w:rsidRPr="003316E6" w:rsidRDefault="00E65CA9" w:rsidP="00DC00C4">
      <w:pPr>
        <w:pStyle w:val="nadpis20"/>
        <w:suppressAutoHyphens w:val="0"/>
        <w:rPr>
          <w:color w:val="000000" w:themeColor="text1"/>
          <w:lang w:eastAsia="en-US"/>
        </w:rPr>
      </w:pPr>
      <w:r w:rsidRPr="003316E6">
        <w:rPr>
          <w:color w:val="000000" w:themeColor="text1"/>
          <w:lang w:eastAsia="en-US"/>
        </w:rPr>
        <w:t>Vplyvy na povrchovú a podzemnú vodu</w:t>
      </w:r>
      <w:bookmarkEnd w:id="313"/>
    </w:p>
    <w:p w14:paraId="39221F69" w14:textId="77777777" w:rsidR="002C0087" w:rsidRPr="003316E6" w:rsidRDefault="002C0087" w:rsidP="006E2F72">
      <w:pPr>
        <w:pStyle w:val="A-Text11"/>
      </w:pPr>
      <w:bookmarkStart w:id="314" w:name="_Toc501123976"/>
      <w:r w:rsidRPr="003316E6">
        <w:t xml:space="preserve">Výstavba nepočíta s manipuláciou s látkami škodiacimi vodám. Kvalita podzemných vôd nebude priamo ovplyvnená. Negatívne ovplyvnenie kvality podzemných vôd môže byť len pri neopatrnej manipulácii s pohonnými hmotami, alebo mazadlami pri údržbe mechanizmov.  Najväčším rizikom je priamy únik pohonných hmôt – nafty. </w:t>
      </w:r>
    </w:p>
    <w:p w14:paraId="6D1BE160" w14:textId="77777777" w:rsidR="002C0087" w:rsidRPr="003316E6" w:rsidRDefault="002C0087" w:rsidP="006E2F72">
      <w:pPr>
        <w:pStyle w:val="A-Text11"/>
      </w:pPr>
      <w:r w:rsidRPr="003316E6">
        <w:t xml:space="preserve">Z hľadiska vodných zdrojov realizácia zámeru nepredpokladá výraznejšie zásahy do kvalitatívnych ani kvantitatívnych parametrov. Predmetné územie sa nenachádza v území </w:t>
      </w:r>
      <w:r w:rsidRPr="003316E6">
        <w:lastRenderedPageBreak/>
        <w:t xml:space="preserve">významných zdrojov podzemných vôd. Pri zakladaní stavieb v predmetnej lokalite sa v technickom riešení uvažuje, že stavba nezasiahne hladinu podzemnej vody  a sú navrhnuté opatrenia na zamedzenie negatívneho ovplyvnenia kvality podzemných vôd.       </w:t>
      </w:r>
    </w:p>
    <w:p w14:paraId="61A1FEBC" w14:textId="77777777" w:rsidR="002C0087" w:rsidRPr="003316E6" w:rsidRDefault="002C0087" w:rsidP="006E2F72">
      <w:pPr>
        <w:pStyle w:val="A-Text11"/>
      </w:pPr>
      <w:r w:rsidRPr="003316E6">
        <w:t xml:space="preserve">Na zásobovanie vodou bude používaná voda z verejného vodovodu. Odvod splaškových a vôd z povrchového odtoku (dažďových vôd) bude zabezpečený do kanalizačného systému. </w:t>
      </w:r>
    </w:p>
    <w:p w14:paraId="1EB64AA4" w14:textId="77777777" w:rsidR="002C0087" w:rsidRPr="003316E6" w:rsidRDefault="002C0087" w:rsidP="006E2F72">
      <w:pPr>
        <w:pStyle w:val="A-Text11"/>
        <w:rPr>
          <w:iCs/>
        </w:rPr>
      </w:pPr>
      <w:r w:rsidRPr="003316E6">
        <w:t xml:space="preserve">Možný sprostredkovaný vplyv na kvalitu vôd je prostredníctvom odpadových vôd, ktoré  budú vznikať v súvislosti s hygienickými potrebami obyvateľov a návštevníkov a odtok vody z povrchového odtoku. </w:t>
      </w:r>
      <w:r w:rsidRPr="003316E6">
        <w:rPr>
          <w:iCs/>
        </w:rPr>
        <w:t>V areáli bude vybudovaná kanalizácia, ktorá bezpečne odvedie vody z povrchového odtoku  a splaškové vody tak, že tieto nesmú predstavovať nebezpečie zhoršenia kvality povrchových a podzemných vôd.</w:t>
      </w:r>
    </w:p>
    <w:p w14:paraId="525A2EF9" w14:textId="77777777" w:rsidR="002C0087" w:rsidRPr="0044542A" w:rsidRDefault="002C0087" w:rsidP="006E2F72">
      <w:pPr>
        <w:pStyle w:val="A-Text11"/>
      </w:pPr>
      <w:r w:rsidRPr="0044542A">
        <w:t xml:space="preserve">Vypúšťanie splaškových odpadových vôd bude do verejnej kanalizácie a následne čistené v čistiarni odpadových vôd.  </w:t>
      </w:r>
    </w:p>
    <w:p w14:paraId="31D763B5" w14:textId="1D60DA68" w:rsidR="006145FF" w:rsidRPr="0044542A" w:rsidRDefault="006145FF" w:rsidP="006E2F72">
      <w:pPr>
        <w:pStyle w:val="A-Text11"/>
      </w:pPr>
      <w:r w:rsidRPr="0044542A">
        <w:t>Snahou je vody z povrchového odtoku zadržiavať v území.</w:t>
      </w:r>
      <w:r w:rsidR="00156992" w:rsidRPr="0044542A">
        <w:t xml:space="preserve"> </w:t>
      </w:r>
      <w:r w:rsidR="0044542A" w:rsidRPr="0044542A">
        <w:t>Podrobnejší opis viď kapitola II.8.2.</w:t>
      </w:r>
    </w:p>
    <w:p w14:paraId="187C405D" w14:textId="77777777" w:rsidR="00E65CA9" w:rsidRPr="0044542A" w:rsidRDefault="00E65CA9" w:rsidP="0043262F">
      <w:pPr>
        <w:pStyle w:val="nadpis20"/>
        <w:suppressAutoHyphens w:val="0"/>
        <w:rPr>
          <w:lang w:eastAsia="en-US"/>
        </w:rPr>
      </w:pPr>
      <w:r w:rsidRPr="0044542A">
        <w:rPr>
          <w:lang w:eastAsia="en-US"/>
        </w:rPr>
        <w:t>Vplyvy  na  pôdu</w:t>
      </w:r>
      <w:bookmarkEnd w:id="314"/>
    </w:p>
    <w:p w14:paraId="71BDEB5A" w14:textId="77777777" w:rsidR="00E65CA9" w:rsidRPr="008B43EC" w:rsidRDefault="00E65CA9" w:rsidP="006E2F72">
      <w:pPr>
        <w:pStyle w:val="A-Text11"/>
      </w:pPr>
      <w:r w:rsidRPr="008B43EC">
        <w:t>Výstavba si nevyžiada záber pôdy. Vlastná prevádzka  nebude mať  ďalšie vplyvy na pôdu.</w:t>
      </w:r>
    </w:p>
    <w:p w14:paraId="1DFAC50C" w14:textId="77777777" w:rsidR="00E65CA9" w:rsidRPr="008B43EC" w:rsidRDefault="00E65CA9" w:rsidP="0043262F">
      <w:pPr>
        <w:pStyle w:val="nadpis20"/>
        <w:suppressAutoHyphens w:val="0"/>
        <w:rPr>
          <w:szCs w:val="22"/>
          <w:lang w:eastAsia="en-US"/>
        </w:rPr>
      </w:pPr>
      <w:bookmarkStart w:id="315" w:name="_Toc501123977"/>
      <w:r w:rsidRPr="008B43EC">
        <w:rPr>
          <w:szCs w:val="22"/>
          <w:lang w:eastAsia="en-US"/>
        </w:rPr>
        <w:t>Vplyv na genofond a biodiverzitu</w:t>
      </w:r>
      <w:bookmarkEnd w:id="315"/>
    </w:p>
    <w:p w14:paraId="364A089E" w14:textId="77777777" w:rsidR="001C5CC9" w:rsidRPr="001C5CC9" w:rsidRDefault="001C5CC9" w:rsidP="006E2F72">
      <w:pPr>
        <w:pStyle w:val="A-Text11"/>
      </w:pPr>
      <w:bookmarkStart w:id="316" w:name="_Toc428874574"/>
      <w:bookmarkStart w:id="317" w:name="_Toc501123978"/>
      <w:bookmarkStart w:id="318" w:name="_Toc40254494"/>
      <w:bookmarkStart w:id="319" w:name="_Toc501123981"/>
      <w:r w:rsidRPr="008B43EC">
        <w:t xml:space="preserve">Posudzované územie leží v človekom intenzívne využívanej krajine v dotyku s existujúcimi významnými </w:t>
      </w:r>
      <w:r w:rsidRPr="001C5CC9">
        <w:t>komunikačnými koridormi. Pôvodná vegetácia záujmového územia bola zmenená už v minulosti v prospech človekom vytvorenej parkovej alebo ruderálnej vegetácie a tento trend vývoja je tu aj v súčasnosti. Možno predpokladať, že po výstavbe navrhovaných objektov v území dominanciu prevezmú parkovo upravené plochy s vysiatymi trávnikmi a drevinovou – stromovou alebo krovitou – vegetáciou.</w:t>
      </w:r>
    </w:p>
    <w:p w14:paraId="51395889" w14:textId="3EB7D56B" w:rsidR="001C5CC9" w:rsidRPr="001C5CC9" w:rsidRDefault="001C5CC9" w:rsidP="006E2F72">
      <w:pPr>
        <w:pStyle w:val="A-Text11"/>
      </w:pPr>
      <w:r w:rsidRPr="001C5CC9">
        <w:t xml:space="preserve">V riešenom území sa nachádzajú existujúce dreviny. Vzhľadom na rozsah výstavby nie je možné zachovanie </w:t>
      </w:r>
      <w:r w:rsidR="003F3158">
        <w:t xml:space="preserve">všetkých </w:t>
      </w:r>
      <w:r w:rsidRPr="001C5CC9">
        <w:t>existujúcich drevín. Náhradná výsadba za odstránené dreviny bude realizovaná v riešenom území v súlade so zákonom č. 543/2002 Z.z. o ochrane prírody a krajiny, vykonávacej vyhlášky MŽP č. 170/2021 Z.z. v aktuálnom znení a príslušných rozhodnutí správnych orgánov k výrubu drevín a stanoveným záväzným podmienkam náhradnej výsadby. Po ukončení výstavby bude pozemok upravený a dotvorený atraktívnymi sadovými úpravami verejnej zelene a drobnou architektúrou.</w:t>
      </w:r>
    </w:p>
    <w:p w14:paraId="20065005" w14:textId="77777777" w:rsidR="001C5CC9" w:rsidRPr="001C5CC9" w:rsidRDefault="001C5CC9" w:rsidP="006E2F72">
      <w:pPr>
        <w:pStyle w:val="A-Text11"/>
      </w:pPr>
      <w:r w:rsidRPr="001C5CC9">
        <w:t>Návrh zelene rešpektuje reguláciu územia podľa ÚPN hlavného mesta SR Bratislavy. V zmysle tejto regulácie je na všetkých rozvojových plochách územia zabezpečený minimálny podiel zelene na rastlom teréne s cieľom vytvorenia kvalitného mestského prostredia zodpovedajúceho významu lokality.</w:t>
      </w:r>
    </w:p>
    <w:p w14:paraId="2D3897E6" w14:textId="77777777" w:rsidR="001C5CC9" w:rsidRPr="001C5CC9" w:rsidRDefault="001C5CC9" w:rsidP="006E2F72">
      <w:pPr>
        <w:pStyle w:val="A-Text11"/>
      </w:pPr>
      <w:r w:rsidRPr="001C5CC9">
        <w:t>Vplyv realizácie navrhovanej činnosti na faunu, flóru a biotopy (resp. vplyvy na genofond a biodiverzitu) územia sa nebude prejavovať ani v etape počas prevádzky, resp. budú tu pôsobiť len vplyvy, ktoré sú tu už aj v súčasnosti spôsobené okolitými stavbami a cestnými komunikáciami. Je to hlavne efekt  zastavaného územia a bariérový efekt územia.</w:t>
      </w:r>
    </w:p>
    <w:p w14:paraId="6F28225A" w14:textId="77777777" w:rsidR="001C5CC9" w:rsidRPr="001C5CC9" w:rsidRDefault="001C5CC9" w:rsidP="006E2F72">
      <w:pPr>
        <w:pStyle w:val="A-Text11"/>
      </w:pPr>
      <w:r w:rsidRPr="001C5CC9">
        <w:t xml:space="preserve">Medzi najvýznamnejšie zásahy a vplyvy na flóru a faunu sledovaného územia počas prevádzky môžeme považovať trvalú zmenu podmienok pre existenciu druhov – zastavaním územia a plánovanými parkovými úpravami sa podstatne zmenia podmienky pre existenciu </w:t>
      </w:r>
      <w:r w:rsidRPr="001C5CC9">
        <w:lastRenderedPageBreak/>
        <w:t>pôvodných rastlinných druhov a pôvodných biotopov územia. Väčšinu týchto vplyvov v etape prevádzky vzhľadom na živočíchov možno považovať za nepriame, len menšiu časť za priame.</w:t>
      </w:r>
    </w:p>
    <w:p w14:paraId="71BAC1B1" w14:textId="77777777" w:rsidR="001C5CC9" w:rsidRPr="001C5CC9" w:rsidRDefault="001C5CC9" w:rsidP="006E2F72">
      <w:pPr>
        <w:pStyle w:val="A-Text11"/>
      </w:pPr>
      <w:r w:rsidRPr="001C5CC9">
        <w:t>Rovnako ako pre etapu výstavby vzhľadom na významné biotopy, flóru a faunu širšieho okolia sledovaného územia platí, že realizácia zámeru nebude mať žiadny podstatný vplyv na tieto zložky prírodného prostredia. Celková biodiverzita širšieho okolia sledovaného územia, hlavne na lokalitách chránených území, genofondových plôch a pod., ani v etape prevádzky nebude priamo negatívne ovplyvnená. Vzhľadom na dostatočnú priestorovú vzdialenosť významných prírodných ekosystémov od lokality zámeru nie je predpoklad priameho negatívneho ovplyvnenia genofondu a biodiverzity širšieho záujmového územia.</w:t>
      </w:r>
    </w:p>
    <w:p w14:paraId="0150A669" w14:textId="1FFC2B8F" w:rsidR="0043262F" w:rsidRPr="001C5CC9" w:rsidRDefault="0043262F" w:rsidP="0043262F">
      <w:pPr>
        <w:pStyle w:val="nadpis20"/>
        <w:suppressAutoHyphens w:val="0"/>
        <w:rPr>
          <w:lang w:eastAsia="en-US"/>
        </w:rPr>
      </w:pPr>
      <w:r w:rsidRPr="001C5CC9">
        <w:rPr>
          <w:lang w:eastAsia="en-US"/>
        </w:rPr>
        <w:t>Vplyvy na krajinu</w:t>
      </w:r>
      <w:bookmarkEnd w:id="316"/>
      <w:bookmarkEnd w:id="317"/>
      <w:bookmarkEnd w:id="318"/>
    </w:p>
    <w:p w14:paraId="75FB7060" w14:textId="77777777" w:rsidR="001C5CC9" w:rsidRPr="001C5CC9" w:rsidRDefault="001C5CC9" w:rsidP="006E2F72">
      <w:pPr>
        <w:pStyle w:val="A-Text11"/>
      </w:pPr>
      <w:r w:rsidRPr="001C5CC9">
        <w:t>Súčasná štruktúra krajiny záujmového územia predstavuje silne antropogénne pozmenenú urbánnu krajinu. Novým charakterom využitia územia sa podstatným spôsobom nezmení charakter lokality. Navrhovaným zámerom sa síce lokalita bude odlišovať od súčasného stavu charakterom a umiestnením zastavaných plôch, rozsahom parkovania a predpokladanou frekvenciou dopravy, no tieto zmeny nebudú pôsobiť v dotknutom mestskom prostredí ako nové vplyvy v porovnaním s tými, aké tu pôsobia už dnes.</w:t>
      </w:r>
    </w:p>
    <w:p w14:paraId="6DE624A9" w14:textId="5362FA68" w:rsidR="006E2F72" w:rsidRPr="001C5CC9" w:rsidRDefault="001C5CC9" w:rsidP="006E2F72">
      <w:pPr>
        <w:pStyle w:val="A-Text11"/>
        <w:rPr>
          <w:iCs/>
        </w:rPr>
      </w:pPr>
      <w:r w:rsidRPr="001C5CC9">
        <w:t xml:space="preserve">Realizácia zámeru nebude mať negatívny vplyv na štruktúru krajiny. Výstavba objektov doplní súčasný charakter lokality. Budú rešpektované všetky stanovené limity stavby. V konečnom dôsledku novostavba s vhodnou vegetačnou úpravou okolitého terénu bude pozitívnym prínosom v mestskom prostredí z hľadiska estetického a krajinotvorného. </w:t>
      </w:r>
      <w:r w:rsidRPr="001C5CC9">
        <w:rPr>
          <w:iCs/>
        </w:rPr>
        <w:t>Vytvorenie systému verejných priestorov a ich zelene v riešenom území nadviaže na systém verejných priestorov širšieho územia a verejných priestorov a zeleň susediaceho územia.</w:t>
      </w:r>
    </w:p>
    <w:p w14:paraId="06EA8C95" w14:textId="77777777" w:rsidR="00E65CA9" w:rsidRPr="00855032" w:rsidRDefault="00E65CA9" w:rsidP="008C6F96">
      <w:pPr>
        <w:pStyle w:val="Nadpis2"/>
      </w:pPr>
      <w:bookmarkStart w:id="320" w:name="_Toc132078717"/>
      <w:bookmarkEnd w:id="319"/>
      <w:r w:rsidRPr="00855032">
        <w:t xml:space="preserve">   </w:t>
      </w:r>
      <w:bookmarkStart w:id="321" w:name="_Toc495992984"/>
      <w:bookmarkStart w:id="322" w:name="_Toc93916845"/>
      <w:r w:rsidRPr="00855032">
        <w:t>Hodnotenie zdravotných rizík</w:t>
      </w:r>
      <w:bookmarkEnd w:id="320"/>
      <w:bookmarkEnd w:id="321"/>
      <w:bookmarkEnd w:id="322"/>
    </w:p>
    <w:p w14:paraId="6F1FD18B" w14:textId="46B2BF2A" w:rsidR="00E65CA9" w:rsidRPr="004A7717" w:rsidRDefault="00E65CA9" w:rsidP="008C6F96">
      <w:pPr>
        <w:pStyle w:val="3rovenadpis"/>
      </w:pPr>
      <w:bookmarkStart w:id="323" w:name="_Toc132078718"/>
      <w:bookmarkStart w:id="324" w:name="_Toc495992985"/>
      <w:bookmarkStart w:id="325" w:name="_Toc93916846"/>
      <w:r w:rsidRPr="004A7717">
        <w:t>Riziká počas výstavby</w:t>
      </w:r>
      <w:bookmarkEnd w:id="323"/>
      <w:bookmarkEnd w:id="324"/>
      <w:bookmarkEnd w:id="325"/>
    </w:p>
    <w:p w14:paraId="32B6C226" w14:textId="77777777" w:rsidR="001217CA" w:rsidRPr="00D62969" w:rsidRDefault="001217CA" w:rsidP="00855032">
      <w:pPr>
        <w:pStyle w:val="A-Text11"/>
      </w:pPr>
      <w:r w:rsidRPr="00D62969">
        <w:t xml:space="preserve">Realizácia navrhovanej činnosti </w:t>
      </w:r>
      <w:r w:rsidRPr="00D62969">
        <w:rPr>
          <w:b/>
          <w:bCs/>
          <w:i/>
          <w:iCs/>
        </w:rPr>
        <w:t>v navrhovaných variantoch</w:t>
      </w:r>
      <w:r w:rsidRPr="00D62969">
        <w:t xml:space="preserve">  sa bude riadiť predovšetkým stavebnými a technologickými predpismi a normami. Riziká počas výstavby vyplývajú  z charakteru práce – stavebné práce, výškové práce, práca s plynovými, elektrickými zariadeniami, stavebnými a dopravnými mechanizmami. V tomto smere sú riziká obdobné ako pri každej stavebnej činnosti. </w:t>
      </w:r>
    </w:p>
    <w:p w14:paraId="28430100" w14:textId="77777777" w:rsidR="001217CA" w:rsidRPr="00D62969" w:rsidRDefault="001217CA" w:rsidP="00855032">
      <w:pPr>
        <w:pStyle w:val="A-Text11"/>
      </w:pPr>
      <w:r w:rsidRPr="00D62969">
        <w:t>V etape výstavby bude v priestore stavby zvýšený pohyb stavebných mechanizmov. Preto k čiastočnému narušeniu pohody a kvality života príde v etape realizácie najmä hlukom, prachom a emisiami z dopravy. Toto narušenie bude len lokálne - dopravné trasy, stavenisko. Tento dopad nebude mať významný vplyv na zdravotný stav obyvateľov.</w:t>
      </w:r>
    </w:p>
    <w:p w14:paraId="2D8A24A2" w14:textId="77777777" w:rsidR="001217CA" w:rsidRPr="00D62969" w:rsidRDefault="001217CA" w:rsidP="00855032">
      <w:pPr>
        <w:pStyle w:val="A-Text11"/>
      </w:pPr>
      <w:r w:rsidRPr="00D62969">
        <w:t xml:space="preserve">Priame  zdravotné riziká vznikajú v etape výstavby len v súvislosti s vlastnou stavebnou činnosťou. Jedná sa predovšetkým o nebezpečenstvo úrazu pri doprave a manipulácii s materiálom, pri stavebných, najmä výškových prácach, pri práci s elektrickými zariadeniami, a pod. Tieto riziká je možné eliminovať len pracovnou disciplínou a dodržiavaním zásad ochrany zdravia pri práci. Vzhľadom k tomu, že realizácia investičného zámeru bude len vo vyhradenom priestore, nemôžu vzniknúť reálne zdravotné riziká ani iné dôsledky na obyvateľstvo.    </w:t>
      </w:r>
    </w:p>
    <w:p w14:paraId="27AC2735" w14:textId="67220A12" w:rsidR="001217CA" w:rsidRPr="006724F7" w:rsidRDefault="001217CA" w:rsidP="00855032">
      <w:pPr>
        <w:pStyle w:val="A-Text11"/>
      </w:pPr>
      <w:r w:rsidRPr="006724F7">
        <w:t>Pri prevádzke, údržbe a oprave zariadení a rozvodov je potrebné dodržať ustanovenia príslušných noriem a bezpečnostných predpisov a vyhlášok pre rozvody jednotlivých médií.</w:t>
      </w:r>
    </w:p>
    <w:p w14:paraId="5CF9BDD7" w14:textId="77777777" w:rsidR="006724F7" w:rsidRPr="006724F7" w:rsidRDefault="006724F7" w:rsidP="00AA31A9">
      <w:pPr>
        <w:pStyle w:val="A-Text11"/>
      </w:pPr>
    </w:p>
    <w:p w14:paraId="31C36364" w14:textId="5C164248" w:rsidR="00AA31A9" w:rsidRPr="006724F7" w:rsidRDefault="00AA31A9" w:rsidP="00AA31A9">
      <w:pPr>
        <w:pStyle w:val="A-Text11"/>
      </w:pPr>
      <w:r w:rsidRPr="006724F7">
        <w:t>Počas stavebných prác je vybraný dodávateľ resp. zúčastnení dodávatelia povinní rešpektovať a dodržiavať i podmienky obsiahnuté:</w:t>
      </w:r>
    </w:p>
    <w:p w14:paraId="2FC8BB09" w14:textId="77777777" w:rsidR="00AA31A9" w:rsidRPr="006724F7" w:rsidRDefault="00AA31A9" w:rsidP="00AA31A9">
      <w:pPr>
        <w:pStyle w:val="A-Text11"/>
      </w:pPr>
      <w:r w:rsidRPr="006724F7">
        <w:t xml:space="preserve">- v Zákone NR SR č.  124/2006 Z. z.  o bezpečnosti a ochrane zdravia pri práci  a o zmene  a doplnení niektorých zákonov, </w:t>
      </w:r>
    </w:p>
    <w:p w14:paraId="42BC1B97" w14:textId="77777777" w:rsidR="00AA31A9" w:rsidRPr="006724F7" w:rsidRDefault="00AA31A9" w:rsidP="00AA31A9">
      <w:pPr>
        <w:pStyle w:val="A-Text11"/>
      </w:pPr>
      <w:r w:rsidRPr="006724F7">
        <w:t>- vyhlášky MPSVR Z.z, 147/2013 Z.z., ktorou sa ustanovujú podrobnosti na zaistenie bezpečnosti a ochrany zdravia pri stavebných prácach a prácach s nimi súvisiacich a podrobnosti o odbornej spôsobilosti na výkon niektorých pracovných činností</w:t>
      </w:r>
    </w:p>
    <w:p w14:paraId="457B4918" w14:textId="2189EA10" w:rsidR="00AA31A9" w:rsidRPr="006724F7" w:rsidRDefault="00AA31A9" w:rsidP="00AA31A9">
      <w:pPr>
        <w:pStyle w:val="A-Text11"/>
      </w:pPr>
      <w:r w:rsidRPr="006724F7">
        <w:t>- nariadenia vlády SR č. 396/2006 Z.z. o minimálnych bezpečnostných a zdravotných požiadavkách na stavenisko</w:t>
      </w:r>
      <w:r w:rsidR="008E7688">
        <w:t>-</w:t>
      </w:r>
    </w:p>
    <w:p w14:paraId="15D0CF50" w14:textId="6DFD516C" w:rsidR="00AA31A9" w:rsidRPr="004A7717" w:rsidRDefault="00AA31A9" w:rsidP="00855032">
      <w:pPr>
        <w:pStyle w:val="A-Text11"/>
        <w:rPr>
          <w:color w:val="FF0000"/>
        </w:rPr>
      </w:pPr>
      <w:r w:rsidRPr="006724F7">
        <w:t>Stavebník zabezpečí potrebné opatrenia.  Stavebník je povinný zabezpečiť zneškodnenie odpadu vzniknutého v súvislosti s realizáciou stavby v zmysle zákona č. 79/2015 Z.z. o odpadoch v znení neskorších predpisov. Všetky stavebné procesy budú realizované štandardným spôsobom pri dodržaní normových a technologických postupov a predpisov.</w:t>
      </w:r>
    </w:p>
    <w:p w14:paraId="1268D341" w14:textId="73C5E953" w:rsidR="00E65CA9" w:rsidRPr="004A7717" w:rsidRDefault="00E65CA9" w:rsidP="008C6F96">
      <w:pPr>
        <w:pStyle w:val="3rovenadpis"/>
      </w:pPr>
      <w:bookmarkStart w:id="326" w:name="_Toc132078719"/>
      <w:bookmarkStart w:id="327" w:name="_Toc495992986"/>
      <w:bookmarkStart w:id="328" w:name="_Toc93916847"/>
      <w:r w:rsidRPr="004A7717">
        <w:t>Riziká počas prevádzky</w:t>
      </w:r>
      <w:bookmarkEnd w:id="326"/>
      <w:bookmarkEnd w:id="327"/>
      <w:bookmarkEnd w:id="328"/>
    </w:p>
    <w:p w14:paraId="5A7D2487" w14:textId="77777777" w:rsidR="001217CA" w:rsidRPr="00D62969" w:rsidRDefault="001217CA" w:rsidP="00855032">
      <w:pPr>
        <w:pStyle w:val="A-Text11"/>
      </w:pPr>
      <w:bookmarkStart w:id="329" w:name="_Toc132078722"/>
      <w:r w:rsidRPr="00D62969">
        <w:t xml:space="preserve">Pri posudzovaní rizík vyplývajúcich z prevádzky treba analyzovať bezpečnostný systém prevádzky. Z neho vyplýva riziko dlhodobého vypadnutia elektrického prúdu, dlhodobého vypadnutia prívodu energetického zdroja. Je to však riziko minimálne a z hľadiska vplyvov na životné prostredie  krátkodobé a zanedbateľné. </w:t>
      </w:r>
    </w:p>
    <w:p w14:paraId="0DEF2690" w14:textId="77777777" w:rsidR="001217CA" w:rsidRPr="00D62969" w:rsidRDefault="001217CA" w:rsidP="00855032">
      <w:pPr>
        <w:pStyle w:val="A-Text11"/>
      </w:pPr>
      <w:r w:rsidRPr="00D62969">
        <w:t>Navrhovateľ zámeru neplánuje využitie parkoviska pre odstavenie vozidiel dopravujúce znečisťujúce látky, jedy, chemikálie, výbušniny, resp. iné látky s nebezpečnými, alebo rizikovými vlastnosťami. Touto skutočnosťou sa riziko havárií výrazne znižuje. Možným rizikom znečistenia je tiež znečistenie pôdy  únikom ropných látok z automobilov. Tento scenár je minimalizovaný technickými opatreniami.</w:t>
      </w:r>
    </w:p>
    <w:p w14:paraId="2AA71BC9" w14:textId="77777777" w:rsidR="001217CA" w:rsidRPr="00D62969" w:rsidRDefault="001217CA" w:rsidP="00855032">
      <w:pPr>
        <w:pStyle w:val="A-Text11"/>
      </w:pPr>
      <w:r w:rsidRPr="00D62969">
        <w:t xml:space="preserve">Priame zdravotné riziká počas prevádzky budú znášať len  pracovníci obsluhy zariadení. Riziká sú spojené s prevádzkou vlastných zariadení. Vzhľadom na charakter činnosti a na podmienku plnenia prísnych hygienických predpisov riziká sú minimálne. Všetky používané  zariadenia musia byť ale konštruované tak, aby nemohlo prísť k priamemu ohrozeniu života, alebo zdravia pracovníkov.     </w:t>
      </w:r>
    </w:p>
    <w:p w14:paraId="67E1ADB5" w14:textId="77777777" w:rsidR="001217CA" w:rsidRPr="00D62969" w:rsidRDefault="001217CA" w:rsidP="00855032">
      <w:pPr>
        <w:pStyle w:val="A-Text11"/>
      </w:pPr>
      <w:r w:rsidRPr="00D62969">
        <w:t>S poruchami zariadení a havarijnými stavmi nie sú spojené prípadné zdravotné  riziká, ktoré by znášali obyvatelia. S týmito rizikami sa počíta už pri konštrukcii zariadení.  Súčasné požiadavky na zariadenia sú také, že systémy na vznik havarijného stavu spojeného s poruchou na vlastnom technickom zariadení alebo na prívodoch  reagujú  automaticky.</w:t>
      </w:r>
    </w:p>
    <w:p w14:paraId="57D1E1BA" w14:textId="07EBCE4C" w:rsidR="001217CA" w:rsidRPr="00D62969" w:rsidRDefault="001217CA" w:rsidP="00855032">
      <w:pPr>
        <w:pStyle w:val="A-Text11"/>
      </w:pPr>
      <w:r w:rsidRPr="00D62969">
        <w:t xml:space="preserve">Vzhľadom na charakter činnosti, pracovné postupy a materiálové vstupy a výstupy z činnosti negatívny dopad na obyvateľov nemôže nastať ani pri manipulácii a preprave odpadu. Nakladanie s odpadmi v celom procese bude smerovať k tomu, aby z prepravy, skladovania, úpravy a vlastného zneškodňovania odpadov, nevznikli účinky ktoré by mohli narušiť pohodu a kvalitu života obyvateľov. </w:t>
      </w:r>
    </w:p>
    <w:p w14:paraId="29CD88C5" w14:textId="77777777" w:rsidR="001217CA" w:rsidRPr="00D62969" w:rsidRDefault="001217CA" w:rsidP="00855032">
      <w:pPr>
        <w:pStyle w:val="A-Text11"/>
      </w:pPr>
      <w:r w:rsidRPr="00D62969">
        <w:t xml:space="preserve">Zdravotné riziko s možným širším záberom nie je reálne. </w:t>
      </w:r>
    </w:p>
    <w:p w14:paraId="12C24DB0" w14:textId="77777777" w:rsidR="00DD79CB" w:rsidRPr="00D62969" w:rsidRDefault="001217CA" w:rsidP="00855032">
      <w:pPr>
        <w:pStyle w:val="A-Text11"/>
      </w:pPr>
      <w:r w:rsidRPr="00D62969">
        <w:t xml:space="preserve">Priamo vlastná prevádzka  nesmie narušiť  pohodu a kvalitu života obyvateľov hlukom. Hygienické  požiadavky stanovuje orgán na ochranu zdravia. Najvyššie prípustné ekvivalentné </w:t>
      </w:r>
      <w:r w:rsidRPr="00D62969">
        <w:lastRenderedPageBreak/>
        <w:t>hladiny A hluku vo vonkajších priestoroch budú dodržané podľa Vyhlášky MZ SR č. 549/2007 Z.z.  o ochrane zdravia pred hlukom a vibráciami.</w:t>
      </w:r>
    </w:p>
    <w:p w14:paraId="20B52430" w14:textId="2E5070B6" w:rsidR="00F81995" w:rsidRPr="00D62969" w:rsidRDefault="001217CA" w:rsidP="00354563">
      <w:pPr>
        <w:spacing w:before="120"/>
        <w:jc w:val="both"/>
        <w:rPr>
          <w:rFonts w:ascii="Arial" w:hAnsi="Arial" w:cs="Arial"/>
          <w:sz w:val="22"/>
        </w:rPr>
      </w:pPr>
      <w:r w:rsidRPr="00D62969">
        <w:rPr>
          <w:rFonts w:ascii="Arial" w:hAnsi="Arial" w:cs="Arial"/>
          <w:sz w:val="22"/>
        </w:rPr>
        <w:t xml:space="preserve"> </w:t>
      </w:r>
    </w:p>
    <w:p w14:paraId="58465554" w14:textId="77777777" w:rsidR="00E65CA9" w:rsidRPr="004A7717" w:rsidRDefault="00E65CA9" w:rsidP="008C6F96">
      <w:pPr>
        <w:pStyle w:val="Nadpis2"/>
      </w:pPr>
      <w:bookmarkStart w:id="330" w:name="_Toc450406272"/>
      <w:bookmarkStart w:id="331" w:name="_Toc488344007"/>
      <w:bookmarkStart w:id="332" w:name="_Toc495992987"/>
      <w:bookmarkStart w:id="333" w:name="_Toc93916848"/>
      <w:bookmarkStart w:id="334" w:name="_Toc132078723"/>
      <w:bookmarkEnd w:id="329"/>
      <w:r w:rsidRPr="004A7717">
        <w:t>Údaje o predpokladaných vplyvoch navrhovanej činnosti na biodiverzitu a chránené územia</w:t>
      </w:r>
      <w:bookmarkEnd w:id="330"/>
      <w:bookmarkEnd w:id="331"/>
      <w:bookmarkEnd w:id="332"/>
      <w:bookmarkEnd w:id="333"/>
    </w:p>
    <w:p w14:paraId="36B43368" w14:textId="77777777" w:rsidR="00EE2E76" w:rsidRPr="00B44E22" w:rsidRDefault="00EE2E76" w:rsidP="00D449FA">
      <w:pPr>
        <w:pStyle w:val="A-Text11"/>
      </w:pPr>
      <w:r w:rsidRPr="00B44E22">
        <w:rPr>
          <w:u w:val="single"/>
        </w:rPr>
        <w:t>Biodiverzita</w:t>
      </w:r>
      <w:r w:rsidRPr="00B44E22">
        <w:t xml:space="preserve"> alebo biologická diverzita je rozmanitosť živočíšnych alebo rastlinných druhov. Ovplyvňuje ju nadmorská výška, klíma, reliéf, dostupnosť vody, horninové podložie ale aj zásahy človeka. Biologická diverzita predstavuje rôznosť života. Existuje mnoho definícií biodiverzity. Svetový fond ochrany prírody definoval v roku 1989 biodiverzitu ako „bohatstvo života na Zemi, milióny rastlín, živočíchov a mikroorganizmov, vrátane génov, ktoré obsahujú a zložité ekosystémy, ktoré vytvárajú životné prostredie“.</w:t>
      </w:r>
    </w:p>
    <w:p w14:paraId="3A24F86B" w14:textId="77777777" w:rsidR="00EE2E76" w:rsidRPr="00B44E22" w:rsidRDefault="00EE2E76" w:rsidP="00D449FA">
      <w:pPr>
        <w:pStyle w:val="A-Text11"/>
      </w:pPr>
      <w:r w:rsidRPr="00B44E22">
        <w:t xml:space="preserve">Realizácia </w:t>
      </w:r>
      <w:r w:rsidRPr="00B44E22">
        <w:rPr>
          <w:iCs/>
          <w:szCs w:val="24"/>
        </w:rPr>
        <w:t>navrhovanej činnosti</w:t>
      </w:r>
      <w:r w:rsidRPr="00B44E22">
        <w:t xml:space="preserve"> nebude mať priamy vplyv na genofond a biodiverzitu územia. Dôjde k záberu plôch, ktoré v súčasnosti z hľadiska biodiverzity nemajú podstatný význam. Zabraté budú len plochy ruderálnej vegetácie, ktorá nepatrí k významným biotopom. Nie je predpoklad ani priameho či nepriameho negatívneho ovplyvnenia genofondu a biodiverzity širšieho záujmového územia.</w:t>
      </w:r>
    </w:p>
    <w:p w14:paraId="375B0055" w14:textId="77777777" w:rsidR="00EE2E76" w:rsidRPr="00B44E22" w:rsidRDefault="00EE2E76" w:rsidP="00D449FA">
      <w:pPr>
        <w:pStyle w:val="A-Text11"/>
      </w:pPr>
      <w:r w:rsidRPr="00B44E22">
        <w:t>Na priamo dotknutých plochách sa vyskytujú druhy flóry, ktoré sú bežne zastúpené na podobných stanovištiach na území celého mesta. Tieto druhy produkujú dostatočné množstvo semien, alebo sa rýchle dokážu šíriť aj vegetatívne a svoje „straty“ dokážu rýchle nahradiť. Vzácne alebo ohrozené druhy sa na dotknutých plochách nevyskytujú.</w:t>
      </w:r>
    </w:p>
    <w:p w14:paraId="39288017" w14:textId="77777777" w:rsidR="00EE2E76" w:rsidRPr="00B44E22" w:rsidRDefault="00EE2E76" w:rsidP="00D449FA">
      <w:pPr>
        <w:pStyle w:val="A-Text11"/>
      </w:pPr>
      <w:r w:rsidRPr="00B44E22">
        <w:t>Rovnako to platí aj o dotknutých druhoch živočíchov. Bezstavovce, ktoré tu žijú, sa tu vyskytujú bežne a sú prispôsobené stálemu tlaku okolitých vplyvov resp. sú to dokonca druhy, ktoré sú „škodcami“ a do územia sa dostali práve činnosťou človeka alebo ich šírenie nepriamo podporuje. V území neboli zistené vzácne alebo chránené druhy, ktoré sa skôr zdržujú alebo sú viazané na prirodzené alebo prírode blízke biotopy. Stavovce, ktoré v súčasnosti obývajú dané územie, sú dostatočne mobilné, aby v prípade ohrozenia dokázali opustiť priestor (napr. vtáky) a po skončení vplyvov sa sem vrátili.</w:t>
      </w:r>
    </w:p>
    <w:p w14:paraId="61C6C992" w14:textId="77777777" w:rsidR="00EE2E76" w:rsidRPr="00B44E22" w:rsidRDefault="00EE2E76" w:rsidP="00D449FA">
      <w:pPr>
        <w:pStyle w:val="A-Text11"/>
      </w:pPr>
      <w:r w:rsidRPr="00B44E22">
        <w:t xml:space="preserve">Nepriame vplyvy sú spojené s vlastnou stavebnou činnosťou </w:t>
      </w:r>
      <w:r w:rsidRPr="00B44E22">
        <w:rPr>
          <w:iCs/>
          <w:szCs w:val="24"/>
        </w:rPr>
        <w:t>navrhovanej činnosti</w:t>
      </w:r>
      <w:r w:rsidRPr="00B44E22">
        <w:t>, predovšetkým s hlukom a prašnosťou pri stavebných prácach. Počas prevádzky sú vplyvy spojené so zvýšenou frekvenciou dopravy (hluk, emisie), so znečisťovaním ovzdušia z neenergetických zdrojov (vykurovanie objektu) so znečisťovaním vôd (splaškové a dažďové vody) a s nakladaním s odpadmi. Tieto vplyvy budú technickými opatreniami znížené do úrovne stanovenej príslušnými legislatívnymi normami.</w:t>
      </w:r>
    </w:p>
    <w:p w14:paraId="222FD05D" w14:textId="77777777" w:rsidR="00EE2E76" w:rsidRPr="00B44E22" w:rsidRDefault="00EE2E76" w:rsidP="00D449FA">
      <w:pPr>
        <w:pStyle w:val="A-Text11"/>
      </w:pPr>
      <w:r w:rsidRPr="00B44E22">
        <w:rPr>
          <w:iCs/>
          <w:szCs w:val="24"/>
        </w:rPr>
        <w:t>Navrhovaná činnosť</w:t>
      </w:r>
      <w:r w:rsidRPr="00B44E22">
        <w:t xml:space="preserve"> neovplyvní ani priamo a ani nepriamo územia, ktoré sú v záujme ochrany prírody. Všetky chránené územia a územia Natura 2000 – územia európskeho významu a chránené vtáčie územia, ako aj ostatné národne alebo medzinárodne významné lokality sa nachádzajú vo väčšej vzdialenosti od dotknutého územia – prírodne hodnotné lokality ktoré požívajú ochranu v zmysle zákona č. 543/2002 Z.z. o ochrane prírody a krajiny v znení neskorších predpisov sú </w:t>
      </w:r>
      <w:r w:rsidRPr="00B44E22">
        <w:rPr>
          <w:bCs/>
          <w:iCs/>
        </w:rPr>
        <w:t>v prípade navrhovanej činnosti</w:t>
      </w:r>
      <w:r w:rsidRPr="00B44E22">
        <w:t xml:space="preserve"> vo väčšej  vzdialenosti od lokalizácie zámeru. Realizácia zámeru chránené územia ani nepriamo významne neovplyvní.</w:t>
      </w:r>
    </w:p>
    <w:p w14:paraId="1F594FF6" w14:textId="3FEFD70B" w:rsidR="00EE2E76" w:rsidRDefault="00EE2E76" w:rsidP="00D449FA">
      <w:pPr>
        <w:pStyle w:val="A-Text11"/>
      </w:pPr>
      <w:r w:rsidRPr="00B44E22">
        <w:t>Predpokladané nepriame vplyvy na chránené územia tiež možno hodnotiť ako akceptovateľné, za podmienky dodržania legislatívnych noriem v oblasti ochrany ovzdušia, ochrany vôd, hlukovej záťaže a nakladania s odpadmi.</w:t>
      </w:r>
    </w:p>
    <w:p w14:paraId="3AC73DF9" w14:textId="14E836BB" w:rsidR="00E65CA9" w:rsidRPr="004A7717" w:rsidRDefault="00E65CA9" w:rsidP="008C6F96">
      <w:pPr>
        <w:pStyle w:val="Nadpis2"/>
      </w:pPr>
      <w:bookmarkStart w:id="335" w:name="_Toc495992988"/>
      <w:bookmarkStart w:id="336" w:name="_Toc93916849"/>
      <w:r w:rsidRPr="004A7717">
        <w:lastRenderedPageBreak/>
        <w:t>Posúdenie očakávaných vplyvov z hľadiska ich významnosti a časového priebehu pôsobenia</w:t>
      </w:r>
      <w:bookmarkEnd w:id="334"/>
      <w:bookmarkEnd w:id="335"/>
      <w:bookmarkEnd w:id="336"/>
      <w:r w:rsidRPr="004A7717">
        <w:t xml:space="preserve"> </w:t>
      </w:r>
    </w:p>
    <w:p w14:paraId="08A144C3" w14:textId="77777777" w:rsidR="00E65CA9" w:rsidRPr="004A7717" w:rsidRDefault="00E65CA9" w:rsidP="002711C7">
      <w:pPr>
        <w:pStyle w:val="A-Text11"/>
      </w:pPr>
      <w:r w:rsidRPr="004A7717">
        <w:t xml:space="preserve">Pri hodnotení významnosti vplyvu bolo použité bodové hodnotenie v rozmedzí 5 stupňovej stupnice. Z hľadiska významnosti vplyvu a z hľadiska časového pôsobenia boli vplyvy rozdelené na vplyvy v etape výstavby a vplyvy v etape prevádzky. Medzi očakávanými vplyvmi sú tie, ktoré boli hodnotené v predkladanom zámere. Pre úplnosť sú vedené  aj tie oblasti u ktorých sa predpokladá minimálny, alebo žiadny vplyv.     </w:t>
      </w:r>
    </w:p>
    <w:p w14:paraId="2DD7B55F" w14:textId="5C643ACD" w:rsidR="00E65CA9" w:rsidRPr="004A7717" w:rsidRDefault="00E65CA9" w:rsidP="002711C7">
      <w:pPr>
        <w:pStyle w:val="A-Text11"/>
      </w:pPr>
      <w:r w:rsidRPr="004A7717">
        <w:t xml:space="preserve">Hodnotenie nulového variantu vychádza zo súčasného stavu. Vzhľadom na určenie plochy územnoplánovacou dokumentáciou je však reálny predpoklad, že vývoj územia nebude nadväzovať na súčasné využitie ani v prípade, keby sa navrhovaná </w:t>
      </w:r>
      <w:r w:rsidR="006F0B2D" w:rsidRPr="004A7717">
        <w:t xml:space="preserve">zmena </w:t>
      </w:r>
      <w:r w:rsidRPr="004A7717">
        <w:t>činnos</w:t>
      </w:r>
      <w:r w:rsidR="006F0B2D" w:rsidRPr="004A7717">
        <w:t>ti</w:t>
      </w:r>
      <w:r w:rsidRPr="004A7717">
        <w:t xml:space="preserve"> nerealizovala.   </w:t>
      </w:r>
    </w:p>
    <w:p w14:paraId="4755D0C2" w14:textId="77777777" w:rsidR="00E65CA9" w:rsidRPr="004A7717" w:rsidRDefault="00E65CA9" w:rsidP="002711C7">
      <w:pPr>
        <w:pStyle w:val="A-Text11"/>
      </w:pPr>
      <w:r w:rsidRPr="004A7717">
        <w:t xml:space="preserve">Stavba bude realizovaná </w:t>
      </w:r>
      <w:r w:rsidRPr="004A7717">
        <w:rPr>
          <w:i/>
        </w:rPr>
        <w:t>(len v prípade realizácie navrhovanej činnosti)</w:t>
      </w:r>
      <w:r w:rsidRPr="004A7717">
        <w:t xml:space="preserve"> na základe samostatných stavebných povolení. V nich budú premietnuté všetky podmienky realizácie tak, aby boli dodržané všetky platné legislatívne podmienky smerujúce k eliminácii negatívnych vplyvov na obyvateľstvo a prírodné prostredie.</w:t>
      </w:r>
    </w:p>
    <w:p w14:paraId="423674BF" w14:textId="77777777" w:rsidR="00E65CA9" w:rsidRPr="004A7717" w:rsidRDefault="00E65CA9" w:rsidP="002711C7">
      <w:pPr>
        <w:pStyle w:val="A-Text11"/>
      </w:pPr>
      <w:r w:rsidRPr="004A7717">
        <w:t>V tejto časti zámeru sa posudzujú jednak samotné očakávané vplyvy výstavby na jednotlivé zložky prírodného prostredia podľa ich významnosti a jednak vplyvy počas štandardnej prevádzky navrhovanej činnosti.</w:t>
      </w:r>
    </w:p>
    <w:p w14:paraId="3E29AE29" w14:textId="77777777" w:rsidR="00E65CA9" w:rsidRPr="004A7717" w:rsidRDefault="00E65CA9" w:rsidP="002711C7">
      <w:pPr>
        <w:pStyle w:val="A-Text11"/>
      </w:pPr>
      <w:r w:rsidRPr="004A7717">
        <w:t xml:space="preserve">Popísané vplyvy možno rozdeliť podľa ich charakteru pôsobenia </w:t>
      </w:r>
      <w:r w:rsidRPr="004A7717">
        <w:rPr>
          <w:i/>
        </w:rPr>
        <w:t>(priame a nepriame vplyvy),</w:t>
      </w:r>
      <w:r w:rsidRPr="004A7717">
        <w:t xml:space="preserve"> podľa významnosti a podľa časového pôsobenia </w:t>
      </w:r>
      <w:r w:rsidRPr="004A7717">
        <w:rPr>
          <w:i/>
        </w:rPr>
        <w:t>(pôsobiace počas výstavby a počas prevádzky)</w:t>
      </w:r>
      <w:r w:rsidRPr="004A7717">
        <w:t>.</w:t>
      </w:r>
    </w:p>
    <w:p w14:paraId="600B2E83" w14:textId="72634639" w:rsidR="00E65CA9" w:rsidRPr="00DA2BE8" w:rsidRDefault="00E65CA9" w:rsidP="00B60C68">
      <w:pPr>
        <w:pStyle w:val="A-Text11"/>
        <w:ind w:firstLine="0"/>
        <w:rPr>
          <w:sz w:val="18"/>
          <w:szCs w:val="18"/>
          <w:highlight w:val="cyan"/>
        </w:rPr>
      </w:pPr>
      <w:r w:rsidRPr="00DA2BE8">
        <w:rPr>
          <w:sz w:val="18"/>
          <w:szCs w:val="18"/>
        </w:rPr>
        <w:t>Tab. č.</w:t>
      </w:r>
      <w:r w:rsidR="00DA2BE8">
        <w:rPr>
          <w:sz w:val="18"/>
          <w:szCs w:val="18"/>
        </w:rPr>
        <w:t xml:space="preserve"> </w:t>
      </w:r>
      <w:r w:rsidR="00DA2A92" w:rsidRPr="00DA2BE8">
        <w:rPr>
          <w:i/>
          <w:iCs/>
          <w:sz w:val="18"/>
          <w:szCs w:val="18"/>
        </w:rPr>
        <w:t>IV.6.1</w:t>
      </w:r>
      <w:r w:rsidRPr="00DA2BE8">
        <w:rPr>
          <w:sz w:val="18"/>
          <w:szCs w:val="18"/>
        </w:rPr>
        <w:t xml:space="preserve">: Tabuľka hodnotenia významnosti očakávaných  vplyvov  </w:t>
      </w:r>
    </w:p>
    <w:tbl>
      <w:tblPr>
        <w:tblW w:w="942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0" w:type="dxa"/>
          <w:right w:w="70" w:type="dxa"/>
        </w:tblCellMar>
        <w:tblLook w:val="00A0" w:firstRow="1" w:lastRow="0" w:firstColumn="1" w:lastColumn="0" w:noHBand="0" w:noVBand="0"/>
      </w:tblPr>
      <w:tblGrid>
        <w:gridCol w:w="2055"/>
        <w:gridCol w:w="7371"/>
      </w:tblGrid>
      <w:tr w:rsidR="00C231EA" w:rsidRPr="004A7717" w14:paraId="2CCE2272" w14:textId="77777777" w:rsidTr="00CF6787">
        <w:trPr>
          <w:tblHeader/>
        </w:trPr>
        <w:tc>
          <w:tcPr>
            <w:tcW w:w="2055" w:type="dxa"/>
            <w:tcBorders>
              <w:top w:val="single" w:sz="12" w:space="0" w:color="000000"/>
              <w:bottom w:val="single" w:sz="12" w:space="0" w:color="000000"/>
            </w:tcBorders>
            <w:shd w:val="pct5" w:color="auto" w:fill="auto"/>
          </w:tcPr>
          <w:p w14:paraId="28044CB4" w14:textId="77777777" w:rsidR="00E65CA9" w:rsidRPr="004A7717" w:rsidRDefault="00E65CA9" w:rsidP="00EB0C0A">
            <w:pPr>
              <w:pStyle w:val="A-Text11"/>
              <w:rPr>
                <w:szCs w:val="24"/>
              </w:rPr>
            </w:pPr>
            <w:r w:rsidRPr="004A7717">
              <w:t>Ohodnotenie</w:t>
            </w:r>
          </w:p>
        </w:tc>
        <w:tc>
          <w:tcPr>
            <w:tcW w:w="7371" w:type="dxa"/>
            <w:tcBorders>
              <w:top w:val="single" w:sz="12" w:space="0" w:color="000000"/>
              <w:bottom w:val="single" w:sz="12" w:space="0" w:color="000000"/>
            </w:tcBorders>
            <w:shd w:val="pct5" w:color="auto" w:fill="auto"/>
          </w:tcPr>
          <w:p w14:paraId="47FF6B8F" w14:textId="77777777" w:rsidR="00E65CA9" w:rsidRPr="004A7717" w:rsidRDefault="00E65CA9" w:rsidP="00EB0C0A">
            <w:pPr>
              <w:pStyle w:val="A-Text11"/>
              <w:rPr>
                <w:szCs w:val="24"/>
              </w:rPr>
            </w:pPr>
            <w:r w:rsidRPr="004A7717">
              <w:t>Popis vplyvu</w:t>
            </w:r>
          </w:p>
        </w:tc>
      </w:tr>
      <w:tr w:rsidR="00C231EA" w:rsidRPr="004A7717" w14:paraId="75B5A1DB" w14:textId="77777777" w:rsidTr="00CF6787">
        <w:tc>
          <w:tcPr>
            <w:tcW w:w="2055" w:type="dxa"/>
            <w:tcBorders>
              <w:top w:val="nil"/>
            </w:tcBorders>
          </w:tcPr>
          <w:p w14:paraId="7B0C2C8D" w14:textId="77777777" w:rsidR="00E65CA9" w:rsidRPr="004A7717" w:rsidRDefault="00E65CA9" w:rsidP="008E7688">
            <w:pPr>
              <w:pStyle w:val="A-Text11"/>
              <w:spacing w:before="0" w:line="240" w:lineRule="auto"/>
              <w:ind w:firstLine="425"/>
              <w:rPr>
                <w:szCs w:val="24"/>
              </w:rPr>
            </w:pPr>
            <w:r w:rsidRPr="004A7717">
              <w:t>-5</w:t>
            </w:r>
          </w:p>
        </w:tc>
        <w:tc>
          <w:tcPr>
            <w:tcW w:w="7371" w:type="dxa"/>
            <w:tcBorders>
              <w:top w:val="nil"/>
            </w:tcBorders>
          </w:tcPr>
          <w:p w14:paraId="1D1625D2" w14:textId="77777777" w:rsidR="00E65CA9" w:rsidRPr="004A7717" w:rsidRDefault="00E65CA9" w:rsidP="008E7688">
            <w:pPr>
              <w:pStyle w:val="A-Text11"/>
              <w:spacing w:before="0" w:line="240" w:lineRule="auto"/>
              <w:ind w:firstLine="425"/>
              <w:rPr>
                <w:szCs w:val="24"/>
              </w:rPr>
            </w:pPr>
            <w:r w:rsidRPr="004A7717">
              <w:t xml:space="preserve">Veľmi významný negatívny vplyv  </w:t>
            </w:r>
          </w:p>
        </w:tc>
      </w:tr>
      <w:tr w:rsidR="00C231EA" w:rsidRPr="004A7717" w14:paraId="4B0978F5" w14:textId="77777777" w:rsidTr="00CF6787">
        <w:tc>
          <w:tcPr>
            <w:tcW w:w="2055" w:type="dxa"/>
          </w:tcPr>
          <w:p w14:paraId="540F5414" w14:textId="77777777" w:rsidR="00E65CA9" w:rsidRPr="004A7717" w:rsidRDefault="00E65CA9" w:rsidP="008E7688">
            <w:pPr>
              <w:pStyle w:val="A-Text11"/>
              <w:spacing w:before="0" w:line="240" w:lineRule="auto"/>
              <w:ind w:firstLine="425"/>
              <w:rPr>
                <w:szCs w:val="24"/>
              </w:rPr>
            </w:pPr>
            <w:r w:rsidRPr="004A7717">
              <w:t>-4</w:t>
            </w:r>
          </w:p>
        </w:tc>
        <w:tc>
          <w:tcPr>
            <w:tcW w:w="7371" w:type="dxa"/>
          </w:tcPr>
          <w:p w14:paraId="6B19777A" w14:textId="77777777" w:rsidR="00E65CA9" w:rsidRPr="004A7717" w:rsidRDefault="00E65CA9" w:rsidP="008E7688">
            <w:pPr>
              <w:pStyle w:val="A-Text11"/>
              <w:spacing w:before="0" w:line="240" w:lineRule="auto"/>
              <w:ind w:firstLine="425"/>
              <w:rPr>
                <w:szCs w:val="24"/>
              </w:rPr>
            </w:pPr>
            <w:r w:rsidRPr="004A7717">
              <w:t xml:space="preserve">Významný negatívny vplyv  </w:t>
            </w:r>
          </w:p>
        </w:tc>
      </w:tr>
      <w:tr w:rsidR="00C231EA" w:rsidRPr="004A7717" w14:paraId="77142468" w14:textId="77777777" w:rsidTr="00CF6787">
        <w:tc>
          <w:tcPr>
            <w:tcW w:w="2055" w:type="dxa"/>
          </w:tcPr>
          <w:p w14:paraId="45722FBC" w14:textId="77777777" w:rsidR="00E65CA9" w:rsidRPr="004A7717" w:rsidRDefault="00E65CA9" w:rsidP="008E7688">
            <w:pPr>
              <w:pStyle w:val="A-Text11"/>
              <w:spacing w:before="0" w:line="240" w:lineRule="auto"/>
              <w:ind w:firstLine="425"/>
              <w:rPr>
                <w:szCs w:val="24"/>
              </w:rPr>
            </w:pPr>
            <w:r w:rsidRPr="004A7717">
              <w:t>-3</w:t>
            </w:r>
          </w:p>
        </w:tc>
        <w:tc>
          <w:tcPr>
            <w:tcW w:w="7371" w:type="dxa"/>
          </w:tcPr>
          <w:p w14:paraId="489E2C3E" w14:textId="77777777" w:rsidR="00E65CA9" w:rsidRPr="004A7717" w:rsidRDefault="00E65CA9" w:rsidP="008E7688">
            <w:pPr>
              <w:pStyle w:val="A-Text11"/>
              <w:spacing w:before="0" w:line="240" w:lineRule="auto"/>
              <w:ind w:firstLine="425"/>
              <w:rPr>
                <w:szCs w:val="24"/>
              </w:rPr>
            </w:pPr>
            <w:r w:rsidRPr="004A7717">
              <w:t xml:space="preserve">Priemerný negatívny vplyv </w:t>
            </w:r>
          </w:p>
        </w:tc>
      </w:tr>
      <w:tr w:rsidR="00C231EA" w:rsidRPr="004A7717" w14:paraId="1D9A705E" w14:textId="77777777" w:rsidTr="00CF6787">
        <w:tc>
          <w:tcPr>
            <w:tcW w:w="2055" w:type="dxa"/>
          </w:tcPr>
          <w:p w14:paraId="5AC59A79" w14:textId="77777777" w:rsidR="00E65CA9" w:rsidRPr="004A7717" w:rsidRDefault="00E65CA9" w:rsidP="008E7688">
            <w:pPr>
              <w:pStyle w:val="A-Text11"/>
              <w:spacing w:before="0" w:line="240" w:lineRule="auto"/>
              <w:ind w:firstLine="425"/>
              <w:rPr>
                <w:szCs w:val="24"/>
              </w:rPr>
            </w:pPr>
            <w:r w:rsidRPr="004A7717">
              <w:t>-2</w:t>
            </w:r>
          </w:p>
        </w:tc>
        <w:tc>
          <w:tcPr>
            <w:tcW w:w="7371" w:type="dxa"/>
          </w:tcPr>
          <w:p w14:paraId="69C3F4FD" w14:textId="77777777" w:rsidR="00E65CA9" w:rsidRPr="004A7717" w:rsidRDefault="00E65CA9" w:rsidP="008E7688">
            <w:pPr>
              <w:pStyle w:val="A-Text11"/>
              <w:spacing w:before="0" w:line="240" w:lineRule="auto"/>
              <w:ind w:firstLine="425"/>
              <w:rPr>
                <w:szCs w:val="24"/>
              </w:rPr>
            </w:pPr>
            <w:r w:rsidRPr="004A7717">
              <w:t>Málo významný negatívny vplyv</w:t>
            </w:r>
          </w:p>
        </w:tc>
      </w:tr>
      <w:tr w:rsidR="00C231EA" w:rsidRPr="004A7717" w14:paraId="09C749AC" w14:textId="77777777" w:rsidTr="00CF6787">
        <w:tc>
          <w:tcPr>
            <w:tcW w:w="2055" w:type="dxa"/>
          </w:tcPr>
          <w:p w14:paraId="48D5938D" w14:textId="77777777" w:rsidR="00E65CA9" w:rsidRPr="004A7717" w:rsidRDefault="00E65CA9" w:rsidP="008E7688">
            <w:pPr>
              <w:pStyle w:val="A-Text11"/>
              <w:spacing w:before="0" w:line="240" w:lineRule="auto"/>
              <w:ind w:firstLine="425"/>
              <w:rPr>
                <w:szCs w:val="24"/>
              </w:rPr>
            </w:pPr>
            <w:r w:rsidRPr="004A7717">
              <w:t>-1</w:t>
            </w:r>
          </w:p>
        </w:tc>
        <w:tc>
          <w:tcPr>
            <w:tcW w:w="7371" w:type="dxa"/>
          </w:tcPr>
          <w:p w14:paraId="448A540D" w14:textId="77777777" w:rsidR="00E65CA9" w:rsidRPr="004A7717" w:rsidRDefault="00E65CA9" w:rsidP="008E7688">
            <w:pPr>
              <w:pStyle w:val="A-Text11"/>
              <w:spacing w:before="0" w:line="240" w:lineRule="auto"/>
              <w:ind w:firstLine="425"/>
              <w:rPr>
                <w:szCs w:val="24"/>
              </w:rPr>
            </w:pPr>
            <w:r w:rsidRPr="004A7717">
              <w:t xml:space="preserve">Minimálny negatívny vplyv </w:t>
            </w:r>
          </w:p>
        </w:tc>
      </w:tr>
      <w:tr w:rsidR="00C231EA" w:rsidRPr="004A7717" w14:paraId="35457BC2" w14:textId="77777777" w:rsidTr="00CF6787">
        <w:tc>
          <w:tcPr>
            <w:tcW w:w="2055" w:type="dxa"/>
          </w:tcPr>
          <w:p w14:paraId="3D6201E2" w14:textId="77777777" w:rsidR="00E65CA9" w:rsidRPr="004A7717" w:rsidRDefault="00E65CA9" w:rsidP="008E7688">
            <w:pPr>
              <w:pStyle w:val="A-Text11"/>
              <w:spacing w:before="0" w:line="240" w:lineRule="auto"/>
              <w:ind w:firstLine="425"/>
              <w:rPr>
                <w:szCs w:val="24"/>
              </w:rPr>
            </w:pPr>
            <w:r w:rsidRPr="004A7717">
              <w:t>0</w:t>
            </w:r>
          </w:p>
        </w:tc>
        <w:tc>
          <w:tcPr>
            <w:tcW w:w="7371" w:type="dxa"/>
          </w:tcPr>
          <w:p w14:paraId="73EF0FFE" w14:textId="77777777" w:rsidR="00E65CA9" w:rsidRPr="004A7717" w:rsidRDefault="00E65CA9" w:rsidP="008E7688">
            <w:pPr>
              <w:pStyle w:val="A-Text11"/>
              <w:spacing w:before="0" w:line="240" w:lineRule="auto"/>
              <w:ind w:firstLine="425"/>
              <w:rPr>
                <w:szCs w:val="24"/>
              </w:rPr>
            </w:pPr>
            <w:r w:rsidRPr="004A7717">
              <w:t>Žiadne vplyvy</w:t>
            </w:r>
          </w:p>
        </w:tc>
      </w:tr>
      <w:tr w:rsidR="00C231EA" w:rsidRPr="004A7717" w14:paraId="7119D818" w14:textId="77777777" w:rsidTr="00CF6787">
        <w:tc>
          <w:tcPr>
            <w:tcW w:w="2055" w:type="dxa"/>
          </w:tcPr>
          <w:p w14:paraId="45A99E50" w14:textId="77777777" w:rsidR="00E65CA9" w:rsidRPr="004A7717" w:rsidRDefault="00E65CA9" w:rsidP="008E7688">
            <w:pPr>
              <w:pStyle w:val="A-Text11"/>
              <w:spacing w:before="0" w:line="240" w:lineRule="auto"/>
              <w:ind w:firstLine="425"/>
              <w:rPr>
                <w:szCs w:val="24"/>
              </w:rPr>
            </w:pPr>
            <w:r w:rsidRPr="004A7717">
              <w:t>+1</w:t>
            </w:r>
          </w:p>
        </w:tc>
        <w:tc>
          <w:tcPr>
            <w:tcW w:w="7371" w:type="dxa"/>
          </w:tcPr>
          <w:p w14:paraId="172B3EED" w14:textId="77777777" w:rsidR="00E65CA9" w:rsidRPr="004A7717" w:rsidRDefault="00E65CA9" w:rsidP="008E7688">
            <w:pPr>
              <w:pStyle w:val="A-Text11"/>
              <w:spacing w:before="0" w:line="240" w:lineRule="auto"/>
              <w:ind w:firstLine="425"/>
              <w:rPr>
                <w:szCs w:val="24"/>
              </w:rPr>
            </w:pPr>
            <w:r w:rsidRPr="004A7717">
              <w:t xml:space="preserve">Minimálny pozitívny vplyv </w:t>
            </w:r>
          </w:p>
        </w:tc>
      </w:tr>
      <w:tr w:rsidR="00C231EA" w:rsidRPr="004A7717" w14:paraId="5B78AF40" w14:textId="77777777" w:rsidTr="00CF6787">
        <w:tc>
          <w:tcPr>
            <w:tcW w:w="2055" w:type="dxa"/>
          </w:tcPr>
          <w:p w14:paraId="0784144C" w14:textId="77777777" w:rsidR="00E65CA9" w:rsidRPr="004A7717" w:rsidRDefault="00E65CA9" w:rsidP="008E7688">
            <w:pPr>
              <w:pStyle w:val="A-Text11"/>
              <w:spacing w:before="0" w:line="240" w:lineRule="auto"/>
              <w:ind w:firstLine="425"/>
              <w:rPr>
                <w:szCs w:val="24"/>
              </w:rPr>
            </w:pPr>
            <w:r w:rsidRPr="004A7717">
              <w:t>+2</w:t>
            </w:r>
          </w:p>
        </w:tc>
        <w:tc>
          <w:tcPr>
            <w:tcW w:w="7371" w:type="dxa"/>
          </w:tcPr>
          <w:p w14:paraId="710B5995" w14:textId="77777777" w:rsidR="00E65CA9" w:rsidRPr="004A7717" w:rsidRDefault="00E65CA9" w:rsidP="008E7688">
            <w:pPr>
              <w:pStyle w:val="A-Text11"/>
              <w:spacing w:before="0" w:line="240" w:lineRule="auto"/>
              <w:ind w:firstLine="425"/>
              <w:rPr>
                <w:szCs w:val="24"/>
              </w:rPr>
            </w:pPr>
            <w:r w:rsidRPr="004A7717">
              <w:t xml:space="preserve">Málo významný pozitívny vplyv </w:t>
            </w:r>
          </w:p>
        </w:tc>
      </w:tr>
      <w:tr w:rsidR="00C231EA" w:rsidRPr="004A7717" w14:paraId="51FB860F" w14:textId="77777777" w:rsidTr="00CF6787">
        <w:tc>
          <w:tcPr>
            <w:tcW w:w="2055" w:type="dxa"/>
          </w:tcPr>
          <w:p w14:paraId="3FE8097C" w14:textId="77777777" w:rsidR="00E65CA9" w:rsidRPr="004A7717" w:rsidRDefault="00E65CA9" w:rsidP="008E7688">
            <w:pPr>
              <w:pStyle w:val="A-Text11"/>
              <w:spacing w:before="0" w:line="240" w:lineRule="auto"/>
              <w:ind w:firstLine="425"/>
              <w:rPr>
                <w:szCs w:val="24"/>
              </w:rPr>
            </w:pPr>
            <w:r w:rsidRPr="004A7717">
              <w:t>+3</w:t>
            </w:r>
          </w:p>
        </w:tc>
        <w:tc>
          <w:tcPr>
            <w:tcW w:w="7371" w:type="dxa"/>
          </w:tcPr>
          <w:p w14:paraId="43C0AEB7" w14:textId="77777777" w:rsidR="00E65CA9" w:rsidRPr="004A7717" w:rsidRDefault="00E65CA9" w:rsidP="008E7688">
            <w:pPr>
              <w:pStyle w:val="A-Text11"/>
              <w:spacing w:before="0" w:line="240" w:lineRule="auto"/>
              <w:ind w:firstLine="425"/>
              <w:rPr>
                <w:szCs w:val="24"/>
              </w:rPr>
            </w:pPr>
            <w:r w:rsidRPr="004A7717">
              <w:t xml:space="preserve">Priemerný pozitívny vplyv </w:t>
            </w:r>
          </w:p>
        </w:tc>
      </w:tr>
      <w:tr w:rsidR="00C231EA" w:rsidRPr="004A7717" w14:paraId="658D738F" w14:textId="77777777" w:rsidTr="00CF6787">
        <w:tc>
          <w:tcPr>
            <w:tcW w:w="2055" w:type="dxa"/>
          </w:tcPr>
          <w:p w14:paraId="3952D6A6" w14:textId="77777777" w:rsidR="00E65CA9" w:rsidRPr="004A7717" w:rsidRDefault="00E65CA9" w:rsidP="008E7688">
            <w:pPr>
              <w:pStyle w:val="A-Text11"/>
              <w:spacing w:before="0" w:line="240" w:lineRule="auto"/>
              <w:ind w:firstLine="425"/>
              <w:rPr>
                <w:szCs w:val="24"/>
              </w:rPr>
            </w:pPr>
            <w:r w:rsidRPr="004A7717">
              <w:t>+4</w:t>
            </w:r>
          </w:p>
        </w:tc>
        <w:tc>
          <w:tcPr>
            <w:tcW w:w="7371" w:type="dxa"/>
          </w:tcPr>
          <w:p w14:paraId="3A01790B" w14:textId="77777777" w:rsidR="00E65CA9" w:rsidRPr="004A7717" w:rsidRDefault="00E65CA9" w:rsidP="008E7688">
            <w:pPr>
              <w:pStyle w:val="A-Text11"/>
              <w:spacing w:before="0" w:line="240" w:lineRule="auto"/>
              <w:ind w:firstLine="425"/>
              <w:rPr>
                <w:szCs w:val="24"/>
              </w:rPr>
            </w:pPr>
            <w:r w:rsidRPr="004A7717">
              <w:t xml:space="preserve">Významný pozitívny vplyv </w:t>
            </w:r>
          </w:p>
        </w:tc>
      </w:tr>
      <w:tr w:rsidR="00C231EA" w:rsidRPr="004A7717" w14:paraId="71886055" w14:textId="77777777" w:rsidTr="00CF6787">
        <w:tc>
          <w:tcPr>
            <w:tcW w:w="2055" w:type="dxa"/>
            <w:tcBorders>
              <w:bottom w:val="single" w:sz="12" w:space="0" w:color="000000"/>
            </w:tcBorders>
          </w:tcPr>
          <w:p w14:paraId="7E97299C" w14:textId="77777777" w:rsidR="00E65CA9" w:rsidRPr="004A7717" w:rsidRDefault="00E65CA9" w:rsidP="008E7688">
            <w:pPr>
              <w:pStyle w:val="A-Text11"/>
              <w:spacing w:before="0" w:line="240" w:lineRule="auto"/>
              <w:ind w:firstLine="425"/>
              <w:rPr>
                <w:szCs w:val="24"/>
              </w:rPr>
            </w:pPr>
            <w:r w:rsidRPr="004A7717">
              <w:t>+5</w:t>
            </w:r>
          </w:p>
        </w:tc>
        <w:tc>
          <w:tcPr>
            <w:tcW w:w="7371" w:type="dxa"/>
            <w:tcBorders>
              <w:bottom w:val="single" w:sz="12" w:space="0" w:color="000000"/>
            </w:tcBorders>
          </w:tcPr>
          <w:p w14:paraId="08243EC2" w14:textId="77777777" w:rsidR="00E65CA9" w:rsidRPr="004A7717" w:rsidRDefault="00E65CA9" w:rsidP="008E7688">
            <w:pPr>
              <w:pStyle w:val="A-Text11"/>
              <w:spacing w:before="0" w:line="240" w:lineRule="auto"/>
              <w:ind w:firstLine="425"/>
              <w:rPr>
                <w:szCs w:val="24"/>
              </w:rPr>
            </w:pPr>
            <w:r w:rsidRPr="004A7717">
              <w:t xml:space="preserve">Veľmi významný pozitívny vplyv </w:t>
            </w:r>
          </w:p>
        </w:tc>
      </w:tr>
    </w:tbl>
    <w:p w14:paraId="17E47E23" w14:textId="2E53A823" w:rsidR="00E65CA9" w:rsidRPr="004A7717" w:rsidRDefault="00E65CA9" w:rsidP="00EB0C0A">
      <w:pPr>
        <w:pStyle w:val="A-Text11"/>
      </w:pPr>
      <w:r w:rsidRPr="004A7717">
        <w:t xml:space="preserve">Medzi priame vplyvy treba počítať nevyhnutný záber ostatných plôch a tiež potrebu materiálov a energií pre výstavbu. Tieto sú špecifikované v kapitole II.8 a  IV.1. V kapitole IV.2 Údaje o výstupoch sú definované zdroje znečisťovania ovzdušia, vôd, predpokladané druhy a množstvá odpadov a vplyvy na hlukové pomery, ktoré predstavujú priame vplyvy na obyvateľstvo a jednotlivé zložky životného prostredia. </w:t>
      </w:r>
    </w:p>
    <w:p w14:paraId="33C7D5DD" w14:textId="77777777" w:rsidR="00E65CA9" w:rsidRPr="004A7717" w:rsidRDefault="00E65CA9" w:rsidP="00EB0C0A">
      <w:pPr>
        <w:pStyle w:val="A-Text11"/>
      </w:pPr>
      <w:r w:rsidRPr="004A7717">
        <w:t>Ďalšie vplyvy sú podrobne rozpracované v nasledovných kapitolách IV.5 a IV.6.</w:t>
      </w:r>
    </w:p>
    <w:p w14:paraId="14644E43" w14:textId="77777777" w:rsidR="00E65CA9" w:rsidRPr="004A7717" w:rsidRDefault="00E65CA9" w:rsidP="00EB0C0A">
      <w:pPr>
        <w:pStyle w:val="A-Text11"/>
      </w:pPr>
      <w:r w:rsidRPr="004A7717">
        <w:t xml:space="preserve">Pri posudzovaní vplyvov bola vykonaná základná identifikácia relatívnych priamych a nepriamych vplyvov, charakterizoval sa zdroj vplyvu, t.j. miesto a fáza vplyvu, bol určený druh vplyvu, jeho veľkosť a plošný rozsah. Opísané boli hlavne tie zložky životného prostredia, </w:t>
      </w:r>
      <w:r w:rsidRPr="004A7717">
        <w:lastRenderedPageBreak/>
        <w:t>ktoré budú predpokladaným vplyvom najviac ovplyvnené, bola určená environmentálna významnosť vplyvu a v konečnom kroku opis dôsledku zmeny sledovanej zložky na celkový charakter životného prostredia dotknutého územia, resp. širšieho regiónu.</w:t>
      </w:r>
    </w:p>
    <w:p w14:paraId="671B250C" w14:textId="77777777" w:rsidR="00E65CA9" w:rsidRPr="00EB0C0A" w:rsidRDefault="00E65CA9" w:rsidP="00EB0C0A">
      <w:pPr>
        <w:pStyle w:val="A-Text11"/>
        <w:rPr>
          <w:b/>
          <w:bCs/>
        </w:rPr>
      </w:pPr>
      <w:r w:rsidRPr="00EB0C0A">
        <w:rPr>
          <w:b/>
          <w:bCs/>
        </w:rPr>
        <w:t>Priame vplyvy na životné prostredie</w:t>
      </w:r>
    </w:p>
    <w:p w14:paraId="17692CDB" w14:textId="77777777" w:rsidR="00E65CA9" w:rsidRPr="004A7717" w:rsidRDefault="00E65CA9" w:rsidP="00EB0C0A">
      <w:pPr>
        <w:pStyle w:val="A-Text11"/>
      </w:pPr>
      <w:r w:rsidRPr="004A7717">
        <w:t xml:space="preserve">Medzi základné </w:t>
      </w:r>
      <w:r w:rsidRPr="004A7717">
        <w:rPr>
          <w:u w:val="single"/>
        </w:rPr>
        <w:t>priame vplyvy na životné prostredie</w:t>
      </w:r>
      <w:r w:rsidRPr="004A7717">
        <w:t xml:space="preserve"> a na jeho jednotlivé zložky boli zaradené také vplyvy, ktoré bezprostredne fyzicky zasahovali alebo menili zložky životného prostredia podstatným, viditeľným spôsobom. V súvislosti s navrhovanou činnosťou v sledovanom území sú to:</w:t>
      </w:r>
    </w:p>
    <w:p w14:paraId="38EA8BD3" w14:textId="77777777" w:rsidR="00E65CA9" w:rsidRPr="004A7717" w:rsidRDefault="00E65CA9" w:rsidP="0095439F">
      <w:pPr>
        <w:pStyle w:val="A-Text11"/>
        <w:numPr>
          <w:ilvl w:val="0"/>
          <w:numId w:val="31"/>
        </w:numPr>
        <w:spacing w:before="0" w:line="240" w:lineRule="auto"/>
        <w:ind w:left="714" w:hanging="357"/>
      </w:pPr>
      <w:r w:rsidRPr="004A7717">
        <w:t>terénne úpravy,</w:t>
      </w:r>
    </w:p>
    <w:p w14:paraId="03B4D0B7" w14:textId="5FC6F618" w:rsidR="0043262F" w:rsidRPr="004A7717" w:rsidRDefault="0043262F" w:rsidP="0095439F">
      <w:pPr>
        <w:pStyle w:val="A-Text11"/>
        <w:numPr>
          <w:ilvl w:val="0"/>
          <w:numId w:val="31"/>
        </w:numPr>
        <w:spacing w:before="0" w:line="240" w:lineRule="auto"/>
        <w:ind w:left="714" w:hanging="357"/>
      </w:pPr>
      <w:r w:rsidRPr="004A7717">
        <w:t xml:space="preserve">výrub drevín </w:t>
      </w:r>
    </w:p>
    <w:p w14:paraId="1902F552" w14:textId="15EB6CAC" w:rsidR="00E65CA9" w:rsidRPr="004A7717" w:rsidRDefault="00E65CA9" w:rsidP="0095439F">
      <w:pPr>
        <w:pStyle w:val="A-Text11"/>
        <w:numPr>
          <w:ilvl w:val="0"/>
          <w:numId w:val="31"/>
        </w:numPr>
        <w:spacing w:before="0" w:line="240" w:lineRule="auto"/>
        <w:ind w:left="714" w:hanging="357"/>
      </w:pPr>
      <w:r w:rsidRPr="004A7717">
        <w:t>priame zásahy do horninového prostredia,</w:t>
      </w:r>
    </w:p>
    <w:p w14:paraId="218A1233" w14:textId="77777777" w:rsidR="00E65CA9" w:rsidRPr="004A7717" w:rsidRDefault="00E65CA9" w:rsidP="0095439F">
      <w:pPr>
        <w:pStyle w:val="A-Text11"/>
        <w:numPr>
          <w:ilvl w:val="0"/>
          <w:numId w:val="31"/>
        </w:numPr>
        <w:spacing w:before="0" w:line="240" w:lineRule="auto"/>
        <w:ind w:left="714" w:hanging="357"/>
      </w:pPr>
      <w:r w:rsidRPr="004A7717">
        <w:t>riziko znečistenia povrchových a podzemných vôd v etape výstavby,</w:t>
      </w:r>
    </w:p>
    <w:p w14:paraId="48E8E5F9" w14:textId="77777777" w:rsidR="00E65CA9" w:rsidRPr="004A7717" w:rsidRDefault="00E65CA9" w:rsidP="0095439F">
      <w:pPr>
        <w:pStyle w:val="A-Text11"/>
        <w:numPr>
          <w:ilvl w:val="0"/>
          <w:numId w:val="31"/>
        </w:numPr>
        <w:spacing w:before="0" w:line="240" w:lineRule="auto"/>
        <w:ind w:left="714" w:hanging="357"/>
      </w:pPr>
      <w:r w:rsidRPr="004A7717">
        <w:t>znečistenie ovzdušia,</w:t>
      </w:r>
    </w:p>
    <w:p w14:paraId="29CB6B2F" w14:textId="77777777" w:rsidR="00E65CA9" w:rsidRPr="004A7717" w:rsidRDefault="00E65CA9" w:rsidP="0095439F">
      <w:pPr>
        <w:pStyle w:val="A-Text11"/>
        <w:numPr>
          <w:ilvl w:val="0"/>
          <w:numId w:val="31"/>
        </w:numPr>
        <w:spacing w:before="0" w:line="240" w:lineRule="auto"/>
        <w:ind w:left="714" w:hanging="357"/>
      </w:pPr>
      <w:r w:rsidRPr="004A7717">
        <w:t>hluk a vibrácie,</w:t>
      </w:r>
    </w:p>
    <w:p w14:paraId="7BDBA8DC" w14:textId="77777777" w:rsidR="00E65CA9" w:rsidRPr="004A7717" w:rsidRDefault="00E65CA9" w:rsidP="0095439F">
      <w:pPr>
        <w:pStyle w:val="A-Text11"/>
        <w:numPr>
          <w:ilvl w:val="0"/>
          <w:numId w:val="31"/>
        </w:numPr>
        <w:spacing w:before="0" w:line="240" w:lineRule="auto"/>
        <w:ind w:left="714" w:hanging="357"/>
      </w:pPr>
      <w:r w:rsidRPr="004A7717">
        <w:t>vplyvy na krajinu - štruktúru, scenériu, využívanie,</w:t>
      </w:r>
    </w:p>
    <w:p w14:paraId="34EA085E" w14:textId="77777777" w:rsidR="00E65CA9" w:rsidRPr="004A7717" w:rsidRDefault="00E65CA9" w:rsidP="0095439F">
      <w:pPr>
        <w:pStyle w:val="A-Text11"/>
        <w:numPr>
          <w:ilvl w:val="0"/>
          <w:numId w:val="31"/>
        </w:numPr>
        <w:spacing w:before="0" w:line="240" w:lineRule="auto"/>
        <w:ind w:left="714" w:hanging="357"/>
      </w:pPr>
      <w:r w:rsidRPr="004A7717">
        <w:t>produkcia odpadov počas výstavby,</w:t>
      </w:r>
    </w:p>
    <w:p w14:paraId="114FCF26" w14:textId="77777777" w:rsidR="00E65CA9" w:rsidRPr="004A7717" w:rsidRDefault="00E65CA9" w:rsidP="0095439F">
      <w:pPr>
        <w:pStyle w:val="A-Text11"/>
        <w:numPr>
          <w:ilvl w:val="0"/>
          <w:numId w:val="31"/>
        </w:numPr>
        <w:spacing w:before="0" w:line="240" w:lineRule="auto"/>
        <w:ind w:left="714" w:hanging="357"/>
      </w:pPr>
      <w:r w:rsidRPr="004A7717">
        <w:t>preložky a prípojky  inžinierskych sietí,</w:t>
      </w:r>
    </w:p>
    <w:p w14:paraId="22491C6C" w14:textId="681378E6" w:rsidR="00E65CA9" w:rsidRPr="004A7717" w:rsidRDefault="00E65CA9" w:rsidP="0095439F">
      <w:pPr>
        <w:pStyle w:val="A-Text11"/>
        <w:numPr>
          <w:ilvl w:val="0"/>
          <w:numId w:val="31"/>
        </w:numPr>
        <w:spacing w:before="0" w:line="240" w:lineRule="auto"/>
        <w:ind w:left="714" w:hanging="357"/>
      </w:pPr>
      <w:r w:rsidRPr="004A7717">
        <w:t>a ďalšie, ktoré sa v tejto súvislosti prejavujú v menšej miere a nemajú podstatný vplyv      na životné prostredie ako celku alebo aj jeho jednotlivých zložiek.</w:t>
      </w:r>
    </w:p>
    <w:p w14:paraId="55CD5A81" w14:textId="77777777" w:rsidR="0029466C" w:rsidRDefault="0029466C" w:rsidP="00EB0C0A">
      <w:pPr>
        <w:pStyle w:val="A-Text11"/>
        <w:rPr>
          <w:b/>
          <w:bCs/>
        </w:rPr>
      </w:pPr>
    </w:p>
    <w:p w14:paraId="69D4239D" w14:textId="4C438836" w:rsidR="00E65CA9" w:rsidRPr="00EB0C0A" w:rsidRDefault="00E65CA9" w:rsidP="00EB0C0A">
      <w:pPr>
        <w:pStyle w:val="A-Text11"/>
        <w:rPr>
          <w:b/>
          <w:bCs/>
        </w:rPr>
      </w:pPr>
      <w:r w:rsidRPr="00EB0C0A">
        <w:rPr>
          <w:b/>
          <w:bCs/>
        </w:rPr>
        <w:t>Nepriame vplyvy na životné prostredie</w:t>
      </w:r>
    </w:p>
    <w:p w14:paraId="32B7DF45" w14:textId="302F4E23" w:rsidR="00E65CA9" w:rsidRPr="004A7717" w:rsidRDefault="00E65CA9" w:rsidP="00EB0C0A">
      <w:pPr>
        <w:pStyle w:val="A-Text11"/>
      </w:pPr>
      <w:r w:rsidRPr="004A7717">
        <w:t xml:space="preserve">Medzi základné </w:t>
      </w:r>
      <w:r w:rsidRPr="004A7717">
        <w:rPr>
          <w:u w:val="single"/>
        </w:rPr>
        <w:t>nepriame vplyvy na životné prostredie</w:t>
      </w:r>
      <w:r w:rsidRPr="004A7717">
        <w:t xml:space="preserve"> a na jeho jednotlivé zložky boli zaradené také vplyvy, ktoré sa prejavia alebo sa môžu prejaviť ako dôsledok realizácie navrhovanej činnosti, ako dôsledok priamych vplyvov a to buď bezprostredne v krátkom čase ešte počas výstavby alebo bezprostredne nadväzujú na priame vplyvy. V súvislosti s navrhovanou činnosťou  sú to:</w:t>
      </w:r>
    </w:p>
    <w:p w14:paraId="536A433C" w14:textId="1A9D1635" w:rsidR="00E65CA9" w:rsidRPr="004A7717" w:rsidRDefault="00E65CA9" w:rsidP="0095439F">
      <w:pPr>
        <w:pStyle w:val="A-Text11"/>
        <w:numPr>
          <w:ilvl w:val="0"/>
          <w:numId w:val="37"/>
        </w:numPr>
        <w:spacing w:before="0" w:line="240" w:lineRule="auto"/>
        <w:ind w:left="709" w:hanging="357"/>
      </w:pPr>
      <w:r w:rsidRPr="004A7717">
        <w:t>možné vplyvy na podzemnú vodu prípadné lokálne zmeny</w:t>
      </w:r>
      <w:r w:rsidR="00EB0C0A">
        <w:t xml:space="preserve"> </w:t>
      </w:r>
      <w:r w:rsidRPr="004A7717">
        <w:t>prúdenia podzemných vôd,</w:t>
      </w:r>
    </w:p>
    <w:p w14:paraId="2EA22665" w14:textId="77777777" w:rsidR="00E65CA9" w:rsidRPr="004A7717" w:rsidRDefault="00E65CA9" w:rsidP="0095439F">
      <w:pPr>
        <w:pStyle w:val="A-Text11"/>
        <w:numPr>
          <w:ilvl w:val="0"/>
          <w:numId w:val="37"/>
        </w:numPr>
        <w:spacing w:before="0" w:line="240" w:lineRule="auto"/>
        <w:ind w:left="709" w:hanging="357"/>
      </w:pPr>
      <w:r w:rsidRPr="004A7717">
        <w:t>lokálne vplyvy na miestnu klímu,</w:t>
      </w:r>
    </w:p>
    <w:p w14:paraId="1DA7C31D" w14:textId="77777777" w:rsidR="00E65CA9" w:rsidRPr="004A7717" w:rsidRDefault="00E65CA9" w:rsidP="0095439F">
      <w:pPr>
        <w:pStyle w:val="A-Text11"/>
        <w:numPr>
          <w:ilvl w:val="0"/>
          <w:numId w:val="37"/>
        </w:numPr>
        <w:spacing w:before="0" w:line="240" w:lineRule="auto"/>
        <w:ind w:left="709" w:hanging="357"/>
      </w:pPr>
      <w:r w:rsidRPr="004A7717">
        <w:t>vplyvy na krajinu - hlavne využívanie,</w:t>
      </w:r>
    </w:p>
    <w:p w14:paraId="47F501E2" w14:textId="77777777" w:rsidR="00E65CA9" w:rsidRPr="004A7717" w:rsidRDefault="00E65CA9" w:rsidP="0095439F">
      <w:pPr>
        <w:pStyle w:val="A-Text11"/>
        <w:numPr>
          <w:ilvl w:val="0"/>
          <w:numId w:val="37"/>
        </w:numPr>
        <w:spacing w:before="0" w:line="240" w:lineRule="auto"/>
        <w:ind w:left="709" w:hanging="357"/>
      </w:pPr>
      <w:r w:rsidRPr="004A7717">
        <w:t>riziká neodbornej manipulácie a zneškodňovania odpadov,</w:t>
      </w:r>
    </w:p>
    <w:p w14:paraId="1D56067B" w14:textId="77777777" w:rsidR="00E65CA9" w:rsidRPr="004A7717" w:rsidRDefault="00E65CA9" w:rsidP="0095439F">
      <w:pPr>
        <w:pStyle w:val="A-Text11"/>
        <w:numPr>
          <w:ilvl w:val="0"/>
          <w:numId w:val="37"/>
        </w:numPr>
        <w:spacing w:before="0" w:line="240" w:lineRule="auto"/>
        <w:ind w:left="709" w:hanging="357"/>
      </w:pPr>
      <w:r w:rsidRPr="004A7717">
        <w:t xml:space="preserve">vplyv na organizáciu  a intenzitu dopravy počas výstavby </w:t>
      </w:r>
    </w:p>
    <w:p w14:paraId="08436C30" w14:textId="77777777" w:rsidR="00E65CA9" w:rsidRPr="004A7717" w:rsidRDefault="00E65CA9" w:rsidP="0095439F">
      <w:pPr>
        <w:pStyle w:val="A-Text11"/>
        <w:numPr>
          <w:ilvl w:val="0"/>
          <w:numId w:val="37"/>
        </w:numPr>
        <w:spacing w:before="0" w:line="240" w:lineRule="auto"/>
        <w:ind w:left="709" w:hanging="357"/>
      </w:pPr>
      <w:r w:rsidRPr="004A7717">
        <w:t>vplyvy súvisiace s preložkami inžinierskych sietí,</w:t>
      </w:r>
    </w:p>
    <w:p w14:paraId="1D9A1633" w14:textId="77777777" w:rsidR="00E65CA9" w:rsidRPr="004A7717" w:rsidRDefault="00E65CA9" w:rsidP="0095439F">
      <w:pPr>
        <w:pStyle w:val="A-Text11"/>
        <w:numPr>
          <w:ilvl w:val="0"/>
          <w:numId w:val="37"/>
        </w:numPr>
        <w:spacing w:before="0" w:line="240" w:lineRule="auto"/>
        <w:ind w:left="709" w:hanging="357"/>
      </w:pPr>
      <w:r w:rsidRPr="004A7717">
        <w:t>vplyvy na urbánny komplex a ďalšie využívanie územia,</w:t>
      </w:r>
    </w:p>
    <w:p w14:paraId="6566003C" w14:textId="30318C1C" w:rsidR="00E65CA9" w:rsidRPr="004A7717" w:rsidRDefault="00E65CA9" w:rsidP="0095439F">
      <w:pPr>
        <w:pStyle w:val="A-Text11"/>
        <w:numPr>
          <w:ilvl w:val="0"/>
          <w:numId w:val="37"/>
        </w:numPr>
        <w:spacing w:before="0" w:line="240" w:lineRule="auto"/>
        <w:ind w:left="709" w:hanging="357"/>
      </w:pPr>
      <w:r w:rsidRPr="004A7717">
        <w:t>a ďalšie, ktoré sa v tejto súvislosti môžu prejaviť len v menšej miere a</w:t>
      </w:r>
      <w:r w:rsidR="00EB0C0A">
        <w:t> </w:t>
      </w:r>
      <w:r w:rsidRPr="004A7717">
        <w:t>nemajú</w:t>
      </w:r>
      <w:r w:rsidR="00EB0C0A">
        <w:t xml:space="preserve"> </w:t>
      </w:r>
      <w:r w:rsidRPr="004A7717">
        <w:t>podstatný vplyv na životné prostredie ako celku alebo aj jeho jednotlivých zložiek.</w:t>
      </w:r>
    </w:p>
    <w:p w14:paraId="1523E32E" w14:textId="44422C0B" w:rsidR="00E65CA9" w:rsidRPr="00EB0C0A" w:rsidRDefault="00E65CA9" w:rsidP="00EB0C0A">
      <w:pPr>
        <w:pStyle w:val="A-Text11"/>
        <w:rPr>
          <w:b/>
          <w:bCs/>
        </w:rPr>
      </w:pPr>
      <w:bookmarkStart w:id="337" w:name="_Toc132078724"/>
      <w:bookmarkStart w:id="338" w:name="_Toc395894111"/>
      <w:bookmarkStart w:id="339" w:name="_Toc403849703"/>
      <w:bookmarkStart w:id="340" w:name="_Toc417142380"/>
      <w:bookmarkStart w:id="341" w:name="_Toc417493809"/>
      <w:bookmarkStart w:id="342" w:name="_Toc418874743"/>
      <w:bookmarkStart w:id="343" w:name="_Toc423867272"/>
      <w:bookmarkStart w:id="344" w:name="_Toc424671281"/>
      <w:bookmarkStart w:id="345" w:name="_Toc424758425"/>
      <w:bookmarkStart w:id="346" w:name="_Toc495992989"/>
      <w:r w:rsidRPr="00EB0C0A">
        <w:rPr>
          <w:b/>
          <w:bCs/>
        </w:rPr>
        <w:t>Očakávané vplyvy počas výstavby</w:t>
      </w:r>
      <w:bookmarkEnd w:id="337"/>
      <w:bookmarkEnd w:id="338"/>
      <w:bookmarkEnd w:id="339"/>
      <w:bookmarkEnd w:id="340"/>
      <w:bookmarkEnd w:id="341"/>
      <w:bookmarkEnd w:id="342"/>
      <w:bookmarkEnd w:id="343"/>
      <w:bookmarkEnd w:id="344"/>
      <w:bookmarkEnd w:id="345"/>
      <w:bookmarkEnd w:id="346"/>
    </w:p>
    <w:p w14:paraId="1CCF05F9" w14:textId="0AD35868" w:rsidR="00E65CA9" w:rsidRPr="004A7717" w:rsidRDefault="00E65CA9" w:rsidP="00EB0C0A">
      <w:pPr>
        <w:pStyle w:val="A-Text11"/>
      </w:pPr>
      <w:r w:rsidRPr="004A7717">
        <w:t>Počas výstavby bude v priestore stavby zvýšený pohyb stavebných mechanizmov. Tento hlukom a sprostredkovane znečistením ovzdušia prašnosťou a výfukovými plynmi  lokálne  ovplyvní lokalitu a tým aj časť obyvateľov. Tento dopad však bude minimálny a krátkodobý.</w:t>
      </w:r>
    </w:p>
    <w:p w14:paraId="4D24E604" w14:textId="77777777" w:rsidR="00E65CA9" w:rsidRPr="004A7717" w:rsidRDefault="00E65CA9" w:rsidP="00EB0C0A">
      <w:pPr>
        <w:pStyle w:val="A-Text11"/>
      </w:pPr>
      <w:r w:rsidRPr="004A7717">
        <w:t xml:space="preserve">Stavba bude realizovaná na základe stavebného povolenia. V ňom budú premietnuté všetky podmienky realizácie tak, aby boli dodržané všetky platné legislatívne podmienky smerujúce k eliminácii negatívnych vplyvov na obyvateľstvo. Počas výstavby i prevádzky areálu bude potrebné rešpektovať Vyhlášku MZ SR č. 549/2007 Z. z. o ochrane zdravia pred hlukom a vibráciami, ktoré definuje najvyššie prípustné hladiny hluku a vibrácií. </w:t>
      </w:r>
    </w:p>
    <w:p w14:paraId="1B990903" w14:textId="77777777" w:rsidR="00E65CA9" w:rsidRPr="004A7717" w:rsidRDefault="00E65CA9" w:rsidP="00EB0C0A">
      <w:pPr>
        <w:pStyle w:val="A-Text11"/>
      </w:pPr>
      <w:r w:rsidRPr="004A7717">
        <w:lastRenderedPageBreak/>
        <w:t>V areáli sa nepredpokladá inštalácia zariadení, ktoré by mohli byť zdrojom vibrácií, elektromagnetického alebo rádioaktívneho žiarenia s negatívnym dopadom na obyvateľstvo.</w:t>
      </w:r>
    </w:p>
    <w:p w14:paraId="58FB7E99" w14:textId="68F33D5C" w:rsidR="00E65CA9" w:rsidRDefault="00E65CA9" w:rsidP="00EB0C0A">
      <w:pPr>
        <w:pStyle w:val="A-Text11"/>
      </w:pPr>
      <w:r w:rsidRPr="004A7717">
        <w:t xml:space="preserve">Počas realizácie zámeru nie je reálny predpoklad významných negatívnych vplyvov na geologické prostredie, pôdu, vodu, genofond a biodiverzitu a na krajinu. </w:t>
      </w:r>
    </w:p>
    <w:p w14:paraId="51B21EF3" w14:textId="77777777" w:rsidR="00E65CA9" w:rsidRPr="00B77FDF" w:rsidRDefault="00E65CA9" w:rsidP="00EB0C0A">
      <w:pPr>
        <w:pStyle w:val="A-Text11"/>
        <w:rPr>
          <w:b/>
          <w:bCs/>
        </w:rPr>
      </w:pPr>
      <w:bookmarkStart w:id="347" w:name="_Toc132078727"/>
      <w:bookmarkStart w:id="348" w:name="_Toc395894112"/>
      <w:bookmarkStart w:id="349" w:name="_Toc403849704"/>
      <w:bookmarkStart w:id="350" w:name="_Toc417142381"/>
      <w:bookmarkStart w:id="351" w:name="_Toc417493810"/>
      <w:bookmarkStart w:id="352" w:name="_Toc418874744"/>
      <w:bookmarkStart w:id="353" w:name="_Toc423867273"/>
      <w:bookmarkStart w:id="354" w:name="_Toc424671282"/>
      <w:bookmarkStart w:id="355" w:name="_Toc424758426"/>
      <w:bookmarkStart w:id="356" w:name="_Toc495992990"/>
      <w:r w:rsidRPr="00B77FDF">
        <w:rPr>
          <w:b/>
          <w:bCs/>
        </w:rPr>
        <w:t>Očakávané vplyvy počas  prevádzky</w:t>
      </w:r>
      <w:bookmarkEnd w:id="347"/>
      <w:bookmarkEnd w:id="348"/>
      <w:bookmarkEnd w:id="349"/>
      <w:bookmarkEnd w:id="350"/>
      <w:bookmarkEnd w:id="351"/>
      <w:bookmarkEnd w:id="352"/>
      <w:bookmarkEnd w:id="353"/>
      <w:bookmarkEnd w:id="354"/>
      <w:bookmarkEnd w:id="355"/>
      <w:bookmarkEnd w:id="356"/>
    </w:p>
    <w:p w14:paraId="395A30F0" w14:textId="77777777" w:rsidR="00E65CA9" w:rsidRPr="00B77FDF" w:rsidRDefault="00E65CA9" w:rsidP="00EB0C0A">
      <w:pPr>
        <w:pStyle w:val="A-Text11"/>
      </w:pPr>
      <w:r w:rsidRPr="00B77FDF">
        <w:t xml:space="preserve">Najvýznamnejším prínosom  realizácie zámeru je vytvorenie nových ponúk zamestnania, bytov a  služieb. Z hľadiska scenérie sa vytvorí esteticky pôsobivý prvok v mestskom prostredí, čo pozitívne ovplyvní krajinný obraz lokality. </w:t>
      </w:r>
    </w:p>
    <w:p w14:paraId="541426CD" w14:textId="77777777" w:rsidR="00E65CA9" w:rsidRPr="004A7717" w:rsidRDefault="00E65CA9" w:rsidP="00EB0C0A">
      <w:pPr>
        <w:pStyle w:val="A-Text11"/>
        <w:rPr>
          <w:szCs w:val="24"/>
        </w:rPr>
      </w:pPr>
      <w:r w:rsidRPr="004A7717">
        <w:t>Objekt v  bytovej</w:t>
      </w:r>
      <w:r w:rsidRPr="004A7717">
        <w:rPr>
          <w:szCs w:val="24"/>
        </w:rPr>
        <w:t xml:space="preserve"> časti a technické vybavenie bude navrhnuté v súlade s predpismi o bezpečnosti a ochrane zdravia. Prijatými opatreniami sa eliminujú možné negatívne dopady prevádzky na obyvateľstvo a na prírodné prostredie. Možné negatíve pôsobenie prevádzky je nepriame prostredníctvom znečistenia ovzdušia, vznikom a nakladaním s odpadmi a hlukom z automobilov. Rozsah týchto vplyvov je vzhľadom na technické riešenie  menej významný. </w:t>
      </w:r>
    </w:p>
    <w:p w14:paraId="2421687B" w14:textId="77777777" w:rsidR="00E65CA9" w:rsidRPr="004A7717" w:rsidRDefault="00E65CA9" w:rsidP="00EB0C0A">
      <w:pPr>
        <w:pStyle w:val="A-Text11"/>
        <w:rPr>
          <w:szCs w:val="24"/>
        </w:rPr>
      </w:pPr>
      <w:r w:rsidRPr="004A7717">
        <w:rPr>
          <w:szCs w:val="24"/>
        </w:rPr>
        <w:t xml:space="preserve">Vzhľadom na skutočnosť, že prevádzka objektov bude predstavovať akceptovateľný zdroj znečisťovania ovzdušia, povrchových a podzemných vôd, nebude ani rozsah negatívnych dopadov na biotu významný. </w:t>
      </w:r>
    </w:p>
    <w:p w14:paraId="30B200A4" w14:textId="12475B04" w:rsidR="001217CA" w:rsidRPr="00EB0C0A" w:rsidRDefault="001217CA" w:rsidP="001217CA">
      <w:pPr>
        <w:spacing w:before="120"/>
        <w:ind w:left="340" w:hanging="340"/>
        <w:rPr>
          <w:rFonts w:ascii="Arial" w:hAnsi="Arial" w:cs="Arial"/>
          <w:sz w:val="22"/>
          <w:szCs w:val="22"/>
        </w:rPr>
      </w:pPr>
      <w:bookmarkStart w:id="357" w:name="_Toc132078730"/>
      <w:bookmarkStart w:id="358" w:name="_Toc495992991"/>
      <w:r w:rsidRPr="00EB0C0A">
        <w:rPr>
          <w:rFonts w:ascii="Arial" w:hAnsi="Arial" w:cs="Arial"/>
          <w:sz w:val="22"/>
          <w:szCs w:val="22"/>
        </w:rPr>
        <w:t>Riešiteľským kolektívom boli očakávané vplyvy podľa významnosti ohodnotené v tabuľke:</w:t>
      </w:r>
    </w:p>
    <w:p w14:paraId="45284981" w14:textId="07266B6E" w:rsidR="00082F1C" w:rsidRPr="00DA2BE8" w:rsidRDefault="00082F1C" w:rsidP="00082F1C">
      <w:pPr>
        <w:pStyle w:val="Zkladntext"/>
        <w:spacing w:before="120"/>
        <w:ind w:left="1210" w:hanging="1210"/>
        <w:rPr>
          <w:b w:val="0"/>
          <w:bCs w:val="0"/>
          <w:i/>
          <w:sz w:val="18"/>
          <w:szCs w:val="18"/>
          <w:lang w:val="sk-SK"/>
        </w:rPr>
      </w:pPr>
      <w:r w:rsidRPr="00DA2BE8">
        <w:rPr>
          <w:b w:val="0"/>
          <w:bCs w:val="0"/>
          <w:i/>
          <w:sz w:val="18"/>
          <w:szCs w:val="18"/>
          <w:lang w:val="sk-SK"/>
        </w:rPr>
        <w:t xml:space="preserve">Tab. č. </w:t>
      </w:r>
      <w:r w:rsidR="00CF15C7" w:rsidRPr="00DA2BE8">
        <w:rPr>
          <w:b w:val="0"/>
          <w:bCs w:val="0"/>
          <w:i/>
          <w:sz w:val="18"/>
          <w:szCs w:val="18"/>
          <w:lang w:val="sk-SK"/>
        </w:rPr>
        <w:t>IV.6.2</w:t>
      </w:r>
      <w:r w:rsidRPr="00DA2BE8">
        <w:rPr>
          <w:b w:val="0"/>
          <w:bCs w:val="0"/>
          <w:i/>
          <w:sz w:val="18"/>
          <w:szCs w:val="18"/>
          <w:lang w:val="sk-SK"/>
        </w:rPr>
        <w:t>:</w:t>
      </w:r>
      <w:r w:rsidRPr="00DA2BE8">
        <w:rPr>
          <w:b w:val="0"/>
          <w:bCs w:val="0"/>
          <w:i/>
          <w:sz w:val="18"/>
          <w:szCs w:val="18"/>
          <w:lang w:val="sk-SK"/>
        </w:rPr>
        <w:tab/>
        <w:t xml:space="preserve">Očakávané vplyvy  podľa významnosti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55"/>
        <w:gridCol w:w="4466"/>
        <w:gridCol w:w="991"/>
        <w:gridCol w:w="734"/>
        <w:gridCol w:w="709"/>
      </w:tblGrid>
      <w:tr w:rsidR="00DE0998" w:rsidRPr="00DE0998" w14:paraId="317F2A9E" w14:textId="77777777" w:rsidTr="000A6EFC">
        <w:tc>
          <w:tcPr>
            <w:tcW w:w="6321" w:type="dxa"/>
            <w:gridSpan w:val="2"/>
            <w:tcBorders>
              <w:top w:val="single" w:sz="4" w:space="0" w:color="000000"/>
              <w:left w:val="single" w:sz="4" w:space="0" w:color="000000"/>
              <w:bottom w:val="single" w:sz="4" w:space="0" w:color="000000"/>
              <w:right w:val="single" w:sz="4" w:space="0" w:color="000000"/>
            </w:tcBorders>
          </w:tcPr>
          <w:p w14:paraId="3598A16C" w14:textId="77777777" w:rsidR="00082F1C" w:rsidRPr="00DE0998" w:rsidRDefault="00082F1C" w:rsidP="000A6EFC">
            <w:pPr>
              <w:ind w:hanging="142"/>
              <w:rPr>
                <w:rFonts w:ascii="Arial" w:hAnsi="Arial" w:cs="Arial"/>
                <w:sz w:val="22"/>
                <w:szCs w:val="22"/>
              </w:rPr>
            </w:pPr>
          </w:p>
        </w:tc>
        <w:tc>
          <w:tcPr>
            <w:tcW w:w="991" w:type="dxa"/>
            <w:tcBorders>
              <w:top w:val="single" w:sz="4" w:space="0" w:color="000000"/>
              <w:left w:val="single" w:sz="4" w:space="0" w:color="000000"/>
              <w:bottom w:val="single" w:sz="4" w:space="0" w:color="000000"/>
              <w:right w:val="single" w:sz="4" w:space="0" w:color="000000"/>
            </w:tcBorders>
          </w:tcPr>
          <w:p w14:paraId="3B75719E" w14:textId="77777777" w:rsidR="00082F1C" w:rsidRPr="00DE0998" w:rsidRDefault="00082F1C" w:rsidP="000A6EFC">
            <w:pPr>
              <w:ind w:hanging="142"/>
              <w:jc w:val="center"/>
              <w:rPr>
                <w:rFonts w:ascii="Arial" w:hAnsi="Arial" w:cs="Arial"/>
                <w:sz w:val="22"/>
                <w:szCs w:val="22"/>
              </w:rPr>
            </w:pPr>
            <w:r w:rsidRPr="00DE0998">
              <w:rPr>
                <w:rFonts w:ascii="Arial" w:hAnsi="Arial" w:cs="Arial"/>
                <w:sz w:val="22"/>
                <w:szCs w:val="22"/>
              </w:rPr>
              <w:t>Nulový</w:t>
            </w:r>
          </w:p>
        </w:tc>
        <w:tc>
          <w:tcPr>
            <w:tcW w:w="734" w:type="dxa"/>
            <w:tcBorders>
              <w:top w:val="single" w:sz="4" w:space="0" w:color="000000"/>
              <w:left w:val="single" w:sz="4" w:space="0" w:color="000000"/>
              <w:bottom w:val="single" w:sz="4" w:space="0" w:color="000000"/>
              <w:right w:val="single" w:sz="4" w:space="0" w:color="000000"/>
            </w:tcBorders>
          </w:tcPr>
          <w:p w14:paraId="23949BE2" w14:textId="77777777" w:rsidR="00082F1C" w:rsidRPr="00DE0998" w:rsidRDefault="00082F1C" w:rsidP="000A6EFC">
            <w:pPr>
              <w:ind w:hanging="142"/>
              <w:jc w:val="center"/>
              <w:rPr>
                <w:rFonts w:ascii="Arial" w:hAnsi="Arial" w:cs="Arial"/>
                <w:sz w:val="22"/>
                <w:szCs w:val="22"/>
              </w:rPr>
            </w:pPr>
            <w:r w:rsidRPr="00DE0998">
              <w:rPr>
                <w:rFonts w:ascii="Arial" w:hAnsi="Arial" w:cs="Arial"/>
                <w:sz w:val="22"/>
                <w:szCs w:val="22"/>
              </w:rPr>
              <w:t>V 1</w:t>
            </w:r>
          </w:p>
        </w:tc>
        <w:tc>
          <w:tcPr>
            <w:tcW w:w="709" w:type="dxa"/>
            <w:tcBorders>
              <w:top w:val="single" w:sz="4" w:space="0" w:color="000000"/>
              <w:left w:val="single" w:sz="4" w:space="0" w:color="000000"/>
              <w:bottom w:val="single" w:sz="4" w:space="0" w:color="000000"/>
              <w:right w:val="single" w:sz="4" w:space="0" w:color="000000"/>
            </w:tcBorders>
          </w:tcPr>
          <w:p w14:paraId="172CECA5" w14:textId="77777777" w:rsidR="00082F1C" w:rsidRPr="00DE0998" w:rsidRDefault="00082F1C" w:rsidP="000A6EFC">
            <w:pPr>
              <w:ind w:hanging="142"/>
              <w:jc w:val="center"/>
              <w:rPr>
                <w:rFonts w:ascii="Arial" w:hAnsi="Arial" w:cs="Arial"/>
                <w:sz w:val="22"/>
                <w:szCs w:val="22"/>
              </w:rPr>
            </w:pPr>
            <w:r w:rsidRPr="00DE0998">
              <w:rPr>
                <w:rFonts w:ascii="Arial" w:hAnsi="Arial" w:cs="Arial"/>
                <w:sz w:val="22"/>
                <w:szCs w:val="22"/>
              </w:rPr>
              <w:t>V 2</w:t>
            </w:r>
          </w:p>
        </w:tc>
      </w:tr>
      <w:tr w:rsidR="00DE0998" w:rsidRPr="00DE0998" w14:paraId="3E00AACF" w14:textId="77777777" w:rsidTr="000A6EFC">
        <w:tc>
          <w:tcPr>
            <w:tcW w:w="1855" w:type="dxa"/>
            <w:vMerge w:val="restart"/>
            <w:tcBorders>
              <w:top w:val="single" w:sz="4" w:space="0" w:color="000000"/>
              <w:left w:val="single" w:sz="4" w:space="0" w:color="000000"/>
              <w:bottom w:val="single" w:sz="4" w:space="0" w:color="000000"/>
              <w:right w:val="single" w:sz="4" w:space="0" w:color="000000"/>
            </w:tcBorders>
          </w:tcPr>
          <w:p w14:paraId="7692BD79" w14:textId="77777777" w:rsidR="00082F1C" w:rsidRPr="00DE0998" w:rsidRDefault="00082F1C" w:rsidP="000A6EFC">
            <w:pPr>
              <w:rPr>
                <w:rFonts w:ascii="Arial" w:hAnsi="Arial" w:cs="Arial"/>
                <w:sz w:val="22"/>
                <w:szCs w:val="22"/>
              </w:rPr>
            </w:pPr>
            <w:r w:rsidRPr="00DE0998">
              <w:rPr>
                <w:rFonts w:ascii="Arial" w:hAnsi="Arial" w:cs="Arial"/>
                <w:sz w:val="22"/>
                <w:szCs w:val="22"/>
              </w:rPr>
              <w:t>Vplyvy</w:t>
            </w:r>
          </w:p>
          <w:p w14:paraId="767BAF22" w14:textId="77777777" w:rsidR="00082F1C" w:rsidRPr="00DE0998" w:rsidRDefault="00082F1C" w:rsidP="000A6EFC">
            <w:pPr>
              <w:rPr>
                <w:rFonts w:ascii="Arial" w:hAnsi="Arial" w:cs="Arial"/>
                <w:sz w:val="22"/>
                <w:szCs w:val="22"/>
              </w:rPr>
            </w:pPr>
            <w:r w:rsidRPr="00DE0998">
              <w:rPr>
                <w:rFonts w:ascii="Arial" w:hAnsi="Arial" w:cs="Arial"/>
                <w:sz w:val="22"/>
                <w:szCs w:val="22"/>
              </w:rPr>
              <w:t>na obyvateľstvo</w:t>
            </w:r>
          </w:p>
        </w:tc>
        <w:tc>
          <w:tcPr>
            <w:tcW w:w="4466" w:type="dxa"/>
            <w:tcBorders>
              <w:top w:val="single" w:sz="4" w:space="0" w:color="000000"/>
              <w:left w:val="single" w:sz="4" w:space="0" w:color="000000"/>
              <w:bottom w:val="single" w:sz="4" w:space="0" w:color="000000"/>
              <w:right w:val="single" w:sz="4" w:space="0" w:color="000000"/>
            </w:tcBorders>
          </w:tcPr>
          <w:p w14:paraId="01FAA603"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Využitie územia</w:t>
            </w:r>
          </w:p>
        </w:tc>
        <w:tc>
          <w:tcPr>
            <w:tcW w:w="991" w:type="dxa"/>
            <w:tcBorders>
              <w:top w:val="single" w:sz="4" w:space="0" w:color="000000"/>
              <w:left w:val="single" w:sz="4" w:space="0" w:color="000000"/>
              <w:bottom w:val="single" w:sz="4" w:space="0" w:color="000000"/>
              <w:right w:val="single" w:sz="4" w:space="0" w:color="000000"/>
            </w:tcBorders>
          </w:tcPr>
          <w:p w14:paraId="07BF81E8" w14:textId="54499606" w:rsidR="00082F1C" w:rsidRPr="00DE0998" w:rsidRDefault="008E7688" w:rsidP="000A6EFC">
            <w:pPr>
              <w:ind w:hanging="142"/>
              <w:jc w:val="center"/>
              <w:rPr>
                <w:rFonts w:ascii="Arial" w:hAnsi="Arial" w:cs="Arial"/>
                <w:sz w:val="22"/>
                <w:szCs w:val="22"/>
              </w:rPr>
            </w:pPr>
            <w:r>
              <w:rPr>
                <w:rFonts w:ascii="Arial" w:hAnsi="Arial" w:cs="Arial"/>
                <w:sz w:val="22"/>
                <w:szCs w:val="22"/>
              </w:rPr>
              <w:t>1</w:t>
            </w:r>
          </w:p>
        </w:tc>
        <w:tc>
          <w:tcPr>
            <w:tcW w:w="734" w:type="dxa"/>
            <w:tcBorders>
              <w:top w:val="single" w:sz="4" w:space="0" w:color="000000"/>
              <w:left w:val="single" w:sz="4" w:space="0" w:color="000000"/>
              <w:bottom w:val="single" w:sz="4" w:space="0" w:color="000000"/>
              <w:right w:val="single" w:sz="4" w:space="0" w:color="000000"/>
            </w:tcBorders>
          </w:tcPr>
          <w:p w14:paraId="58E75954" w14:textId="5D0D5FF5" w:rsidR="00082F1C" w:rsidRPr="00DE0998" w:rsidRDefault="00EC457E" w:rsidP="000A6EFC">
            <w:pPr>
              <w:ind w:hanging="142"/>
              <w:jc w:val="center"/>
              <w:rPr>
                <w:rFonts w:ascii="Arial" w:hAnsi="Arial" w:cs="Arial"/>
                <w:sz w:val="22"/>
                <w:szCs w:val="22"/>
              </w:rPr>
            </w:pPr>
            <w:r w:rsidRPr="00DE0998">
              <w:rPr>
                <w:rFonts w:ascii="Arial" w:hAnsi="Arial" w:cs="Arial"/>
                <w:sz w:val="22"/>
                <w:szCs w:val="22"/>
              </w:rPr>
              <w:t>3</w:t>
            </w:r>
          </w:p>
        </w:tc>
        <w:tc>
          <w:tcPr>
            <w:tcW w:w="709" w:type="dxa"/>
            <w:tcBorders>
              <w:top w:val="single" w:sz="4" w:space="0" w:color="000000"/>
              <w:left w:val="single" w:sz="4" w:space="0" w:color="000000"/>
              <w:bottom w:val="single" w:sz="4" w:space="0" w:color="000000"/>
              <w:right w:val="single" w:sz="4" w:space="0" w:color="000000"/>
            </w:tcBorders>
          </w:tcPr>
          <w:p w14:paraId="3E5AD741" w14:textId="65271A5C" w:rsidR="00082F1C" w:rsidRPr="00DE0998" w:rsidRDefault="00EC457E" w:rsidP="000A6EFC">
            <w:pPr>
              <w:ind w:hanging="142"/>
              <w:jc w:val="center"/>
              <w:rPr>
                <w:rFonts w:ascii="Arial" w:hAnsi="Arial" w:cs="Arial"/>
                <w:sz w:val="22"/>
                <w:szCs w:val="22"/>
              </w:rPr>
            </w:pPr>
            <w:r w:rsidRPr="00DE0998">
              <w:rPr>
                <w:rFonts w:ascii="Arial" w:hAnsi="Arial" w:cs="Arial"/>
                <w:sz w:val="22"/>
                <w:szCs w:val="22"/>
              </w:rPr>
              <w:t>3</w:t>
            </w:r>
          </w:p>
        </w:tc>
      </w:tr>
      <w:tr w:rsidR="00DE0998" w:rsidRPr="00DE0998" w14:paraId="6899F208"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3AA5AB01" w14:textId="77777777" w:rsidR="00082F1C" w:rsidRPr="00DE0998" w:rsidRDefault="00082F1C" w:rsidP="000A6EFC">
            <w:pPr>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009E1D1C"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Záťaž hlukom</w:t>
            </w:r>
          </w:p>
        </w:tc>
        <w:tc>
          <w:tcPr>
            <w:tcW w:w="991" w:type="dxa"/>
            <w:tcBorders>
              <w:top w:val="single" w:sz="4" w:space="0" w:color="000000"/>
              <w:left w:val="single" w:sz="4" w:space="0" w:color="000000"/>
              <w:bottom w:val="single" w:sz="4" w:space="0" w:color="000000"/>
              <w:right w:val="single" w:sz="4" w:space="0" w:color="000000"/>
            </w:tcBorders>
          </w:tcPr>
          <w:p w14:paraId="4CCF632F" w14:textId="1498A3E1" w:rsidR="00082F1C" w:rsidRPr="00DE0998" w:rsidRDefault="00C860EF" w:rsidP="000A6EFC">
            <w:pPr>
              <w:ind w:hanging="142"/>
              <w:jc w:val="center"/>
              <w:rPr>
                <w:rFonts w:ascii="Arial" w:hAnsi="Arial" w:cs="Arial"/>
                <w:sz w:val="22"/>
                <w:szCs w:val="22"/>
              </w:rPr>
            </w:pPr>
            <w:r w:rsidRPr="00DE0998">
              <w:rPr>
                <w:rFonts w:ascii="Arial" w:hAnsi="Arial" w:cs="Arial"/>
                <w:sz w:val="22"/>
                <w:szCs w:val="22"/>
              </w:rPr>
              <w:t>-1</w:t>
            </w:r>
          </w:p>
        </w:tc>
        <w:tc>
          <w:tcPr>
            <w:tcW w:w="734" w:type="dxa"/>
            <w:tcBorders>
              <w:top w:val="single" w:sz="4" w:space="0" w:color="000000"/>
              <w:left w:val="single" w:sz="4" w:space="0" w:color="000000"/>
              <w:bottom w:val="single" w:sz="4" w:space="0" w:color="000000"/>
              <w:right w:val="single" w:sz="4" w:space="0" w:color="000000"/>
            </w:tcBorders>
          </w:tcPr>
          <w:p w14:paraId="4B1CDBC4" w14:textId="5A13D1DB" w:rsidR="00082F1C" w:rsidRPr="00DE0998" w:rsidRDefault="00C860EF" w:rsidP="000A6EFC">
            <w:pPr>
              <w:ind w:hanging="142"/>
              <w:jc w:val="center"/>
              <w:rPr>
                <w:rFonts w:ascii="Arial" w:hAnsi="Arial" w:cs="Arial"/>
                <w:sz w:val="22"/>
                <w:szCs w:val="22"/>
              </w:rPr>
            </w:pPr>
            <w:r w:rsidRPr="00DE0998">
              <w:rPr>
                <w:rFonts w:ascii="Arial" w:hAnsi="Arial" w:cs="Arial"/>
                <w:sz w:val="22"/>
                <w:szCs w:val="22"/>
              </w:rPr>
              <w:t>-1</w:t>
            </w:r>
          </w:p>
        </w:tc>
        <w:tc>
          <w:tcPr>
            <w:tcW w:w="709" w:type="dxa"/>
            <w:tcBorders>
              <w:top w:val="single" w:sz="4" w:space="0" w:color="000000"/>
              <w:left w:val="single" w:sz="4" w:space="0" w:color="000000"/>
              <w:bottom w:val="single" w:sz="4" w:space="0" w:color="000000"/>
              <w:right w:val="single" w:sz="4" w:space="0" w:color="000000"/>
            </w:tcBorders>
          </w:tcPr>
          <w:p w14:paraId="2D27BD67" w14:textId="0D3903FD" w:rsidR="00082F1C" w:rsidRPr="00DE0998" w:rsidRDefault="00C860EF" w:rsidP="000A6EFC">
            <w:pPr>
              <w:ind w:hanging="142"/>
              <w:jc w:val="center"/>
              <w:rPr>
                <w:rFonts w:ascii="Arial" w:hAnsi="Arial" w:cs="Arial"/>
                <w:sz w:val="22"/>
                <w:szCs w:val="22"/>
              </w:rPr>
            </w:pPr>
            <w:r w:rsidRPr="00DE0998">
              <w:rPr>
                <w:rFonts w:ascii="Arial" w:hAnsi="Arial" w:cs="Arial"/>
                <w:sz w:val="22"/>
                <w:szCs w:val="22"/>
              </w:rPr>
              <w:t>-1</w:t>
            </w:r>
          </w:p>
        </w:tc>
      </w:tr>
      <w:tr w:rsidR="00DE0998" w:rsidRPr="00DE0998" w14:paraId="0155B0B6"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74E70009" w14:textId="77777777" w:rsidR="00082F1C" w:rsidRPr="00DE0998" w:rsidRDefault="00082F1C" w:rsidP="000A6EFC">
            <w:pPr>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5CF93F05"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 xml:space="preserve">Záťaž prašnosťou emisiami z dopravy </w:t>
            </w:r>
          </w:p>
        </w:tc>
        <w:tc>
          <w:tcPr>
            <w:tcW w:w="991" w:type="dxa"/>
            <w:tcBorders>
              <w:top w:val="single" w:sz="4" w:space="0" w:color="000000"/>
              <w:left w:val="single" w:sz="4" w:space="0" w:color="000000"/>
              <w:bottom w:val="single" w:sz="4" w:space="0" w:color="000000"/>
              <w:right w:val="single" w:sz="4" w:space="0" w:color="000000"/>
            </w:tcBorders>
          </w:tcPr>
          <w:p w14:paraId="60F3966E" w14:textId="344B9CB5" w:rsidR="00082F1C" w:rsidRPr="00DE0998" w:rsidRDefault="00C860EF" w:rsidP="000A6EFC">
            <w:pPr>
              <w:ind w:hanging="142"/>
              <w:jc w:val="center"/>
              <w:rPr>
                <w:rFonts w:ascii="Arial" w:hAnsi="Arial" w:cs="Arial"/>
                <w:sz w:val="22"/>
                <w:szCs w:val="22"/>
              </w:rPr>
            </w:pPr>
            <w:r w:rsidRPr="00DE0998">
              <w:rPr>
                <w:rFonts w:ascii="Arial" w:hAnsi="Arial" w:cs="Arial"/>
                <w:sz w:val="22"/>
                <w:szCs w:val="22"/>
              </w:rPr>
              <w:t>-1</w:t>
            </w:r>
          </w:p>
        </w:tc>
        <w:tc>
          <w:tcPr>
            <w:tcW w:w="734" w:type="dxa"/>
            <w:tcBorders>
              <w:top w:val="single" w:sz="4" w:space="0" w:color="000000"/>
              <w:left w:val="single" w:sz="4" w:space="0" w:color="000000"/>
              <w:bottom w:val="single" w:sz="4" w:space="0" w:color="000000"/>
              <w:right w:val="single" w:sz="4" w:space="0" w:color="000000"/>
            </w:tcBorders>
          </w:tcPr>
          <w:p w14:paraId="7BDEDE36" w14:textId="2E1FBEC5" w:rsidR="00082F1C" w:rsidRPr="00DE0998" w:rsidRDefault="00C860EF" w:rsidP="000A6EFC">
            <w:pPr>
              <w:ind w:hanging="142"/>
              <w:jc w:val="center"/>
              <w:rPr>
                <w:rFonts w:ascii="Arial" w:hAnsi="Arial" w:cs="Arial"/>
                <w:sz w:val="22"/>
                <w:szCs w:val="22"/>
              </w:rPr>
            </w:pPr>
            <w:r w:rsidRPr="00DE0998">
              <w:rPr>
                <w:rFonts w:ascii="Arial" w:hAnsi="Arial" w:cs="Arial"/>
                <w:sz w:val="22"/>
                <w:szCs w:val="22"/>
              </w:rPr>
              <w:t>-1</w:t>
            </w:r>
          </w:p>
        </w:tc>
        <w:tc>
          <w:tcPr>
            <w:tcW w:w="709" w:type="dxa"/>
            <w:tcBorders>
              <w:top w:val="single" w:sz="4" w:space="0" w:color="000000"/>
              <w:left w:val="single" w:sz="4" w:space="0" w:color="000000"/>
              <w:bottom w:val="single" w:sz="4" w:space="0" w:color="000000"/>
              <w:right w:val="single" w:sz="4" w:space="0" w:color="000000"/>
            </w:tcBorders>
          </w:tcPr>
          <w:p w14:paraId="2FFFBF2B" w14:textId="2A5D2902" w:rsidR="00082F1C" w:rsidRPr="00DE0998" w:rsidRDefault="00C860EF" w:rsidP="000A6EFC">
            <w:pPr>
              <w:ind w:hanging="142"/>
              <w:jc w:val="center"/>
              <w:rPr>
                <w:rFonts w:ascii="Arial" w:hAnsi="Arial" w:cs="Arial"/>
                <w:sz w:val="22"/>
                <w:szCs w:val="22"/>
              </w:rPr>
            </w:pPr>
            <w:r w:rsidRPr="00DE0998">
              <w:rPr>
                <w:rFonts w:ascii="Arial" w:hAnsi="Arial" w:cs="Arial"/>
                <w:sz w:val="22"/>
                <w:szCs w:val="22"/>
              </w:rPr>
              <w:t>-1</w:t>
            </w:r>
          </w:p>
        </w:tc>
      </w:tr>
      <w:tr w:rsidR="00DE0998" w:rsidRPr="00DE0998" w14:paraId="7B49656C"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4F68F2A9" w14:textId="77777777" w:rsidR="00082F1C" w:rsidRPr="00DE0998" w:rsidRDefault="00082F1C" w:rsidP="000A6EFC">
            <w:pPr>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08320E3F"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Vznik odpadov</w:t>
            </w:r>
          </w:p>
        </w:tc>
        <w:tc>
          <w:tcPr>
            <w:tcW w:w="991" w:type="dxa"/>
            <w:tcBorders>
              <w:top w:val="single" w:sz="4" w:space="0" w:color="000000"/>
              <w:left w:val="single" w:sz="4" w:space="0" w:color="000000"/>
              <w:bottom w:val="single" w:sz="4" w:space="0" w:color="000000"/>
              <w:right w:val="single" w:sz="4" w:space="0" w:color="000000"/>
            </w:tcBorders>
          </w:tcPr>
          <w:p w14:paraId="03594575" w14:textId="02765CAE" w:rsidR="00082F1C" w:rsidRPr="00DE0998" w:rsidRDefault="00C860EF" w:rsidP="000A6EFC">
            <w:pPr>
              <w:ind w:hanging="142"/>
              <w:jc w:val="center"/>
              <w:rPr>
                <w:rFonts w:ascii="Arial" w:hAnsi="Arial" w:cs="Arial"/>
                <w:sz w:val="22"/>
                <w:szCs w:val="22"/>
              </w:rPr>
            </w:pPr>
            <w:r w:rsidRPr="00DE0998">
              <w:rPr>
                <w:rFonts w:ascii="Arial" w:hAnsi="Arial" w:cs="Arial"/>
                <w:sz w:val="22"/>
                <w:szCs w:val="22"/>
              </w:rPr>
              <w:t>-1</w:t>
            </w:r>
          </w:p>
        </w:tc>
        <w:tc>
          <w:tcPr>
            <w:tcW w:w="734" w:type="dxa"/>
            <w:tcBorders>
              <w:top w:val="single" w:sz="4" w:space="0" w:color="000000"/>
              <w:left w:val="single" w:sz="4" w:space="0" w:color="000000"/>
              <w:bottom w:val="single" w:sz="4" w:space="0" w:color="000000"/>
              <w:right w:val="single" w:sz="4" w:space="0" w:color="000000"/>
            </w:tcBorders>
          </w:tcPr>
          <w:p w14:paraId="12CA4052" w14:textId="30AEC244" w:rsidR="00082F1C" w:rsidRPr="00DE0998" w:rsidRDefault="00C860EF" w:rsidP="000A6EFC">
            <w:pPr>
              <w:ind w:hanging="142"/>
              <w:jc w:val="center"/>
              <w:rPr>
                <w:rFonts w:ascii="Arial" w:hAnsi="Arial" w:cs="Arial"/>
                <w:sz w:val="22"/>
                <w:szCs w:val="22"/>
              </w:rPr>
            </w:pPr>
            <w:r w:rsidRPr="00DE0998">
              <w:rPr>
                <w:rFonts w:ascii="Arial" w:hAnsi="Arial" w:cs="Arial"/>
                <w:sz w:val="22"/>
                <w:szCs w:val="22"/>
              </w:rPr>
              <w:t>-2</w:t>
            </w:r>
          </w:p>
        </w:tc>
        <w:tc>
          <w:tcPr>
            <w:tcW w:w="709" w:type="dxa"/>
            <w:tcBorders>
              <w:top w:val="single" w:sz="4" w:space="0" w:color="000000"/>
              <w:left w:val="single" w:sz="4" w:space="0" w:color="000000"/>
              <w:bottom w:val="single" w:sz="4" w:space="0" w:color="000000"/>
              <w:right w:val="single" w:sz="4" w:space="0" w:color="000000"/>
            </w:tcBorders>
          </w:tcPr>
          <w:p w14:paraId="741240B5" w14:textId="57BD9913" w:rsidR="00082F1C" w:rsidRPr="00DE0998" w:rsidRDefault="00C860EF" w:rsidP="000A6EFC">
            <w:pPr>
              <w:ind w:hanging="142"/>
              <w:jc w:val="center"/>
              <w:rPr>
                <w:rFonts w:ascii="Arial" w:hAnsi="Arial" w:cs="Arial"/>
                <w:sz w:val="22"/>
                <w:szCs w:val="22"/>
              </w:rPr>
            </w:pPr>
            <w:r w:rsidRPr="00DE0998">
              <w:rPr>
                <w:rFonts w:ascii="Arial" w:hAnsi="Arial" w:cs="Arial"/>
                <w:sz w:val="22"/>
                <w:szCs w:val="22"/>
              </w:rPr>
              <w:t>-2</w:t>
            </w:r>
          </w:p>
        </w:tc>
      </w:tr>
      <w:tr w:rsidR="00DE0998" w:rsidRPr="00DE0998" w14:paraId="09C919D2"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49C4E23C" w14:textId="77777777" w:rsidR="00082F1C" w:rsidRPr="00DE0998" w:rsidRDefault="00082F1C" w:rsidP="000A6EFC">
            <w:pPr>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2127F755"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Ovplyvnenie celkovej pohody obyvateľstva</w:t>
            </w:r>
          </w:p>
        </w:tc>
        <w:tc>
          <w:tcPr>
            <w:tcW w:w="991" w:type="dxa"/>
            <w:tcBorders>
              <w:top w:val="single" w:sz="4" w:space="0" w:color="000000"/>
              <w:left w:val="single" w:sz="4" w:space="0" w:color="000000"/>
              <w:bottom w:val="single" w:sz="4" w:space="0" w:color="000000"/>
              <w:right w:val="single" w:sz="4" w:space="0" w:color="000000"/>
            </w:tcBorders>
          </w:tcPr>
          <w:p w14:paraId="15484210" w14:textId="78593DCD" w:rsidR="00082F1C" w:rsidRPr="00DE0998" w:rsidRDefault="0074427E" w:rsidP="000A6EFC">
            <w:pPr>
              <w:ind w:hanging="142"/>
              <w:jc w:val="center"/>
              <w:rPr>
                <w:rFonts w:ascii="Arial" w:hAnsi="Arial" w:cs="Arial"/>
                <w:sz w:val="22"/>
                <w:szCs w:val="22"/>
              </w:rPr>
            </w:pPr>
            <w:r>
              <w:rPr>
                <w:rFonts w:ascii="Arial" w:hAnsi="Arial" w:cs="Arial"/>
                <w:sz w:val="22"/>
                <w:szCs w:val="22"/>
              </w:rPr>
              <w:t>1</w:t>
            </w:r>
          </w:p>
        </w:tc>
        <w:tc>
          <w:tcPr>
            <w:tcW w:w="734" w:type="dxa"/>
            <w:tcBorders>
              <w:top w:val="single" w:sz="4" w:space="0" w:color="000000"/>
              <w:left w:val="single" w:sz="4" w:space="0" w:color="000000"/>
              <w:bottom w:val="single" w:sz="4" w:space="0" w:color="000000"/>
              <w:right w:val="single" w:sz="4" w:space="0" w:color="000000"/>
            </w:tcBorders>
          </w:tcPr>
          <w:p w14:paraId="101B0C8C" w14:textId="4CE989DA" w:rsidR="00082F1C" w:rsidRPr="00DE0998" w:rsidRDefault="00C860EF" w:rsidP="000A6EFC">
            <w:pPr>
              <w:ind w:hanging="142"/>
              <w:jc w:val="center"/>
              <w:rPr>
                <w:rFonts w:ascii="Arial" w:hAnsi="Arial" w:cs="Arial"/>
                <w:sz w:val="22"/>
                <w:szCs w:val="22"/>
              </w:rPr>
            </w:pPr>
            <w:r w:rsidRPr="00DE0998">
              <w:rPr>
                <w:rFonts w:ascii="Arial" w:hAnsi="Arial" w:cs="Arial"/>
                <w:sz w:val="22"/>
                <w:szCs w:val="22"/>
              </w:rPr>
              <w:t>3</w:t>
            </w:r>
          </w:p>
        </w:tc>
        <w:tc>
          <w:tcPr>
            <w:tcW w:w="709" w:type="dxa"/>
            <w:tcBorders>
              <w:top w:val="single" w:sz="4" w:space="0" w:color="000000"/>
              <w:left w:val="single" w:sz="4" w:space="0" w:color="000000"/>
              <w:bottom w:val="single" w:sz="4" w:space="0" w:color="000000"/>
              <w:right w:val="single" w:sz="4" w:space="0" w:color="000000"/>
            </w:tcBorders>
          </w:tcPr>
          <w:p w14:paraId="78BD1B31" w14:textId="365A5FFD" w:rsidR="00082F1C" w:rsidRPr="00DE0998" w:rsidRDefault="00C860EF" w:rsidP="000A6EFC">
            <w:pPr>
              <w:ind w:hanging="142"/>
              <w:jc w:val="center"/>
              <w:rPr>
                <w:rFonts w:ascii="Arial" w:hAnsi="Arial" w:cs="Arial"/>
                <w:sz w:val="22"/>
                <w:szCs w:val="22"/>
              </w:rPr>
            </w:pPr>
            <w:r w:rsidRPr="00DE0998">
              <w:rPr>
                <w:rFonts w:ascii="Arial" w:hAnsi="Arial" w:cs="Arial"/>
                <w:sz w:val="22"/>
                <w:szCs w:val="22"/>
              </w:rPr>
              <w:t>3</w:t>
            </w:r>
          </w:p>
        </w:tc>
      </w:tr>
      <w:tr w:rsidR="00DE0998" w:rsidRPr="00DE0998" w14:paraId="0840CBA7" w14:textId="77777777" w:rsidTr="000A6EFC">
        <w:tc>
          <w:tcPr>
            <w:tcW w:w="1855" w:type="dxa"/>
            <w:vMerge w:val="restart"/>
            <w:tcBorders>
              <w:top w:val="single" w:sz="4" w:space="0" w:color="000000"/>
              <w:left w:val="single" w:sz="4" w:space="0" w:color="000000"/>
              <w:bottom w:val="single" w:sz="4" w:space="0" w:color="000000"/>
              <w:right w:val="single" w:sz="4" w:space="0" w:color="000000"/>
            </w:tcBorders>
          </w:tcPr>
          <w:p w14:paraId="02F039E0" w14:textId="77777777" w:rsidR="00082F1C" w:rsidRPr="00DE0998" w:rsidRDefault="00082F1C" w:rsidP="000A6EFC">
            <w:pPr>
              <w:rPr>
                <w:rFonts w:ascii="Arial" w:hAnsi="Arial" w:cs="Arial"/>
                <w:sz w:val="22"/>
                <w:szCs w:val="22"/>
              </w:rPr>
            </w:pPr>
            <w:r w:rsidRPr="00DE0998">
              <w:rPr>
                <w:rFonts w:ascii="Arial" w:hAnsi="Arial" w:cs="Arial"/>
                <w:sz w:val="22"/>
                <w:szCs w:val="22"/>
              </w:rPr>
              <w:t>Vstupy</w:t>
            </w:r>
          </w:p>
        </w:tc>
        <w:tc>
          <w:tcPr>
            <w:tcW w:w="4466" w:type="dxa"/>
            <w:tcBorders>
              <w:top w:val="single" w:sz="4" w:space="0" w:color="000000"/>
              <w:left w:val="single" w:sz="4" w:space="0" w:color="000000"/>
              <w:bottom w:val="single" w:sz="4" w:space="0" w:color="000000"/>
              <w:right w:val="single" w:sz="4" w:space="0" w:color="000000"/>
            </w:tcBorders>
          </w:tcPr>
          <w:p w14:paraId="54E8FCC6"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Záber pôdy</w:t>
            </w:r>
          </w:p>
        </w:tc>
        <w:tc>
          <w:tcPr>
            <w:tcW w:w="991" w:type="dxa"/>
            <w:tcBorders>
              <w:top w:val="single" w:sz="4" w:space="0" w:color="000000"/>
              <w:left w:val="single" w:sz="4" w:space="0" w:color="000000"/>
              <w:bottom w:val="single" w:sz="4" w:space="0" w:color="000000"/>
              <w:right w:val="single" w:sz="4" w:space="0" w:color="000000"/>
            </w:tcBorders>
          </w:tcPr>
          <w:p w14:paraId="09360CD4" w14:textId="378F24FC" w:rsidR="00082F1C" w:rsidRPr="00DE0998" w:rsidRDefault="00913227" w:rsidP="000A6EFC">
            <w:pPr>
              <w:ind w:hanging="142"/>
              <w:jc w:val="center"/>
              <w:rPr>
                <w:rFonts w:ascii="Arial" w:hAnsi="Arial" w:cs="Arial"/>
                <w:sz w:val="22"/>
                <w:szCs w:val="22"/>
              </w:rPr>
            </w:pPr>
            <w:r w:rsidRPr="00DE0998">
              <w:rPr>
                <w:rFonts w:ascii="Arial" w:hAnsi="Arial" w:cs="Arial"/>
                <w:sz w:val="22"/>
                <w:szCs w:val="22"/>
              </w:rPr>
              <w:t>0</w:t>
            </w:r>
          </w:p>
        </w:tc>
        <w:tc>
          <w:tcPr>
            <w:tcW w:w="734" w:type="dxa"/>
            <w:tcBorders>
              <w:top w:val="single" w:sz="4" w:space="0" w:color="000000"/>
              <w:left w:val="single" w:sz="4" w:space="0" w:color="000000"/>
              <w:bottom w:val="single" w:sz="4" w:space="0" w:color="000000"/>
              <w:right w:val="single" w:sz="4" w:space="0" w:color="000000"/>
            </w:tcBorders>
          </w:tcPr>
          <w:p w14:paraId="7996E3C6" w14:textId="098A9A29" w:rsidR="00082F1C" w:rsidRPr="00DE0998" w:rsidRDefault="00913227" w:rsidP="000A6EFC">
            <w:pPr>
              <w:ind w:hanging="142"/>
              <w:jc w:val="center"/>
              <w:rPr>
                <w:rFonts w:ascii="Arial" w:hAnsi="Arial" w:cs="Arial"/>
                <w:sz w:val="22"/>
                <w:szCs w:val="22"/>
              </w:rPr>
            </w:pPr>
            <w:r w:rsidRPr="00DE0998">
              <w:rPr>
                <w:rFonts w:ascii="Arial" w:hAnsi="Arial" w:cs="Arial"/>
                <w:sz w:val="22"/>
                <w:szCs w:val="22"/>
              </w:rPr>
              <w:t>0</w:t>
            </w:r>
          </w:p>
        </w:tc>
        <w:tc>
          <w:tcPr>
            <w:tcW w:w="709" w:type="dxa"/>
            <w:tcBorders>
              <w:top w:val="single" w:sz="4" w:space="0" w:color="000000"/>
              <w:left w:val="single" w:sz="4" w:space="0" w:color="000000"/>
              <w:bottom w:val="single" w:sz="4" w:space="0" w:color="000000"/>
              <w:right w:val="single" w:sz="4" w:space="0" w:color="000000"/>
            </w:tcBorders>
          </w:tcPr>
          <w:p w14:paraId="2CAD1D10" w14:textId="2548DCBB" w:rsidR="00082F1C" w:rsidRPr="00DE0998" w:rsidRDefault="00913227" w:rsidP="000A6EFC">
            <w:pPr>
              <w:ind w:hanging="142"/>
              <w:jc w:val="center"/>
              <w:rPr>
                <w:rFonts w:ascii="Arial" w:hAnsi="Arial" w:cs="Arial"/>
                <w:sz w:val="22"/>
                <w:szCs w:val="22"/>
              </w:rPr>
            </w:pPr>
            <w:r w:rsidRPr="00DE0998">
              <w:rPr>
                <w:rFonts w:ascii="Arial" w:hAnsi="Arial" w:cs="Arial"/>
                <w:sz w:val="22"/>
                <w:szCs w:val="22"/>
              </w:rPr>
              <w:t>0</w:t>
            </w:r>
          </w:p>
        </w:tc>
      </w:tr>
      <w:tr w:rsidR="00DE0998" w:rsidRPr="00DE0998" w14:paraId="2B2F56BC"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38D17B2B" w14:textId="77777777" w:rsidR="00082F1C" w:rsidRPr="00DE0998" w:rsidRDefault="00082F1C" w:rsidP="000A6EFC">
            <w:pPr>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576EEE9F"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Nároky na vodu</w:t>
            </w:r>
          </w:p>
        </w:tc>
        <w:tc>
          <w:tcPr>
            <w:tcW w:w="991" w:type="dxa"/>
            <w:tcBorders>
              <w:top w:val="single" w:sz="4" w:space="0" w:color="000000"/>
              <w:left w:val="single" w:sz="4" w:space="0" w:color="000000"/>
              <w:bottom w:val="single" w:sz="4" w:space="0" w:color="000000"/>
              <w:right w:val="single" w:sz="4" w:space="0" w:color="000000"/>
            </w:tcBorders>
          </w:tcPr>
          <w:p w14:paraId="55C526F9" w14:textId="14FEC6A3" w:rsidR="00082F1C" w:rsidRPr="00DE0998" w:rsidRDefault="00267767" w:rsidP="000A6EFC">
            <w:pPr>
              <w:ind w:hanging="142"/>
              <w:jc w:val="center"/>
              <w:rPr>
                <w:rFonts w:ascii="Arial" w:hAnsi="Arial" w:cs="Arial"/>
                <w:sz w:val="22"/>
                <w:szCs w:val="22"/>
              </w:rPr>
            </w:pPr>
            <w:r w:rsidRPr="00DE0998">
              <w:rPr>
                <w:rFonts w:ascii="Arial" w:hAnsi="Arial" w:cs="Arial"/>
                <w:sz w:val="22"/>
                <w:szCs w:val="22"/>
              </w:rPr>
              <w:t>-1</w:t>
            </w:r>
          </w:p>
        </w:tc>
        <w:tc>
          <w:tcPr>
            <w:tcW w:w="734" w:type="dxa"/>
            <w:tcBorders>
              <w:top w:val="single" w:sz="4" w:space="0" w:color="000000"/>
              <w:left w:val="single" w:sz="4" w:space="0" w:color="000000"/>
              <w:bottom w:val="single" w:sz="4" w:space="0" w:color="000000"/>
              <w:right w:val="single" w:sz="4" w:space="0" w:color="000000"/>
            </w:tcBorders>
          </w:tcPr>
          <w:p w14:paraId="0774F6CD" w14:textId="49D79FBF" w:rsidR="00082F1C" w:rsidRPr="00DE0998" w:rsidRDefault="00267767" w:rsidP="000A6EFC">
            <w:pPr>
              <w:ind w:hanging="142"/>
              <w:jc w:val="center"/>
              <w:rPr>
                <w:rFonts w:ascii="Arial" w:hAnsi="Arial" w:cs="Arial"/>
                <w:sz w:val="22"/>
                <w:szCs w:val="22"/>
              </w:rPr>
            </w:pPr>
            <w:r w:rsidRPr="00DE0998">
              <w:rPr>
                <w:rFonts w:ascii="Arial" w:hAnsi="Arial" w:cs="Arial"/>
                <w:sz w:val="22"/>
                <w:szCs w:val="22"/>
              </w:rPr>
              <w:t>-2</w:t>
            </w:r>
          </w:p>
        </w:tc>
        <w:tc>
          <w:tcPr>
            <w:tcW w:w="709" w:type="dxa"/>
            <w:tcBorders>
              <w:top w:val="single" w:sz="4" w:space="0" w:color="000000"/>
              <w:left w:val="single" w:sz="4" w:space="0" w:color="000000"/>
              <w:bottom w:val="single" w:sz="4" w:space="0" w:color="000000"/>
              <w:right w:val="single" w:sz="4" w:space="0" w:color="000000"/>
            </w:tcBorders>
          </w:tcPr>
          <w:p w14:paraId="2D2CCFDF" w14:textId="6DC8435C" w:rsidR="00082F1C" w:rsidRPr="00DE0998" w:rsidRDefault="00267767" w:rsidP="000A6EFC">
            <w:pPr>
              <w:ind w:hanging="142"/>
              <w:jc w:val="center"/>
              <w:rPr>
                <w:rFonts w:ascii="Arial" w:hAnsi="Arial" w:cs="Arial"/>
                <w:sz w:val="22"/>
                <w:szCs w:val="22"/>
              </w:rPr>
            </w:pPr>
            <w:r w:rsidRPr="00DE0998">
              <w:rPr>
                <w:rFonts w:ascii="Arial" w:hAnsi="Arial" w:cs="Arial"/>
                <w:sz w:val="22"/>
                <w:szCs w:val="22"/>
              </w:rPr>
              <w:t>-2</w:t>
            </w:r>
          </w:p>
        </w:tc>
      </w:tr>
      <w:tr w:rsidR="00DE0998" w:rsidRPr="00DE0998" w14:paraId="6F451843"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521F3107" w14:textId="77777777" w:rsidR="00082F1C" w:rsidRPr="00DE0998" w:rsidRDefault="00082F1C" w:rsidP="000A6EFC">
            <w:pPr>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11A8C55E"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Nároky na surovinové zdroje</w:t>
            </w:r>
          </w:p>
        </w:tc>
        <w:tc>
          <w:tcPr>
            <w:tcW w:w="991" w:type="dxa"/>
            <w:tcBorders>
              <w:top w:val="single" w:sz="4" w:space="0" w:color="000000"/>
              <w:left w:val="single" w:sz="4" w:space="0" w:color="000000"/>
              <w:bottom w:val="single" w:sz="4" w:space="0" w:color="000000"/>
              <w:right w:val="single" w:sz="4" w:space="0" w:color="000000"/>
            </w:tcBorders>
          </w:tcPr>
          <w:p w14:paraId="12A8693D" w14:textId="569D0528" w:rsidR="00082F1C" w:rsidRPr="00DE0998" w:rsidRDefault="00D6240D" w:rsidP="000A6EFC">
            <w:pPr>
              <w:ind w:hanging="142"/>
              <w:jc w:val="center"/>
              <w:rPr>
                <w:rFonts w:ascii="Arial" w:hAnsi="Arial" w:cs="Arial"/>
                <w:sz w:val="22"/>
                <w:szCs w:val="22"/>
              </w:rPr>
            </w:pPr>
            <w:r w:rsidRPr="00DE0998">
              <w:rPr>
                <w:rFonts w:ascii="Arial" w:hAnsi="Arial" w:cs="Arial"/>
                <w:sz w:val="22"/>
                <w:szCs w:val="22"/>
              </w:rPr>
              <w:t>-1</w:t>
            </w:r>
          </w:p>
        </w:tc>
        <w:tc>
          <w:tcPr>
            <w:tcW w:w="734" w:type="dxa"/>
            <w:tcBorders>
              <w:top w:val="single" w:sz="4" w:space="0" w:color="000000"/>
              <w:left w:val="single" w:sz="4" w:space="0" w:color="000000"/>
              <w:bottom w:val="single" w:sz="4" w:space="0" w:color="000000"/>
              <w:right w:val="single" w:sz="4" w:space="0" w:color="000000"/>
            </w:tcBorders>
          </w:tcPr>
          <w:p w14:paraId="61DA0494" w14:textId="69FFA503" w:rsidR="00082F1C" w:rsidRPr="00DE0998" w:rsidRDefault="00D6240D" w:rsidP="000A6EFC">
            <w:pPr>
              <w:ind w:hanging="142"/>
              <w:jc w:val="center"/>
              <w:rPr>
                <w:rFonts w:ascii="Arial" w:hAnsi="Arial" w:cs="Arial"/>
                <w:sz w:val="22"/>
                <w:szCs w:val="22"/>
              </w:rPr>
            </w:pPr>
            <w:r w:rsidRPr="00DE0998">
              <w:rPr>
                <w:rFonts w:ascii="Arial" w:hAnsi="Arial" w:cs="Arial"/>
                <w:sz w:val="22"/>
                <w:szCs w:val="22"/>
              </w:rPr>
              <w:t>-2</w:t>
            </w:r>
          </w:p>
        </w:tc>
        <w:tc>
          <w:tcPr>
            <w:tcW w:w="709" w:type="dxa"/>
            <w:tcBorders>
              <w:top w:val="single" w:sz="4" w:space="0" w:color="000000"/>
              <w:left w:val="single" w:sz="4" w:space="0" w:color="000000"/>
              <w:bottom w:val="single" w:sz="4" w:space="0" w:color="000000"/>
              <w:right w:val="single" w:sz="4" w:space="0" w:color="000000"/>
            </w:tcBorders>
          </w:tcPr>
          <w:p w14:paraId="03EE7D2F" w14:textId="7D829AD7" w:rsidR="00082F1C" w:rsidRPr="00DE0998" w:rsidRDefault="00D6240D" w:rsidP="000A6EFC">
            <w:pPr>
              <w:ind w:hanging="142"/>
              <w:jc w:val="center"/>
              <w:rPr>
                <w:rFonts w:ascii="Arial" w:hAnsi="Arial" w:cs="Arial"/>
                <w:sz w:val="22"/>
                <w:szCs w:val="22"/>
              </w:rPr>
            </w:pPr>
            <w:r w:rsidRPr="00DE0998">
              <w:rPr>
                <w:rFonts w:ascii="Arial" w:hAnsi="Arial" w:cs="Arial"/>
                <w:sz w:val="22"/>
                <w:szCs w:val="22"/>
              </w:rPr>
              <w:t>-2</w:t>
            </w:r>
          </w:p>
        </w:tc>
      </w:tr>
      <w:tr w:rsidR="00DE0998" w:rsidRPr="00DE0998" w14:paraId="1AB0043F"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48C0B847" w14:textId="77777777" w:rsidR="00082F1C" w:rsidRPr="00DE0998" w:rsidRDefault="00082F1C" w:rsidP="000A6EFC">
            <w:pPr>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246A520A"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Nároky na dopravu a tech. infraštruktúru</w:t>
            </w:r>
          </w:p>
        </w:tc>
        <w:tc>
          <w:tcPr>
            <w:tcW w:w="991" w:type="dxa"/>
            <w:tcBorders>
              <w:top w:val="single" w:sz="4" w:space="0" w:color="000000"/>
              <w:left w:val="single" w:sz="4" w:space="0" w:color="000000"/>
              <w:bottom w:val="single" w:sz="4" w:space="0" w:color="000000"/>
              <w:right w:val="single" w:sz="4" w:space="0" w:color="000000"/>
            </w:tcBorders>
          </w:tcPr>
          <w:p w14:paraId="1DD9FFBC" w14:textId="59DFC19E" w:rsidR="00082F1C" w:rsidRPr="00DE0998" w:rsidRDefault="00517434" w:rsidP="000A6EFC">
            <w:pPr>
              <w:ind w:hanging="142"/>
              <w:jc w:val="center"/>
              <w:rPr>
                <w:rFonts w:ascii="Arial" w:hAnsi="Arial" w:cs="Arial"/>
                <w:sz w:val="22"/>
                <w:szCs w:val="22"/>
              </w:rPr>
            </w:pPr>
            <w:r w:rsidRPr="00DE0998">
              <w:rPr>
                <w:rFonts w:ascii="Arial" w:hAnsi="Arial" w:cs="Arial"/>
                <w:sz w:val="22"/>
                <w:szCs w:val="22"/>
              </w:rPr>
              <w:t>-1</w:t>
            </w:r>
          </w:p>
        </w:tc>
        <w:tc>
          <w:tcPr>
            <w:tcW w:w="734" w:type="dxa"/>
            <w:tcBorders>
              <w:top w:val="single" w:sz="4" w:space="0" w:color="000000"/>
              <w:left w:val="single" w:sz="4" w:space="0" w:color="000000"/>
              <w:bottom w:val="single" w:sz="4" w:space="0" w:color="000000"/>
              <w:right w:val="single" w:sz="4" w:space="0" w:color="000000"/>
            </w:tcBorders>
          </w:tcPr>
          <w:p w14:paraId="4F348851" w14:textId="2916F5B7" w:rsidR="00082F1C" w:rsidRPr="00DE0998" w:rsidRDefault="00517434" w:rsidP="000A6EFC">
            <w:pPr>
              <w:ind w:hanging="142"/>
              <w:jc w:val="center"/>
              <w:rPr>
                <w:rFonts w:ascii="Arial" w:hAnsi="Arial" w:cs="Arial"/>
                <w:sz w:val="22"/>
                <w:szCs w:val="22"/>
              </w:rPr>
            </w:pPr>
            <w:r w:rsidRPr="00DE0998">
              <w:rPr>
                <w:rFonts w:ascii="Arial" w:hAnsi="Arial" w:cs="Arial"/>
                <w:sz w:val="22"/>
                <w:szCs w:val="22"/>
              </w:rPr>
              <w:t>-2</w:t>
            </w:r>
          </w:p>
        </w:tc>
        <w:tc>
          <w:tcPr>
            <w:tcW w:w="709" w:type="dxa"/>
            <w:tcBorders>
              <w:top w:val="single" w:sz="4" w:space="0" w:color="000000"/>
              <w:left w:val="single" w:sz="4" w:space="0" w:color="000000"/>
              <w:bottom w:val="single" w:sz="4" w:space="0" w:color="000000"/>
              <w:right w:val="single" w:sz="4" w:space="0" w:color="000000"/>
            </w:tcBorders>
          </w:tcPr>
          <w:p w14:paraId="2D5E6E08" w14:textId="724B3A60" w:rsidR="00082F1C" w:rsidRPr="00DE0998" w:rsidRDefault="00517434" w:rsidP="000A6EFC">
            <w:pPr>
              <w:ind w:hanging="142"/>
              <w:jc w:val="center"/>
              <w:rPr>
                <w:rFonts w:ascii="Arial" w:hAnsi="Arial" w:cs="Arial"/>
                <w:sz w:val="22"/>
                <w:szCs w:val="22"/>
              </w:rPr>
            </w:pPr>
            <w:r w:rsidRPr="00DE0998">
              <w:rPr>
                <w:rFonts w:ascii="Arial" w:hAnsi="Arial" w:cs="Arial"/>
                <w:sz w:val="22"/>
                <w:szCs w:val="22"/>
              </w:rPr>
              <w:t>-2</w:t>
            </w:r>
          </w:p>
        </w:tc>
      </w:tr>
      <w:tr w:rsidR="00DE0998" w:rsidRPr="00DE0998" w14:paraId="0B64D031"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6D9FA878" w14:textId="77777777" w:rsidR="00082F1C" w:rsidRPr="00DE0998" w:rsidRDefault="00082F1C" w:rsidP="000A6EFC">
            <w:pPr>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210EFDA7" w14:textId="77777777" w:rsidR="00082F1C" w:rsidRPr="00DE0998" w:rsidRDefault="00082F1C" w:rsidP="000A6EFC">
            <w:pPr>
              <w:pStyle w:val="Zkladntext"/>
              <w:tabs>
                <w:tab w:val="left" w:pos="3247"/>
              </w:tabs>
              <w:rPr>
                <w:rFonts w:eastAsia="Calibri" w:cs="Arial"/>
                <w:b w:val="0"/>
                <w:iCs/>
                <w:sz w:val="22"/>
                <w:szCs w:val="22"/>
                <w:lang w:val="sk-SK" w:eastAsia="sk-SK"/>
              </w:rPr>
            </w:pPr>
            <w:r w:rsidRPr="00DE0998">
              <w:rPr>
                <w:rFonts w:cs="Arial"/>
                <w:b w:val="0"/>
                <w:iCs/>
                <w:sz w:val="22"/>
                <w:szCs w:val="22"/>
                <w:lang w:val="sk-SK" w:eastAsia="sk-SK"/>
              </w:rPr>
              <w:t>Nároky na zastavané územie</w:t>
            </w:r>
            <w:r w:rsidRPr="00DE0998">
              <w:rPr>
                <w:rFonts w:cs="Arial"/>
                <w:b w:val="0"/>
                <w:iCs/>
                <w:sz w:val="22"/>
                <w:szCs w:val="22"/>
                <w:lang w:val="sk-SK" w:eastAsia="sk-SK"/>
              </w:rPr>
              <w:tab/>
            </w:r>
          </w:p>
        </w:tc>
        <w:tc>
          <w:tcPr>
            <w:tcW w:w="991" w:type="dxa"/>
            <w:tcBorders>
              <w:top w:val="single" w:sz="4" w:space="0" w:color="000000"/>
              <w:left w:val="single" w:sz="4" w:space="0" w:color="000000"/>
              <w:bottom w:val="single" w:sz="4" w:space="0" w:color="000000"/>
              <w:right w:val="single" w:sz="4" w:space="0" w:color="000000"/>
            </w:tcBorders>
          </w:tcPr>
          <w:p w14:paraId="5725C576" w14:textId="4B0B6318" w:rsidR="00082F1C" w:rsidRPr="00DE0998" w:rsidRDefault="00517434" w:rsidP="000A6EFC">
            <w:pPr>
              <w:ind w:hanging="142"/>
              <w:jc w:val="center"/>
              <w:rPr>
                <w:rFonts w:ascii="Arial" w:hAnsi="Arial" w:cs="Arial"/>
                <w:sz w:val="22"/>
                <w:szCs w:val="22"/>
              </w:rPr>
            </w:pPr>
            <w:r w:rsidRPr="00DE0998">
              <w:rPr>
                <w:rFonts w:ascii="Arial" w:hAnsi="Arial" w:cs="Arial"/>
                <w:sz w:val="22"/>
                <w:szCs w:val="22"/>
              </w:rPr>
              <w:t>0</w:t>
            </w:r>
          </w:p>
        </w:tc>
        <w:tc>
          <w:tcPr>
            <w:tcW w:w="734" w:type="dxa"/>
            <w:tcBorders>
              <w:top w:val="single" w:sz="4" w:space="0" w:color="000000"/>
              <w:left w:val="single" w:sz="4" w:space="0" w:color="000000"/>
              <w:bottom w:val="single" w:sz="4" w:space="0" w:color="000000"/>
              <w:right w:val="single" w:sz="4" w:space="0" w:color="000000"/>
            </w:tcBorders>
          </w:tcPr>
          <w:p w14:paraId="5F1518E1" w14:textId="0EE5710E" w:rsidR="00082F1C" w:rsidRPr="00DE0998" w:rsidRDefault="00517434" w:rsidP="000A6EFC">
            <w:pPr>
              <w:ind w:hanging="142"/>
              <w:jc w:val="center"/>
              <w:rPr>
                <w:rFonts w:ascii="Arial" w:hAnsi="Arial" w:cs="Arial"/>
                <w:sz w:val="22"/>
                <w:szCs w:val="22"/>
              </w:rPr>
            </w:pPr>
            <w:r w:rsidRPr="00DE0998">
              <w:rPr>
                <w:rFonts w:ascii="Arial" w:hAnsi="Arial" w:cs="Arial"/>
                <w:sz w:val="22"/>
                <w:szCs w:val="22"/>
              </w:rPr>
              <w:t>0</w:t>
            </w:r>
          </w:p>
        </w:tc>
        <w:tc>
          <w:tcPr>
            <w:tcW w:w="709" w:type="dxa"/>
            <w:tcBorders>
              <w:top w:val="single" w:sz="4" w:space="0" w:color="000000"/>
              <w:left w:val="single" w:sz="4" w:space="0" w:color="000000"/>
              <w:bottom w:val="single" w:sz="4" w:space="0" w:color="000000"/>
              <w:right w:val="single" w:sz="4" w:space="0" w:color="000000"/>
            </w:tcBorders>
          </w:tcPr>
          <w:p w14:paraId="476867D9" w14:textId="132ED7B1" w:rsidR="00082F1C" w:rsidRPr="00DE0998" w:rsidRDefault="00517434" w:rsidP="000A6EFC">
            <w:pPr>
              <w:ind w:hanging="142"/>
              <w:jc w:val="center"/>
              <w:rPr>
                <w:rFonts w:ascii="Arial" w:hAnsi="Arial" w:cs="Arial"/>
                <w:sz w:val="22"/>
                <w:szCs w:val="22"/>
              </w:rPr>
            </w:pPr>
            <w:r w:rsidRPr="00DE0998">
              <w:rPr>
                <w:rFonts w:ascii="Arial" w:hAnsi="Arial" w:cs="Arial"/>
                <w:sz w:val="22"/>
                <w:szCs w:val="22"/>
              </w:rPr>
              <w:t>0</w:t>
            </w:r>
          </w:p>
        </w:tc>
      </w:tr>
      <w:tr w:rsidR="00DE0998" w:rsidRPr="00DE0998" w14:paraId="4536315F"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3593B1E8" w14:textId="77777777" w:rsidR="00082F1C" w:rsidRPr="00DE0998" w:rsidRDefault="00082F1C" w:rsidP="000A6EFC">
            <w:pPr>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7E1CDD68" w14:textId="77777777" w:rsidR="00082F1C" w:rsidRPr="00DE0998" w:rsidRDefault="00082F1C" w:rsidP="000A6EFC">
            <w:pPr>
              <w:pStyle w:val="Zkladntext"/>
              <w:tabs>
                <w:tab w:val="left" w:pos="3247"/>
              </w:tabs>
              <w:rPr>
                <w:rFonts w:eastAsia="Calibri" w:cs="Arial"/>
                <w:b w:val="0"/>
                <w:iCs/>
                <w:sz w:val="22"/>
                <w:szCs w:val="22"/>
                <w:lang w:val="sk-SK" w:eastAsia="sk-SK"/>
              </w:rPr>
            </w:pPr>
            <w:r w:rsidRPr="00DE0998">
              <w:rPr>
                <w:rFonts w:cs="Arial"/>
                <w:b w:val="0"/>
                <w:iCs/>
                <w:sz w:val="22"/>
                <w:szCs w:val="22"/>
                <w:lang w:val="sk-SK" w:eastAsia="sk-SK"/>
              </w:rPr>
              <w:t>Nároky na pracovné sily</w:t>
            </w:r>
          </w:p>
        </w:tc>
        <w:tc>
          <w:tcPr>
            <w:tcW w:w="991" w:type="dxa"/>
            <w:tcBorders>
              <w:top w:val="single" w:sz="4" w:space="0" w:color="000000"/>
              <w:left w:val="single" w:sz="4" w:space="0" w:color="000000"/>
              <w:bottom w:val="single" w:sz="4" w:space="0" w:color="000000"/>
              <w:right w:val="single" w:sz="4" w:space="0" w:color="000000"/>
            </w:tcBorders>
          </w:tcPr>
          <w:p w14:paraId="3466CD9A" w14:textId="5C26BB97" w:rsidR="00082F1C" w:rsidRPr="00DE0998" w:rsidRDefault="00F71CD3" w:rsidP="000A6EFC">
            <w:pPr>
              <w:ind w:hanging="142"/>
              <w:jc w:val="center"/>
              <w:rPr>
                <w:rFonts w:ascii="Arial" w:hAnsi="Arial" w:cs="Arial"/>
                <w:sz w:val="22"/>
                <w:szCs w:val="22"/>
              </w:rPr>
            </w:pPr>
            <w:r>
              <w:rPr>
                <w:rFonts w:ascii="Arial" w:hAnsi="Arial" w:cs="Arial"/>
                <w:sz w:val="22"/>
                <w:szCs w:val="22"/>
              </w:rPr>
              <w:t>1</w:t>
            </w:r>
          </w:p>
        </w:tc>
        <w:tc>
          <w:tcPr>
            <w:tcW w:w="734" w:type="dxa"/>
            <w:tcBorders>
              <w:top w:val="single" w:sz="4" w:space="0" w:color="000000"/>
              <w:left w:val="single" w:sz="4" w:space="0" w:color="000000"/>
              <w:bottom w:val="single" w:sz="4" w:space="0" w:color="000000"/>
              <w:right w:val="single" w:sz="4" w:space="0" w:color="000000"/>
            </w:tcBorders>
          </w:tcPr>
          <w:p w14:paraId="66EA594C" w14:textId="59CC57AB" w:rsidR="00082F1C" w:rsidRPr="00DE0998" w:rsidRDefault="00517434" w:rsidP="000A6EFC">
            <w:pPr>
              <w:ind w:hanging="142"/>
              <w:jc w:val="center"/>
              <w:rPr>
                <w:rFonts w:ascii="Arial" w:hAnsi="Arial" w:cs="Arial"/>
                <w:sz w:val="22"/>
                <w:szCs w:val="22"/>
              </w:rPr>
            </w:pPr>
            <w:r w:rsidRPr="00DE0998">
              <w:rPr>
                <w:rFonts w:ascii="Arial" w:hAnsi="Arial" w:cs="Arial"/>
                <w:sz w:val="22"/>
                <w:szCs w:val="22"/>
              </w:rPr>
              <w:t>3</w:t>
            </w:r>
          </w:p>
        </w:tc>
        <w:tc>
          <w:tcPr>
            <w:tcW w:w="709" w:type="dxa"/>
            <w:tcBorders>
              <w:top w:val="single" w:sz="4" w:space="0" w:color="000000"/>
              <w:left w:val="single" w:sz="4" w:space="0" w:color="000000"/>
              <w:bottom w:val="single" w:sz="4" w:space="0" w:color="000000"/>
              <w:right w:val="single" w:sz="4" w:space="0" w:color="000000"/>
            </w:tcBorders>
          </w:tcPr>
          <w:p w14:paraId="477095F8" w14:textId="0F4C2659" w:rsidR="00082F1C" w:rsidRPr="00DE0998" w:rsidRDefault="00517434" w:rsidP="000A6EFC">
            <w:pPr>
              <w:ind w:hanging="142"/>
              <w:jc w:val="center"/>
              <w:rPr>
                <w:rFonts w:ascii="Arial" w:hAnsi="Arial" w:cs="Arial"/>
                <w:sz w:val="22"/>
                <w:szCs w:val="22"/>
              </w:rPr>
            </w:pPr>
            <w:r w:rsidRPr="00DE0998">
              <w:rPr>
                <w:rFonts w:ascii="Arial" w:hAnsi="Arial" w:cs="Arial"/>
                <w:sz w:val="22"/>
                <w:szCs w:val="22"/>
              </w:rPr>
              <w:t>3</w:t>
            </w:r>
          </w:p>
        </w:tc>
      </w:tr>
      <w:tr w:rsidR="00DE0998" w:rsidRPr="00DE0998" w14:paraId="5FBE6D39" w14:textId="77777777" w:rsidTr="000A6EFC">
        <w:tc>
          <w:tcPr>
            <w:tcW w:w="1855" w:type="dxa"/>
            <w:vMerge w:val="restart"/>
            <w:tcBorders>
              <w:top w:val="single" w:sz="4" w:space="0" w:color="000000"/>
              <w:left w:val="single" w:sz="4" w:space="0" w:color="000000"/>
              <w:bottom w:val="single" w:sz="4" w:space="0" w:color="000000"/>
              <w:right w:val="single" w:sz="4" w:space="0" w:color="000000"/>
            </w:tcBorders>
          </w:tcPr>
          <w:p w14:paraId="4B10E107" w14:textId="77777777" w:rsidR="00082F1C" w:rsidRPr="00DE0998" w:rsidRDefault="00082F1C" w:rsidP="000A6EFC">
            <w:pPr>
              <w:rPr>
                <w:rFonts w:ascii="Arial" w:hAnsi="Arial" w:cs="Arial"/>
                <w:sz w:val="22"/>
                <w:szCs w:val="22"/>
              </w:rPr>
            </w:pPr>
            <w:r w:rsidRPr="00DE0998">
              <w:rPr>
                <w:rFonts w:ascii="Arial" w:hAnsi="Arial" w:cs="Arial"/>
                <w:sz w:val="22"/>
                <w:szCs w:val="22"/>
              </w:rPr>
              <w:t>Výstupy</w:t>
            </w:r>
          </w:p>
        </w:tc>
        <w:tc>
          <w:tcPr>
            <w:tcW w:w="4466" w:type="dxa"/>
            <w:tcBorders>
              <w:top w:val="single" w:sz="4" w:space="0" w:color="000000"/>
              <w:left w:val="single" w:sz="4" w:space="0" w:color="000000"/>
              <w:bottom w:val="single" w:sz="4" w:space="0" w:color="000000"/>
              <w:right w:val="single" w:sz="4" w:space="0" w:color="000000"/>
            </w:tcBorders>
          </w:tcPr>
          <w:p w14:paraId="6195A960"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Znečistenie horninového prostredia</w:t>
            </w:r>
          </w:p>
        </w:tc>
        <w:tc>
          <w:tcPr>
            <w:tcW w:w="991" w:type="dxa"/>
            <w:tcBorders>
              <w:top w:val="single" w:sz="4" w:space="0" w:color="000000"/>
              <w:left w:val="single" w:sz="4" w:space="0" w:color="000000"/>
              <w:bottom w:val="single" w:sz="4" w:space="0" w:color="000000"/>
              <w:right w:val="single" w:sz="4" w:space="0" w:color="000000"/>
            </w:tcBorders>
          </w:tcPr>
          <w:p w14:paraId="458FADED" w14:textId="16D5CA91" w:rsidR="00082F1C" w:rsidRPr="00DE0998" w:rsidRDefault="00832370" w:rsidP="000A6EFC">
            <w:pPr>
              <w:ind w:hanging="142"/>
              <w:jc w:val="center"/>
              <w:rPr>
                <w:rFonts w:ascii="Arial" w:hAnsi="Arial" w:cs="Arial"/>
                <w:sz w:val="22"/>
                <w:szCs w:val="22"/>
              </w:rPr>
            </w:pPr>
            <w:r w:rsidRPr="00DE0998">
              <w:rPr>
                <w:rFonts w:ascii="Arial" w:hAnsi="Arial" w:cs="Arial"/>
                <w:sz w:val="22"/>
                <w:szCs w:val="22"/>
              </w:rPr>
              <w:t>-1</w:t>
            </w:r>
          </w:p>
        </w:tc>
        <w:tc>
          <w:tcPr>
            <w:tcW w:w="734" w:type="dxa"/>
            <w:tcBorders>
              <w:top w:val="single" w:sz="4" w:space="0" w:color="000000"/>
              <w:left w:val="single" w:sz="4" w:space="0" w:color="000000"/>
              <w:bottom w:val="single" w:sz="4" w:space="0" w:color="000000"/>
              <w:right w:val="single" w:sz="4" w:space="0" w:color="000000"/>
            </w:tcBorders>
          </w:tcPr>
          <w:p w14:paraId="34104613" w14:textId="0BA72833" w:rsidR="00082F1C" w:rsidRPr="00DE0998" w:rsidRDefault="00832370" w:rsidP="000A6EFC">
            <w:pPr>
              <w:ind w:hanging="142"/>
              <w:jc w:val="center"/>
              <w:rPr>
                <w:rFonts w:ascii="Arial" w:hAnsi="Arial" w:cs="Arial"/>
                <w:sz w:val="22"/>
                <w:szCs w:val="22"/>
              </w:rPr>
            </w:pPr>
            <w:r w:rsidRPr="00DE0998">
              <w:rPr>
                <w:rFonts w:ascii="Arial" w:hAnsi="Arial" w:cs="Arial"/>
                <w:sz w:val="22"/>
                <w:szCs w:val="22"/>
              </w:rPr>
              <w:t>-1</w:t>
            </w:r>
          </w:p>
        </w:tc>
        <w:tc>
          <w:tcPr>
            <w:tcW w:w="709" w:type="dxa"/>
            <w:tcBorders>
              <w:top w:val="single" w:sz="4" w:space="0" w:color="000000"/>
              <w:left w:val="single" w:sz="4" w:space="0" w:color="000000"/>
              <w:bottom w:val="single" w:sz="4" w:space="0" w:color="000000"/>
              <w:right w:val="single" w:sz="4" w:space="0" w:color="000000"/>
            </w:tcBorders>
          </w:tcPr>
          <w:p w14:paraId="6F5D0CBC" w14:textId="5CC5FDDA" w:rsidR="00082F1C" w:rsidRPr="00DE0998" w:rsidRDefault="00832370" w:rsidP="000A6EFC">
            <w:pPr>
              <w:ind w:hanging="142"/>
              <w:jc w:val="center"/>
              <w:rPr>
                <w:rFonts w:ascii="Arial" w:hAnsi="Arial" w:cs="Arial"/>
                <w:sz w:val="22"/>
                <w:szCs w:val="22"/>
              </w:rPr>
            </w:pPr>
            <w:r w:rsidRPr="00DE0998">
              <w:rPr>
                <w:rFonts w:ascii="Arial" w:hAnsi="Arial" w:cs="Arial"/>
                <w:sz w:val="22"/>
                <w:szCs w:val="22"/>
              </w:rPr>
              <w:t>-1</w:t>
            </w:r>
          </w:p>
        </w:tc>
      </w:tr>
      <w:tr w:rsidR="00DE0998" w:rsidRPr="00DE0998" w14:paraId="05BB676F"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27711753" w14:textId="77777777" w:rsidR="00082F1C" w:rsidRPr="00DE0998" w:rsidRDefault="00082F1C" w:rsidP="000A6EFC">
            <w:pPr>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3898890B"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Znečistenie ovzdušia</w:t>
            </w:r>
          </w:p>
        </w:tc>
        <w:tc>
          <w:tcPr>
            <w:tcW w:w="991" w:type="dxa"/>
            <w:tcBorders>
              <w:top w:val="single" w:sz="4" w:space="0" w:color="000000"/>
              <w:left w:val="single" w:sz="4" w:space="0" w:color="000000"/>
              <w:bottom w:val="single" w:sz="4" w:space="0" w:color="000000"/>
              <w:right w:val="single" w:sz="4" w:space="0" w:color="000000"/>
            </w:tcBorders>
          </w:tcPr>
          <w:p w14:paraId="4ECE462F" w14:textId="074C4A80" w:rsidR="00082F1C" w:rsidRPr="00DE0998" w:rsidRDefault="00832370" w:rsidP="000A6EFC">
            <w:pPr>
              <w:ind w:hanging="142"/>
              <w:jc w:val="center"/>
              <w:rPr>
                <w:rFonts w:ascii="Arial" w:hAnsi="Arial" w:cs="Arial"/>
                <w:sz w:val="22"/>
                <w:szCs w:val="22"/>
              </w:rPr>
            </w:pPr>
            <w:r w:rsidRPr="00DE0998">
              <w:rPr>
                <w:rFonts w:ascii="Arial" w:hAnsi="Arial" w:cs="Arial"/>
                <w:sz w:val="22"/>
                <w:szCs w:val="22"/>
              </w:rPr>
              <w:t>-1</w:t>
            </w:r>
          </w:p>
        </w:tc>
        <w:tc>
          <w:tcPr>
            <w:tcW w:w="734" w:type="dxa"/>
            <w:tcBorders>
              <w:top w:val="single" w:sz="4" w:space="0" w:color="000000"/>
              <w:left w:val="single" w:sz="4" w:space="0" w:color="000000"/>
              <w:bottom w:val="single" w:sz="4" w:space="0" w:color="000000"/>
              <w:right w:val="single" w:sz="4" w:space="0" w:color="000000"/>
            </w:tcBorders>
          </w:tcPr>
          <w:p w14:paraId="5A675516" w14:textId="73594F23" w:rsidR="00082F1C" w:rsidRPr="00DE0998" w:rsidRDefault="00832370" w:rsidP="000A6EFC">
            <w:pPr>
              <w:ind w:hanging="142"/>
              <w:jc w:val="center"/>
              <w:rPr>
                <w:rFonts w:ascii="Arial" w:hAnsi="Arial" w:cs="Arial"/>
                <w:sz w:val="22"/>
                <w:szCs w:val="22"/>
              </w:rPr>
            </w:pPr>
            <w:r w:rsidRPr="00DE0998">
              <w:rPr>
                <w:rFonts w:ascii="Arial" w:hAnsi="Arial" w:cs="Arial"/>
                <w:sz w:val="22"/>
                <w:szCs w:val="22"/>
              </w:rPr>
              <w:t>-2</w:t>
            </w:r>
          </w:p>
        </w:tc>
        <w:tc>
          <w:tcPr>
            <w:tcW w:w="709" w:type="dxa"/>
            <w:tcBorders>
              <w:top w:val="single" w:sz="4" w:space="0" w:color="000000"/>
              <w:left w:val="single" w:sz="4" w:space="0" w:color="000000"/>
              <w:bottom w:val="single" w:sz="4" w:space="0" w:color="000000"/>
              <w:right w:val="single" w:sz="4" w:space="0" w:color="000000"/>
            </w:tcBorders>
          </w:tcPr>
          <w:p w14:paraId="493808EE" w14:textId="176276F3" w:rsidR="00082F1C" w:rsidRPr="00DE0998" w:rsidRDefault="00832370" w:rsidP="000A6EFC">
            <w:pPr>
              <w:ind w:hanging="142"/>
              <w:jc w:val="center"/>
              <w:rPr>
                <w:rFonts w:ascii="Arial" w:hAnsi="Arial" w:cs="Arial"/>
                <w:sz w:val="22"/>
                <w:szCs w:val="22"/>
              </w:rPr>
            </w:pPr>
            <w:r w:rsidRPr="00DE0998">
              <w:rPr>
                <w:rFonts w:ascii="Arial" w:hAnsi="Arial" w:cs="Arial"/>
                <w:sz w:val="22"/>
                <w:szCs w:val="22"/>
              </w:rPr>
              <w:t>-1</w:t>
            </w:r>
          </w:p>
        </w:tc>
      </w:tr>
      <w:tr w:rsidR="00DE0998" w:rsidRPr="00DE0998" w14:paraId="7B305F5B"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017BC00E" w14:textId="77777777" w:rsidR="00082F1C" w:rsidRPr="00DE0998" w:rsidRDefault="00082F1C" w:rsidP="000A6EFC">
            <w:pPr>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03838B71"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Znečistenie povrch. a podzemných vôd</w:t>
            </w:r>
          </w:p>
        </w:tc>
        <w:tc>
          <w:tcPr>
            <w:tcW w:w="991" w:type="dxa"/>
            <w:tcBorders>
              <w:top w:val="single" w:sz="4" w:space="0" w:color="000000"/>
              <w:left w:val="single" w:sz="4" w:space="0" w:color="000000"/>
              <w:bottom w:val="single" w:sz="4" w:space="0" w:color="000000"/>
              <w:right w:val="single" w:sz="4" w:space="0" w:color="000000"/>
            </w:tcBorders>
          </w:tcPr>
          <w:p w14:paraId="688923EC" w14:textId="3244A1ED" w:rsidR="00082F1C" w:rsidRPr="00DE0998" w:rsidRDefault="0018074F" w:rsidP="000A6EFC">
            <w:pPr>
              <w:ind w:hanging="142"/>
              <w:jc w:val="center"/>
              <w:rPr>
                <w:rFonts w:ascii="Arial" w:hAnsi="Arial" w:cs="Arial"/>
                <w:sz w:val="22"/>
                <w:szCs w:val="22"/>
              </w:rPr>
            </w:pPr>
            <w:r w:rsidRPr="00DE0998">
              <w:rPr>
                <w:rFonts w:ascii="Arial" w:hAnsi="Arial" w:cs="Arial"/>
                <w:sz w:val="22"/>
                <w:szCs w:val="22"/>
              </w:rPr>
              <w:t>-1</w:t>
            </w:r>
          </w:p>
        </w:tc>
        <w:tc>
          <w:tcPr>
            <w:tcW w:w="734" w:type="dxa"/>
            <w:tcBorders>
              <w:top w:val="single" w:sz="4" w:space="0" w:color="000000"/>
              <w:left w:val="single" w:sz="4" w:space="0" w:color="000000"/>
              <w:bottom w:val="single" w:sz="4" w:space="0" w:color="000000"/>
              <w:right w:val="single" w:sz="4" w:space="0" w:color="000000"/>
            </w:tcBorders>
          </w:tcPr>
          <w:p w14:paraId="70341112" w14:textId="6BC8B56D" w:rsidR="00082F1C" w:rsidRPr="00DE0998" w:rsidRDefault="0018074F" w:rsidP="000A6EFC">
            <w:pPr>
              <w:ind w:hanging="142"/>
              <w:jc w:val="center"/>
              <w:rPr>
                <w:rFonts w:ascii="Arial" w:hAnsi="Arial" w:cs="Arial"/>
                <w:sz w:val="22"/>
                <w:szCs w:val="22"/>
              </w:rPr>
            </w:pPr>
            <w:r w:rsidRPr="00DE0998">
              <w:rPr>
                <w:rFonts w:ascii="Arial" w:hAnsi="Arial" w:cs="Arial"/>
                <w:sz w:val="22"/>
                <w:szCs w:val="22"/>
              </w:rPr>
              <w:t>-1</w:t>
            </w:r>
          </w:p>
        </w:tc>
        <w:tc>
          <w:tcPr>
            <w:tcW w:w="709" w:type="dxa"/>
            <w:tcBorders>
              <w:top w:val="single" w:sz="4" w:space="0" w:color="000000"/>
              <w:left w:val="single" w:sz="4" w:space="0" w:color="000000"/>
              <w:bottom w:val="single" w:sz="4" w:space="0" w:color="000000"/>
              <w:right w:val="single" w:sz="4" w:space="0" w:color="000000"/>
            </w:tcBorders>
          </w:tcPr>
          <w:p w14:paraId="187FD58E" w14:textId="25A62AE1" w:rsidR="00082F1C" w:rsidRPr="00DE0998" w:rsidRDefault="0018074F" w:rsidP="000A6EFC">
            <w:pPr>
              <w:ind w:hanging="142"/>
              <w:jc w:val="center"/>
              <w:rPr>
                <w:rFonts w:ascii="Arial" w:hAnsi="Arial" w:cs="Arial"/>
                <w:sz w:val="22"/>
                <w:szCs w:val="22"/>
              </w:rPr>
            </w:pPr>
            <w:r w:rsidRPr="00DE0998">
              <w:rPr>
                <w:rFonts w:ascii="Arial" w:hAnsi="Arial" w:cs="Arial"/>
                <w:sz w:val="22"/>
                <w:szCs w:val="22"/>
              </w:rPr>
              <w:t>-1</w:t>
            </w:r>
          </w:p>
        </w:tc>
      </w:tr>
      <w:tr w:rsidR="00DE0998" w:rsidRPr="00DE0998" w14:paraId="477BBB58"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09C71DCC" w14:textId="77777777" w:rsidR="00082F1C" w:rsidRPr="00DE0998" w:rsidRDefault="00082F1C" w:rsidP="000A6EFC">
            <w:pPr>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36CED8C7"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Znečistenie pôd</w:t>
            </w:r>
          </w:p>
        </w:tc>
        <w:tc>
          <w:tcPr>
            <w:tcW w:w="991" w:type="dxa"/>
            <w:tcBorders>
              <w:top w:val="single" w:sz="4" w:space="0" w:color="000000"/>
              <w:left w:val="single" w:sz="4" w:space="0" w:color="000000"/>
              <w:bottom w:val="single" w:sz="4" w:space="0" w:color="000000"/>
              <w:right w:val="single" w:sz="4" w:space="0" w:color="000000"/>
            </w:tcBorders>
          </w:tcPr>
          <w:p w14:paraId="385F1094" w14:textId="72C7D200" w:rsidR="00082F1C" w:rsidRPr="00DE0998" w:rsidRDefault="0018074F" w:rsidP="000A6EFC">
            <w:pPr>
              <w:ind w:hanging="142"/>
              <w:jc w:val="center"/>
              <w:rPr>
                <w:rFonts w:ascii="Arial" w:hAnsi="Arial" w:cs="Arial"/>
                <w:sz w:val="22"/>
                <w:szCs w:val="22"/>
              </w:rPr>
            </w:pPr>
            <w:r w:rsidRPr="00DE0998">
              <w:rPr>
                <w:rFonts w:ascii="Arial" w:hAnsi="Arial" w:cs="Arial"/>
                <w:sz w:val="22"/>
                <w:szCs w:val="22"/>
              </w:rPr>
              <w:t>0</w:t>
            </w:r>
          </w:p>
        </w:tc>
        <w:tc>
          <w:tcPr>
            <w:tcW w:w="734" w:type="dxa"/>
            <w:tcBorders>
              <w:top w:val="single" w:sz="4" w:space="0" w:color="000000"/>
              <w:left w:val="single" w:sz="4" w:space="0" w:color="000000"/>
              <w:bottom w:val="single" w:sz="4" w:space="0" w:color="000000"/>
              <w:right w:val="single" w:sz="4" w:space="0" w:color="000000"/>
            </w:tcBorders>
          </w:tcPr>
          <w:p w14:paraId="320BBFC7" w14:textId="76D04926" w:rsidR="00082F1C" w:rsidRPr="00DE0998" w:rsidRDefault="0018074F" w:rsidP="000A6EFC">
            <w:pPr>
              <w:ind w:hanging="142"/>
              <w:jc w:val="center"/>
              <w:rPr>
                <w:rFonts w:ascii="Arial" w:hAnsi="Arial" w:cs="Arial"/>
                <w:sz w:val="22"/>
                <w:szCs w:val="22"/>
              </w:rPr>
            </w:pPr>
            <w:r w:rsidRPr="00DE0998">
              <w:rPr>
                <w:rFonts w:ascii="Arial" w:hAnsi="Arial" w:cs="Arial"/>
                <w:sz w:val="22"/>
                <w:szCs w:val="22"/>
              </w:rPr>
              <w:t>0</w:t>
            </w:r>
          </w:p>
        </w:tc>
        <w:tc>
          <w:tcPr>
            <w:tcW w:w="709" w:type="dxa"/>
            <w:tcBorders>
              <w:top w:val="single" w:sz="4" w:space="0" w:color="000000"/>
              <w:left w:val="single" w:sz="4" w:space="0" w:color="000000"/>
              <w:bottom w:val="single" w:sz="4" w:space="0" w:color="000000"/>
              <w:right w:val="single" w:sz="4" w:space="0" w:color="000000"/>
            </w:tcBorders>
          </w:tcPr>
          <w:p w14:paraId="07C9101C" w14:textId="2F934073" w:rsidR="00082F1C" w:rsidRPr="00DE0998" w:rsidRDefault="0018074F" w:rsidP="000A6EFC">
            <w:pPr>
              <w:ind w:hanging="142"/>
              <w:jc w:val="center"/>
              <w:rPr>
                <w:rFonts w:ascii="Arial" w:hAnsi="Arial" w:cs="Arial"/>
                <w:sz w:val="22"/>
                <w:szCs w:val="22"/>
              </w:rPr>
            </w:pPr>
            <w:r w:rsidRPr="00DE0998">
              <w:rPr>
                <w:rFonts w:ascii="Arial" w:hAnsi="Arial" w:cs="Arial"/>
                <w:sz w:val="22"/>
                <w:szCs w:val="22"/>
              </w:rPr>
              <w:t>0</w:t>
            </w:r>
          </w:p>
        </w:tc>
      </w:tr>
      <w:tr w:rsidR="00DE0998" w:rsidRPr="00DE0998" w14:paraId="5F320165"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70CEE925" w14:textId="77777777" w:rsidR="00082F1C" w:rsidRPr="00DE0998" w:rsidRDefault="00082F1C" w:rsidP="000A6EFC">
            <w:pPr>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4CD329E6"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Hluk a vibrácie</w:t>
            </w:r>
          </w:p>
        </w:tc>
        <w:tc>
          <w:tcPr>
            <w:tcW w:w="991" w:type="dxa"/>
            <w:tcBorders>
              <w:top w:val="single" w:sz="4" w:space="0" w:color="000000"/>
              <w:left w:val="single" w:sz="4" w:space="0" w:color="000000"/>
              <w:bottom w:val="single" w:sz="4" w:space="0" w:color="000000"/>
              <w:right w:val="single" w:sz="4" w:space="0" w:color="000000"/>
            </w:tcBorders>
          </w:tcPr>
          <w:p w14:paraId="5BFB4753" w14:textId="3B30358A" w:rsidR="00082F1C" w:rsidRPr="00DE0998" w:rsidRDefault="0018074F" w:rsidP="000A6EFC">
            <w:pPr>
              <w:ind w:hanging="142"/>
              <w:jc w:val="center"/>
              <w:rPr>
                <w:rFonts w:ascii="Arial" w:hAnsi="Arial" w:cs="Arial"/>
                <w:sz w:val="22"/>
                <w:szCs w:val="22"/>
              </w:rPr>
            </w:pPr>
            <w:r w:rsidRPr="00DE0998">
              <w:rPr>
                <w:rFonts w:ascii="Arial" w:hAnsi="Arial" w:cs="Arial"/>
                <w:sz w:val="22"/>
                <w:szCs w:val="22"/>
              </w:rPr>
              <w:t>-1</w:t>
            </w:r>
          </w:p>
        </w:tc>
        <w:tc>
          <w:tcPr>
            <w:tcW w:w="734" w:type="dxa"/>
            <w:tcBorders>
              <w:top w:val="single" w:sz="4" w:space="0" w:color="000000"/>
              <w:left w:val="single" w:sz="4" w:space="0" w:color="000000"/>
              <w:bottom w:val="single" w:sz="4" w:space="0" w:color="000000"/>
              <w:right w:val="single" w:sz="4" w:space="0" w:color="000000"/>
            </w:tcBorders>
          </w:tcPr>
          <w:p w14:paraId="51EC3523" w14:textId="3395D837" w:rsidR="00082F1C" w:rsidRPr="00DE0998" w:rsidRDefault="0018074F" w:rsidP="000A6EFC">
            <w:pPr>
              <w:ind w:hanging="142"/>
              <w:jc w:val="center"/>
              <w:rPr>
                <w:rFonts w:ascii="Arial" w:hAnsi="Arial" w:cs="Arial"/>
                <w:sz w:val="22"/>
                <w:szCs w:val="22"/>
              </w:rPr>
            </w:pPr>
            <w:r w:rsidRPr="00DE0998">
              <w:rPr>
                <w:rFonts w:ascii="Arial" w:hAnsi="Arial" w:cs="Arial"/>
                <w:sz w:val="22"/>
                <w:szCs w:val="22"/>
              </w:rPr>
              <w:t>-</w:t>
            </w:r>
            <w:r w:rsidR="00F71CD3">
              <w:rPr>
                <w:rFonts w:ascii="Arial" w:hAnsi="Arial" w:cs="Arial"/>
                <w:sz w:val="22"/>
                <w:szCs w:val="22"/>
              </w:rPr>
              <w:t>2</w:t>
            </w:r>
          </w:p>
        </w:tc>
        <w:tc>
          <w:tcPr>
            <w:tcW w:w="709" w:type="dxa"/>
            <w:tcBorders>
              <w:top w:val="single" w:sz="4" w:space="0" w:color="000000"/>
              <w:left w:val="single" w:sz="4" w:space="0" w:color="000000"/>
              <w:bottom w:val="single" w:sz="4" w:space="0" w:color="000000"/>
              <w:right w:val="single" w:sz="4" w:space="0" w:color="000000"/>
            </w:tcBorders>
          </w:tcPr>
          <w:p w14:paraId="6DBF4E76" w14:textId="5AEE4D83" w:rsidR="00082F1C" w:rsidRPr="00DE0998" w:rsidRDefault="0018074F" w:rsidP="000A6EFC">
            <w:pPr>
              <w:ind w:hanging="142"/>
              <w:jc w:val="center"/>
              <w:rPr>
                <w:rFonts w:ascii="Arial" w:hAnsi="Arial" w:cs="Arial"/>
                <w:sz w:val="22"/>
                <w:szCs w:val="22"/>
              </w:rPr>
            </w:pPr>
            <w:r w:rsidRPr="00DE0998">
              <w:rPr>
                <w:rFonts w:ascii="Arial" w:hAnsi="Arial" w:cs="Arial"/>
                <w:sz w:val="22"/>
                <w:szCs w:val="22"/>
              </w:rPr>
              <w:t>-</w:t>
            </w:r>
            <w:r w:rsidR="00F71CD3">
              <w:rPr>
                <w:rFonts w:ascii="Arial" w:hAnsi="Arial" w:cs="Arial"/>
                <w:sz w:val="22"/>
                <w:szCs w:val="22"/>
              </w:rPr>
              <w:t>2</w:t>
            </w:r>
          </w:p>
        </w:tc>
      </w:tr>
      <w:tr w:rsidR="00DE0998" w:rsidRPr="00DE0998" w14:paraId="1801E540" w14:textId="77777777" w:rsidTr="000A6EFC">
        <w:tc>
          <w:tcPr>
            <w:tcW w:w="1855" w:type="dxa"/>
            <w:vMerge w:val="restart"/>
            <w:tcBorders>
              <w:top w:val="single" w:sz="4" w:space="0" w:color="000000"/>
              <w:left w:val="single" w:sz="4" w:space="0" w:color="000000"/>
              <w:bottom w:val="single" w:sz="4" w:space="0" w:color="000000"/>
              <w:right w:val="single" w:sz="4" w:space="0" w:color="000000"/>
            </w:tcBorders>
          </w:tcPr>
          <w:p w14:paraId="1C6C7BB3" w14:textId="77777777" w:rsidR="00082F1C" w:rsidRPr="00DE0998" w:rsidRDefault="00082F1C" w:rsidP="000A6EFC">
            <w:pPr>
              <w:rPr>
                <w:rFonts w:ascii="Arial" w:hAnsi="Arial" w:cs="Arial"/>
                <w:sz w:val="22"/>
                <w:szCs w:val="22"/>
              </w:rPr>
            </w:pPr>
            <w:r w:rsidRPr="00DE0998">
              <w:rPr>
                <w:rFonts w:ascii="Arial" w:hAnsi="Arial" w:cs="Arial"/>
                <w:sz w:val="22"/>
                <w:szCs w:val="22"/>
              </w:rPr>
              <w:t>Vplyvy na:</w:t>
            </w:r>
          </w:p>
        </w:tc>
        <w:tc>
          <w:tcPr>
            <w:tcW w:w="4466" w:type="dxa"/>
            <w:tcBorders>
              <w:top w:val="single" w:sz="4" w:space="0" w:color="000000"/>
              <w:left w:val="single" w:sz="4" w:space="0" w:color="000000"/>
              <w:bottom w:val="single" w:sz="4" w:space="0" w:color="000000"/>
              <w:right w:val="single" w:sz="4" w:space="0" w:color="000000"/>
            </w:tcBorders>
          </w:tcPr>
          <w:p w14:paraId="08D24D1C"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 xml:space="preserve">horninové prostredie </w:t>
            </w:r>
          </w:p>
        </w:tc>
        <w:tc>
          <w:tcPr>
            <w:tcW w:w="991" w:type="dxa"/>
            <w:tcBorders>
              <w:top w:val="single" w:sz="4" w:space="0" w:color="000000"/>
              <w:left w:val="single" w:sz="4" w:space="0" w:color="000000"/>
              <w:bottom w:val="single" w:sz="4" w:space="0" w:color="000000"/>
              <w:right w:val="single" w:sz="4" w:space="0" w:color="000000"/>
            </w:tcBorders>
          </w:tcPr>
          <w:p w14:paraId="06E4DECD" w14:textId="5F554E5B" w:rsidR="00082F1C" w:rsidRPr="00DE0998" w:rsidRDefault="000A13CA" w:rsidP="000A6EFC">
            <w:pPr>
              <w:ind w:hanging="142"/>
              <w:jc w:val="center"/>
              <w:rPr>
                <w:rFonts w:ascii="Arial" w:hAnsi="Arial" w:cs="Arial"/>
                <w:sz w:val="22"/>
                <w:szCs w:val="22"/>
              </w:rPr>
            </w:pPr>
            <w:r w:rsidRPr="00DE0998">
              <w:rPr>
                <w:rFonts w:ascii="Arial" w:hAnsi="Arial" w:cs="Arial"/>
                <w:sz w:val="22"/>
                <w:szCs w:val="22"/>
              </w:rPr>
              <w:t>0</w:t>
            </w:r>
          </w:p>
        </w:tc>
        <w:tc>
          <w:tcPr>
            <w:tcW w:w="734" w:type="dxa"/>
            <w:tcBorders>
              <w:top w:val="single" w:sz="4" w:space="0" w:color="000000"/>
              <w:left w:val="single" w:sz="4" w:space="0" w:color="000000"/>
              <w:bottom w:val="single" w:sz="4" w:space="0" w:color="000000"/>
              <w:right w:val="single" w:sz="4" w:space="0" w:color="000000"/>
            </w:tcBorders>
          </w:tcPr>
          <w:p w14:paraId="154417B9" w14:textId="66ABF1FE" w:rsidR="00082F1C" w:rsidRPr="00DE0998" w:rsidRDefault="000A13CA" w:rsidP="000A6EFC">
            <w:pPr>
              <w:ind w:hanging="142"/>
              <w:jc w:val="center"/>
              <w:rPr>
                <w:rFonts w:ascii="Arial" w:hAnsi="Arial" w:cs="Arial"/>
                <w:sz w:val="22"/>
                <w:szCs w:val="22"/>
              </w:rPr>
            </w:pPr>
            <w:r w:rsidRPr="00DE0998">
              <w:rPr>
                <w:rFonts w:ascii="Arial" w:hAnsi="Arial" w:cs="Arial"/>
                <w:sz w:val="22"/>
                <w:szCs w:val="22"/>
              </w:rPr>
              <w:t>1</w:t>
            </w:r>
          </w:p>
        </w:tc>
        <w:tc>
          <w:tcPr>
            <w:tcW w:w="709" w:type="dxa"/>
            <w:tcBorders>
              <w:top w:val="single" w:sz="4" w:space="0" w:color="000000"/>
              <w:left w:val="single" w:sz="4" w:space="0" w:color="000000"/>
              <w:bottom w:val="single" w:sz="4" w:space="0" w:color="000000"/>
              <w:right w:val="single" w:sz="4" w:space="0" w:color="000000"/>
            </w:tcBorders>
          </w:tcPr>
          <w:p w14:paraId="704EBEFD" w14:textId="6D6F7D8E" w:rsidR="00082F1C" w:rsidRPr="00DE0998" w:rsidRDefault="000A13CA" w:rsidP="000A6EFC">
            <w:pPr>
              <w:ind w:hanging="142"/>
              <w:jc w:val="center"/>
              <w:rPr>
                <w:rFonts w:ascii="Arial" w:hAnsi="Arial" w:cs="Arial"/>
                <w:sz w:val="22"/>
                <w:szCs w:val="22"/>
              </w:rPr>
            </w:pPr>
            <w:r w:rsidRPr="00DE0998">
              <w:rPr>
                <w:rFonts w:ascii="Arial" w:hAnsi="Arial" w:cs="Arial"/>
                <w:sz w:val="22"/>
                <w:szCs w:val="22"/>
              </w:rPr>
              <w:t>1</w:t>
            </w:r>
          </w:p>
        </w:tc>
      </w:tr>
      <w:tr w:rsidR="00DE0998" w:rsidRPr="00DE0998" w14:paraId="4C37BA7E"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1BC48D1D" w14:textId="77777777" w:rsidR="00082F1C" w:rsidRPr="00DE0998" w:rsidRDefault="00082F1C" w:rsidP="000A6EFC">
            <w:pPr>
              <w:ind w:hanging="142"/>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5E66423D"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klímu  a ovzdušie</w:t>
            </w:r>
          </w:p>
        </w:tc>
        <w:tc>
          <w:tcPr>
            <w:tcW w:w="991" w:type="dxa"/>
            <w:tcBorders>
              <w:top w:val="single" w:sz="4" w:space="0" w:color="000000"/>
              <w:left w:val="single" w:sz="4" w:space="0" w:color="000000"/>
              <w:bottom w:val="single" w:sz="4" w:space="0" w:color="000000"/>
              <w:right w:val="single" w:sz="4" w:space="0" w:color="000000"/>
            </w:tcBorders>
          </w:tcPr>
          <w:p w14:paraId="1407FA8D" w14:textId="69309A15" w:rsidR="00082F1C" w:rsidRPr="00DE0998" w:rsidRDefault="000A13CA" w:rsidP="000A6EFC">
            <w:pPr>
              <w:ind w:hanging="142"/>
              <w:jc w:val="center"/>
              <w:rPr>
                <w:rFonts w:ascii="Arial" w:hAnsi="Arial" w:cs="Arial"/>
                <w:sz w:val="22"/>
                <w:szCs w:val="22"/>
              </w:rPr>
            </w:pPr>
            <w:r w:rsidRPr="00DE0998">
              <w:rPr>
                <w:rFonts w:ascii="Arial" w:hAnsi="Arial" w:cs="Arial"/>
                <w:sz w:val="22"/>
                <w:szCs w:val="22"/>
              </w:rPr>
              <w:t>1</w:t>
            </w:r>
          </w:p>
        </w:tc>
        <w:tc>
          <w:tcPr>
            <w:tcW w:w="734" w:type="dxa"/>
            <w:tcBorders>
              <w:top w:val="single" w:sz="4" w:space="0" w:color="000000"/>
              <w:left w:val="single" w:sz="4" w:space="0" w:color="000000"/>
              <w:bottom w:val="single" w:sz="4" w:space="0" w:color="000000"/>
              <w:right w:val="single" w:sz="4" w:space="0" w:color="000000"/>
            </w:tcBorders>
          </w:tcPr>
          <w:p w14:paraId="1123A547" w14:textId="08940E3E" w:rsidR="00082F1C" w:rsidRPr="00DE0998" w:rsidRDefault="000A13CA" w:rsidP="000A6EFC">
            <w:pPr>
              <w:ind w:hanging="142"/>
              <w:jc w:val="center"/>
              <w:rPr>
                <w:rFonts w:ascii="Arial" w:hAnsi="Arial" w:cs="Arial"/>
                <w:sz w:val="22"/>
                <w:szCs w:val="22"/>
              </w:rPr>
            </w:pPr>
            <w:r w:rsidRPr="00DE0998">
              <w:rPr>
                <w:rFonts w:ascii="Arial" w:hAnsi="Arial" w:cs="Arial"/>
                <w:sz w:val="22"/>
                <w:szCs w:val="22"/>
              </w:rPr>
              <w:t>1</w:t>
            </w:r>
          </w:p>
        </w:tc>
        <w:tc>
          <w:tcPr>
            <w:tcW w:w="709" w:type="dxa"/>
            <w:tcBorders>
              <w:top w:val="single" w:sz="4" w:space="0" w:color="000000"/>
              <w:left w:val="single" w:sz="4" w:space="0" w:color="000000"/>
              <w:bottom w:val="single" w:sz="4" w:space="0" w:color="000000"/>
              <w:right w:val="single" w:sz="4" w:space="0" w:color="000000"/>
            </w:tcBorders>
          </w:tcPr>
          <w:p w14:paraId="1F885529" w14:textId="32F3289B" w:rsidR="00082F1C" w:rsidRPr="00DE0998" w:rsidRDefault="000A13CA" w:rsidP="000A6EFC">
            <w:pPr>
              <w:ind w:hanging="142"/>
              <w:jc w:val="center"/>
              <w:rPr>
                <w:rFonts w:ascii="Arial" w:hAnsi="Arial" w:cs="Arial"/>
                <w:sz w:val="22"/>
                <w:szCs w:val="22"/>
              </w:rPr>
            </w:pPr>
            <w:r w:rsidRPr="00DE0998">
              <w:rPr>
                <w:rFonts w:ascii="Arial" w:hAnsi="Arial" w:cs="Arial"/>
                <w:sz w:val="22"/>
                <w:szCs w:val="22"/>
              </w:rPr>
              <w:t>1</w:t>
            </w:r>
          </w:p>
        </w:tc>
      </w:tr>
      <w:tr w:rsidR="00DE0998" w:rsidRPr="00DE0998" w14:paraId="0AB9FEE2"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10FA613F" w14:textId="77777777" w:rsidR="00082F1C" w:rsidRPr="00DE0998" w:rsidRDefault="00082F1C" w:rsidP="000A6EFC">
            <w:pPr>
              <w:ind w:hanging="142"/>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70716FD2"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povrchovú a podzemnú vodu</w:t>
            </w:r>
          </w:p>
        </w:tc>
        <w:tc>
          <w:tcPr>
            <w:tcW w:w="991" w:type="dxa"/>
            <w:tcBorders>
              <w:top w:val="single" w:sz="4" w:space="0" w:color="000000"/>
              <w:left w:val="single" w:sz="4" w:space="0" w:color="000000"/>
              <w:bottom w:val="single" w:sz="4" w:space="0" w:color="000000"/>
              <w:right w:val="single" w:sz="4" w:space="0" w:color="000000"/>
            </w:tcBorders>
          </w:tcPr>
          <w:p w14:paraId="4ADBC57F" w14:textId="3569921C" w:rsidR="00082F1C" w:rsidRPr="00DE0998" w:rsidRDefault="000A13CA" w:rsidP="000A6EFC">
            <w:pPr>
              <w:ind w:hanging="142"/>
              <w:jc w:val="center"/>
              <w:rPr>
                <w:rFonts w:ascii="Arial" w:hAnsi="Arial" w:cs="Arial"/>
                <w:sz w:val="22"/>
                <w:szCs w:val="22"/>
              </w:rPr>
            </w:pPr>
            <w:r w:rsidRPr="00DE0998">
              <w:rPr>
                <w:rFonts w:ascii="Arial" w:hAnsi="Arial" w:cs="Arial"/>
                <w:sz w:val="22"/>
                <w:szCs w:val="22"/>
              </w:rPr>
              <w:t>1</w:t>
            </w:r>
          </w:p>
        </w:tc>
        <w:tc>
          <w:tcPr>
            <w:tcW w:w="734" w:type="dxa"/>
            <w:tcBorders>
              <w:top w:val="single" w:sz="4" w:space="0" w:color="000000"/>
              <w:left w:val="single" w:sz="4" w:space="0" w:color="000000"/>
              <w:bottom w:val="single" w:sz="4" w:space="0" w:color="000000"/>
              <w:right w:val="single" w:sz="4" w:space="0" w:color="000000"/>
            </w:tcBorders>
          </w:tcPr>
          <w:p w14:paraId="6C347CDD" w14:textId="2E1700CF" w:rsidR="00082F1C" w:rsidRPr="00DE0998" w:rsidRDefault="000A13CA" w:rsidP="000A6EFC">
            <w:pPr>
              <w:ind w:hanging="142"/>
              <w:jc w:val="center"/>
              <w:rPr>
                <w:rFonts w:ascii="Arial" w:hAnsi="Arial" w:cs="Arial"/>
                <w:sz w:val="22"/>
                <w:szCs w:val="22"/>
              </w:rPr>
            </w:pPr>
            <w:r w:rsidRPr="00DE0998">
              <w:rPr>
                <w:rFonts w:ascii="Arial" w:hAnsi="Arial" w:cs="Arial"/>
                <w:sz w:val="22"/>
                <w:szCs w:val="22"/>
              </w:rPr>
              <w:t>1</w:t>
            </w:r>
          </w:p>
        </w:tc>
        <w:tc>
          <w:tcPr>
            <w:tcW w:w="709" w:type="dxa"/>
            <w:tcBorders>
              <w:top w:val="single" w:sz="4" w:space="0" w:color="000000"/>
              <w:left w:val="single" w:sz="4" w:space="0" w:color="000000"/>
              <w:bottom w:val="single" w:sz="4" w:space="0" w:color="000000"/>
              <w:right w:val="single" w:sz="4" w:space="0" w:color="000000"/>
            </w:tcBorders>
          </w:tcPr>
          <w:p w14:paraId="34A7216C" w14:textId="4386C75C" w:rsidR="00082F1C" w:rsidRPr="00DE0998" w:rsidRDefault="000A13CA" w:rsidP="000A6EFC">
            <w:pPr>
              <w:ind w:hanging="142"/>
              <w:jc w:val="center"/>
              <w:rPr>
                <w:rFonts w:ascii="Arial" w:hAnsi="Arial" w:cs="Arial"/>
                <w:sz w:val="22"/>
                <w:szCs w:val="22"/>
              </w:rPr>
            </w:pPr>
            <w:r w:rsidRPr="00DE0998">
              <w:rPr>
                <w:rFonts w:ascii="Arial" w:hAnsi="Arial" w:cs="Arial"/>
                <w:sz w:val="22"/>
                <w:szCs w:val="22"/>
              </w:rPr>
              <w:t>1</w:t>
            </w:r>
          </w:p>
        </w:tc>
      </w:tr>
      <w:tr w:rsidR="00DE0998" w:rsidRPr="00DE0998" w14:paraId="01040147"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1C73E4FE" w14:textId="77777777" w:rsidR="00082F1C" w:rsidRPr="00DE0998" w:rsidRDefault="00082F1C" w:rsidP="000A6EFC">
            <w:pPr>
              <w:ind w:hanging="142"/>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2524A34A"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genofond a biodiverzitu</w:t>
            </w:r>
          </w:p>
        </w:tc>
        <w:tc>
          <w:tcPr>
            <w:tcW w:w="991" w:type="dxa"/>
            <w:tcBorders>
              <w:top w:val="single" w:sz="4" w:space="0" w:color="000000"/>
              <w:left w:val="single" w:sz="4" w:space="0" w:color="000000"/>
              <w:bottom w:val="single" w:sz="4" w:space="0" w:color="000000"/>
              <w:right w:val="single" w:sz="4" w:space="0" w:color="000000"/>
            </w:tcBorders>
          </w:tcPr>
          <w:p w14:paraId="09991E82" w14:textId="249AFD2C" w:rsidR="00082F1C" w:rsidRPr="00DE0998" w:rsidRDefault="000A13CA" w:rsidP="000A6EFC">
            <w:pPr>
              <w:ind w:hanging="142"/>
              <w:jc w:val="center"/>
              <w:rPr>
                <w:rFonts w:ascii="Arial" w:hAnsi="Arial" w:cs="Arial"/>
                <w:sz w:val="22"/>
                <w:szCs w:val="22"/>
              </w:rPr>
            </w:pPr>
            <w:r w:rsidRPr="00DE0998">
              <w:rPr>
                <w:rFonts w:ascii="Arial" w:hAnsi="Arial" w:cs="Arial"/>
                <w:sz w:val="22"/>
                <w:szCs w:val="22"/>
              </w:rPr>
              <w:t>0</w:t>
            </w:r>
          </w:p>
        </w:tc>
        <w:tc>
          <w:tcPr>
            <w:tcW w:w="734" w:type="dxa"/>
            <w:tcBorders>
              <w:top w:val="single" w:sz="4" w:space="0" w:color="000000"/>
              <w:left w:val="single" w:sz="4" w:space="0" w:color="000000"/>
              <w:bottom w:val="single" w:sz="4" w:space="0" w:color="000000"/>
              <w:right w:val="single" w:sz="4" w:space="0" w:color="000000"/>
            </w:tcBorders>
          </w:tcPr>
          <w:p w14:paraId="523425C9" w14:textId="68EF5846" w:rsidR="00082F1C" w:rsidRPr="00DE0998" w:rsidRDefault="000A13CA" w:rsidP="000A6EFC">
            <w:pPr>
              <w:ind w:hanging="142"/>
              <w:jc w:val="center"/>
              <w:rPr>
                <w:rFonts w:ascii="Arial" w:hAnsi="Arial" w:cs="Arial"/>
                <w:sz w:val="22"/>
                <w:szCs w:val="22"/>
              </w:rPr>
            </w:pPr>
            <w:r w:rsidRPr="00DE0998">
              <w:rPr>
                <w:rFonts w:ascii="Arial" w:hAnsi="Arial" w:cs="Arial"/>
                <w:sz w:val="22"/>
                <w:szCs w:val="22"/>
              </w:rPr>
              <w:t>1</w:t>
            </w:r>
          </w:p>
        </w:tc>
        <w:tc>
          <w:tcPr>
            <w:tcW w:w="709" w:type="dxa"/>
            <w:tcBorders>
              <w:top w:val="single" w:sz="4" w:space="0" w:color="000000"/>
              <w:left w:val="single" w:sz="4" w:space="0" w:color="000000"/>
              <w:bottom w:val="single" w:sz="4" w:space="0" w:color="000000"/>
              <w:right w:val="single" w:sz="4" w:space="0" w:color="000000"/>
            </w:tcBorders>
          </w:tcPr>
          <w:p w14:paraId="359A7194" w14:textId="411A66B9" w:rsidR="00082F1C" w:rsidRPr="00DE0998" w:rsidRDefault="000A13CA" w:rsidP="000A6EFC">
            <w:pPr>
              <w:ind w:hanging="142"/>
              <w:jc w:val="center"/>
              <w:rPr>
                <w:rFonts w:ascii="Arial" w:hAnsi="Arial" w:cs="Arial"/>
                <w:sz w:val="22"/>
                <w:szCs w:val="22"/>
              </w:rPr>
            </w:pPr>
            <w:r w:rsidRPr="00DE0998">
              <w:rPr>
                <w:rFonts w:ascii="Arial" w:hAnsi="Arial" w:cs="Arial"/>
                <w:sz w:val="22"/>
                <w:szCs w:val="22"/>
              </w:rPr>
              <w:t>1</w:t>
            </w:r>
          </w:p>
        </w:tc>
      </w:tr>
      <w:tr w:rsidR="00DE0998" w:rsidRPr="00DE0998" w14:paraId="46B335B6"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11B1B15A" w14:textId="77777777" w:rsidR="00082F1C" w:rsidRPr="00DE0998" w:rsidRDefault="00082F1C" w:rsidP="000A6EFC">
            <w:pPr>
              <w:ind w:hanging="142"/>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68ED71C8"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chránené územia prírody</w:t>
            </w:r>
          </w:p>
        </w:tc>
        <w:tc>
          <w:tcPr>
            <w:tcW w:w="991" w:type="dxa"/>
            <w:tcBorders>
              <w:top w:val="single" w:sz="4" w:space="0" w:color="000000"/>
              <w:left w:val="single" w:sz="4" w:space="0" w:color="000000"/>
              <w:bottom w:val="single" w:sz="4" w:space="0" w:color="000000"/>
              <w:right w:val="single" w:sz="4" w:space="0" w:color="000000"/>
            </w:tcBorders>
          </w:tcPr>
          <w:p w14:paraId="7832F1D0" w14:textId="0F598262" w:rsidR="00082F1C" w:rsidRPr="00DE0998" w:rsidRDefault="000B5005" w:rsidP="000A6EFC">
            <w:pPr>
              <w:ind w:hanging="142"/>
              <w:jc w:val="center"/>
              <w:rPr>
                <w:rFonts w:ascii="Arial" w:hAnsi="Arial" w:cs="Arial"/>
                <w:sz w:val="22"/>
                <w:szCs w:val="22"/>
              </w:rPr>
            </w:pPr>
            <w:r w:rsidRPr="00DE0998">
              <w:rPr>
                <w:rFonts w:ascii="Arial" w:hAnsi="Arial" w:cs="Arial"/>
                <w:sz w:val="22"/>
                <w:szCs w:val="22"/>
              </w:rPr>
              <w:t>0</w:t>
            </w:r>
          </w:p>
        </w:tc>
        <w:tc>
          <w:tcPr>
            <w:tcW w:w="734" w:type="dxa"/>
            <w:tcBorders>
              <w:top w:val="single" w:sz="4" w:space="0" w:color="000000"/>
              <w:left w:val="single" w:sz="4" w:space="0" w:color="000000"/>
              <w:bottom w:val="single" w:sz="4" w:space="0" w:color="000000"/>
              <w:right w:val="single" w:sz="4" w:space="0" w:color="000000"/>
            </w:tcBorders>
          </w:tcPr>
          <w:p w14:paraId="5573AD26" w14:textId="77EBA9E3" w:rsidR="00082F1C" w:rsidRPr="00DE0998" w:rsidRDefault="000B5005" w:rsidP="000A6EFC">
            <w:pPr>
              <w:ind w:hanging="142"/>
              <w:jc w:val="center"/>
              <w:rPr>
                <w:rFonts w:ascii="Arial" w:hAnsi="Arial" w:cs="Arial"/>
                <w:sz w:val="22"/>
                <w:szCs w:val="22"/>
              </w:rPr>
            </w:pPr>
            <w:r w:rsidRPr="00DE0998">
              <w:rPr>
                <w:rFonts w:ascii="Arial" w:hAnsi="Arial" w:cs="Arial"/>
                <w:sz w:val="22"/>
                <w:szCs w:val="22"/>
              </w:rPr>
              <w:t>0</w:t>
            </w:r>
          </w:p>
        </w:tc>
        <w:tc>
          <w:tcPr>
            <w:tcW w:w="709" w:type="dxa"/>
            <w:tcBorders>
              <w:top w:val="single" w:sz="4" w:space="0" w:color="000000"/>
              <w:left w:val="single" w:sz="4" w:space="0" w:color="000000"/>
              <w:bottom w:val="single" w:sz="4" w:space="0" w:color="000000"/>
              <w:right w:val="single" w:sz="4" w:space="0" w:color="000000"/>
            </w:tcBorders>
          </w:tcPr>
          <w:p w14:paraId="51C67CEB" w14:textId="26E163D3" w:rsidR="00082F1C" w:rsidRPr="00DE0998" w:rsidRDefault="000B5005" w:rsidP="000A6EFC">
            <w:pPr>
              <w:ind w:hanging="142"/>
              <w:jc w:val="center"/>
              <w:rPr>
                <w:rFonts w:ascii="Arial" w:hAnsi="Arial" w:cs="Arial"/>
                <w:sz w:val="22"/>
                <w:szCs w:val="22"/>
              </w:rPr>
            </w:pPr>
            <w:r w:rsidRPr="00DE0998">
              <w:rPr>
                <w:rFonts w:ascii="Arial" w:hAnsi="Arial" w:cs="Arial"/>
                <w:sz w:val="22"/>
                <w:szCs w:val="22"/>
              </w:rPr>
              <w:t>0</w:t>
            </w:r>
          </w:p>
        </w:tc>
      </w:tr>
      <w:tr w:rsidR="00DE0998" w:rsidRPr="00DE0998" w14:paraId="07A1F4C6"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642067FF" w14:textId="77777777" w:rsidR="00082F1C" w:rsidRPr="00DE0998" w:rsidRDefault="00082F1C" w:rsidP="000A6EFC">
            <w:pPr>
              <w:ind w:hanging="142"/>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4A429C85"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prvky ÚSES</w:t>
            </w:r>
          </w:p>
        </w:tc>
        <w:tc>
          <w:tcPr>
            <w:tcW w:w="991" w:type="dxa"/>
            <w:tcBorders>
              <w:top w:val="single" w:sz="4" w:space="0" w:color="000000"/>
              <w:left w:val="single" w:sz="4" w:space="0" w:color="000000"/>
              <w:bottom w:val="single" w:sz="4" w:space="0" w:color="000000"/>
              <w:right w:val="single" w:sz="4" w:space="0" w:color="000000"/>
            </w:tcBorders>
          </w:tcPr>
          <w:p w14:paraId="787B6FF5" w14:textId="2FBF60F5" w:rsidR="00082F1C" w:rsidRPr="00DE0998" w:rsidRDefault="000B5005" w:rsidP="000A6EFC">
            <w:pPr>
              <w:ind w:hanging="142"/>
              <w:jc w:val="center"/>
              <w:rPr>
                <w:rFonts w:ascii="Arial" w:hAnsi="Arial" w:cs="Arial"/>
                <w:sz w:val="22"/>
                <w:szCs w:val="22"/>
              </w:rPr>
            </w:pPr>
            <w:r w:rsidRPr="00DE0998">
              <w:rPr>
                <w:rFonts w:ascii="Arial" w:hAnsi="Arial" w:cs="Arial"/>
                <w:sz w:val="22"/>
                <w:szCs w:val="22"/>
              </w:rPr>
              <w:t>0</w:t>
            </w:r>
          </w:p>
        </w:tc>
        <w:tc>
          <w:tcPr>
            <w:tcW w:w="734" w:type="dxa"/>
            <w:tcBorders>
              <w:top w:val="single" w:sz="4" w:space="0" w:color="000000"/>
              <w:left w:val="single" w:sz="4" w:space="0" w:color="000000"/>
              <w:bottom w:val="single" w:sz="4" w:space="0" w:color="000000"/>
              <w:right w:val="single" w:sz="4" w:space="0" w:color="000000"/>
            </w:tcBorders>
          </w:tcPr>
          <w:p w14:paraId="3282FB72" w14:textId="5BF75F88" w:rsidR="00082F1C" w:rsidRPr="00DE0998" w:rsidRDefault="000B5005" w:rsidP="000A6EFC">
            <w:pPr>
              <w:ind w:hanging="142"/>
              <w:jc w:val="center"/>
              <w:rPr>
                <w:rFonts w:ascii="Arial" w:hAnsi="Arial" w:cs="Arial"/>
                <w:sz w:val="22"/>
                <w:szCs w:val="22"/>
              </w:rPr>
            </w:pPr>
            <w:r w:rsidRPr="00DE0998">
              <w:rPr>
                <w:rFonts w:ascii="Arial" w:hAnsi="Arial" w:cs="Arial"/>
                <w:sz w:val="22"/>
                <w:szCs w:val="22"/>
              </w:rPr>
              <w:t>1</w:t>
            </w:r>
          </w:p>
        </w:tc>
        <w:tc>
          <w:tcPr>
            <w:tcW w:w="709" w:type="dxa"/>
            <w:tcBorders>
              <w:top w:val="single" w:sz="4" w:space="0" w:color="000000"/>
              <w:left w:val="single" w:sz="4" w:space="0" w:color="000000"/>
              <w:bottom w:val="single" w:sz="4" w:space="0" w:color="000000"/>
              <w:right w:val="single" w:sz="4" w:space="0" w:color="000000"/>
            </w:tcBorders>
          </w:tcPr>
          <w:p w14:paraId="65F51E8D" w14:textId="3C18DE04" w:rsidR="00082F1C" w:rsidRPr="00DE0998" w:rsidRDefault="000B5005" w:rsidP="000A6EFC">
            <w:pPr>
              <w:ind w:hanging="142"/>
              <w:jc w:val="center"/>
              <w:rPr>
                <w:rFonts w:ascii="Arial" w:hAnsi="Arial" w:cs="Arial"/>
                <w:sz w:val="22"/>
                <w:szCs w:val="22"/>
              </w:rPr>
            </w:pPr>
            <w:r w:rsidRPr="00DE0998">
              <w:rPr>
                <w:rFonts w:ascii="Arial" w:hAnsi="Arial" w:cs="Arial"/>
                <w:sz w:val="22"/>
                <w:szCs w:val="22"/>
              </w:rPr>
              <w:t>1</w:t>
            </w:r>
          </w:p>
        </w:tc>
      </w:tr>
      <w:tr w:rsidR="00DE0998" w:rsidRPr="00DE0998" w14:paraId="11206B82" w14:textId="77777777" w:rsidTr="000A6EFC">
        <w:tc>
          <w:tcPr>
            <w:tcW w:w="1855" w:type="dxa"/>
            <w:vMerge/>
            <w:tcBorders>
              <w:top w:val="single" w:sz="4" w:space="0" w:color="000000"/>
              <w:left w:val="single" w:sz="4" w:space="0" w:color="000000"/>
              <w:bottom w:val="single" w:sz="4" w:space="0" w:color="000000"/>
              <w:right w:val="single" w:sz="4" w:space="0" w:color="000000"/>
            </w:tcBorders>
            <w:vAlign w:val="center"/>
          </w:tcPr>
          <w:p w14:paraId="6B37F278" w14:textId="77777777" w:rsidR="00082F1C" w:rsidRPr="00DE0998" w:rsidRDefault="00082F1C" w:rsidP="000A6EFC">
            <w:pPr>
              <w:ind w:hanging="142"/>
              <w:rPr>
                <w:rFonts w:ascii="Arial" w:hAnsi="Arial" w:cs="Arial"/>
                <w:sz w:val="22"/>
                <w:szCs w:val="22"/>
              </w:rPr>
            </w:pPr>
          </w:p>
        </w:tc>
        <w:tc>
          <w:tcPr>
            <w:tcW w:w="4466" w:type="dxa"/>
            <w:tcBorders>
              <w:top w:val="single" w:sz="4" w:space="0" w:color="000000"/>
              <w:left w:val="single" w:sz="4" w:space="0" w:color="000000"/>
              <w:bottom w:val="single" w:sz="4" w:space="0" w:color="000000"/>
              <w:right w:val="single" w:sz="4" w:space="0" w:color="000000"/>
            </w:tcBorders>
          </w:tcPr>
          <w:p w14:paraId="5C5DDBAE" w14:textId="77777777" w:rsidR="00082F1C" w:rsidRPr="00DE0998" w:rsidRDefault="00082F1C" w:rsidP="000A6EFC">
            <w:pPr>
              <w:pStyle w:val="Zkladntext"/>
              <w:rPr>
                <w:rFonts w:eastAsia="Calibri" w:cs="Arial"/>
                <w:b w:val="0"/>
                <w:iCs/>
                <w:sz w:val="22"/>
                <w:szCs w:val="22"/>
                <w:lang w:val="sk-SK" w:eastAsia="sk-SK"/>
              </w:rPr>
            </w:pPr>
            <w:r w:rsidRPr="00DE0998">
              <w:rPr>
                <w:rFonts w:cs="Arial"/>
                <w:b w:val="0"/>
                <w:iCs/>
                <w:sz w:val="22"/>
                <w:szCs w:val="22"/>
                <w:lang w:val="sk-SK" w:eastAsia="sk-SK"/>
              </w:rPr>
              <w:t>Krajinu a urbánny komplex</w:t>
            </w:r>
          </w:p>
        </w:tc>
        <w:tc>
          <w:tcPr>
            <w:tcW w:w="991" w:type="dxa"/>
            <w:tcBorders>
              <w:top w:val="single" w:sz="4" w:space="0" w:color="000000"/>
              <w:left w:val="single" w:sz="4" w:space="0" w:color="000000"/>
              <w:bottom w:val="single" w:sz="4" w:space="0" w:color="000000"/>
              <w:right w:val="single" w:sz="4" w:space="0" w:color="000000"/>
            </w:tcBorders>
          </w:tcPr>
          <w:p w14:paraId="17C1863E" w14:textId="1AC36900" w:rsidR="00082F1C" w:rsidRPr="00DE0998" w:rsidRDefault="00FE4A3E" w:rsidP="000A6EFC">
            <w:pPr>
              <w:ind w:hanging="142"/>
              <w:jc w:val="center"/>
              <w:rPr>
                <w:rFonts w:ascii="Arial" w:hAnsi="Arial" w:cs="Arial"/>
                <w:sz w:val="22"/>
                <w:szCs w:val="22"/>
              </w:rPr>
            </w:pPr>
            <w:r>
              <w:rPr>
                <w:rFonts w:ascii="Arial" w:hAnsi="Arial" w:cs="Arial"/>
                <w:sz w:val="22"/>
                <w:szCs w:val="22"/>
              </w:rPr>
              <w:t>1</w:t>
            </w:r>
          </w:p>
        </w:tc>
        <w:tc>
          <w:tcPr>
            <w:tcW w:w="734" w:type="dxa"/>
            <w:tcBorders>
              <w:top w:val="single" w:sz="4" w:space="0" w:color="000000"/>
              <w:left w:val="single" w:sz="4" w:space="0" w:color="000000"/>
              <w:bottom w:val="single" w:sz="4" w:space="0" w:color="000000"/>
              <w:right w:val="single" w:sz="4" w:space="0" w:color="000000"/>
            </w:tcBorders>
          </w:tcPr>
          <w:p w14:paraId="7647BECE" w14:textId="1A56D0FC" w:rsidR="00082F1C" w:rsidRPr="00DE0998" w:rsidRDefault="000B5005" w:rsidP="000A6EFC">
            <w:pPr>
              <w:ind w:hanging="142"/>
              <w:jc w:val="center"/>
              <w:rPr>
                <w:rFonts w:ascii="Arial" w:hAnsi="Arial" w:cs="Arial"/>
                <w:sz w:val="22"/>
                <w:szCs w:val="22"/>
              </w:rPr>
            </w:pPr>
            <w:r w:rsidRPr="00DE0998">
              <w:rPr>
                <w:rFonts w:ascii="Arial" w:hAnsi="Arial" w:cs="Arial"/>
                <w:sz w:val="22"/>
                <w:szCs w:val="22"/>
              </w:rPr>
              <w:t>3</w:t>
            </w:r>
          </w:p>
        </w:tc>
        <w:tc>
          <w:tcPr>
            <w:tcW w:w="709" w:type="dxa"/>
            <w:tcBorders>
              <w:top w:val="single" w:sz="4" w:space="0" w:color="000000"/>
              <w:left w:val="single" w:sz="4" w:space="0" w:color="000000"/>
              <w:bottom w:val="single" w:sz="4" w:space="0" w:color="000000"/>
              <w:right w:val="single" w:sz="4" w:space="0" w:color="000000"/>
            </w:tcBorders>
          </w:tcPr>
          <w:p w14:paraId="396FCD36" w14:textId="0F9C00CF" w:rsidR="00082F1C" w:rsidRPr="00DE0998" w:rsidRDefault="000B5005" w:rsidP="000A6EFC">
            <w:pPr>
              <w:ind w:hanging="142"/>
              <w:jc w:val="center"/>
              <w:rPr>
                <w:rFonts w:ascii="Arial" w:hAnsi="Arial" w:cs="Arial"/>
                <w:sz w:val="22"/>
                <w:szCs w:val="22"/>
              </w:rPr>
            </w:pPr>
            <w:r w:rsidRPr="00DE0998">
              <w:rPr>
                <w:rFonts w:ascii="Arial" w:hAnsi="Arial" w:cs="Arial"/>
                <w:sz w:val="22"/>
                <w:szCs w:val="22"/>
              </w:rPr>
              <w:t>3</w:t>
            </w:r>
          </w:p>
        </w:tc>
      </w:tr>
    </w:tbl>
    <w:p w14:paraId="41EF9E1B" w14:textId="5210BAD3" w:rsidR="00E65CA9" w:rsidRDefault="00082F1C" w:rsidP="00947F2A">
      <w:pPr>
        <w:pStyle w:val="A-Text11"/>
      </w:pPr>
      <w:r w:rsidRPr="00DB0F6E">
        <w:t xml:space="preserve">Stavba </w:t>
      </w:r>
      <w:r w:rsidR="004F56A2" w:rsidRPr="00DB0F6E">
        <w:t>bytového domu</w:t>
      </w:r>
      <w:r w:rsidRPr="00DB0F6E">
        <w:t xml:space="preserve">  môže byť pozitívnym prínosom v mestskom prostredí z hľadiska estetického a krajinotvorného. Z hľadiska estetiky realizácia zámeru ovplyvní krajinu  novým vzhľadom pozemnými stavbami</w:t>
      </w:r>
      <w:r w:rsidR="00E65CA9" w:rsidRPr="00DB0F6E">
        <w:t>.</w:t>
      </w:r>
    </w:p>
    <w:p w14:paraId="36517173" w14:textId="77777777" w:rsidR="00061D67" w:rsidRPr="00DB0F6E" w:rsidRDefault="00061D67" w:rsidP="002951A7">
      <w:pPr>
        <w:widowControl/>
        <w:spacing w:before="120"/>
        <w:jc w:val="both"/>
        <w:rPr>
          <w:rFonts w:ascii="Arial" w:hAnsi="Arial" w:cs="Arial"/>
          <w:sz w:val="22"/>
          <w:szCs w:val="24"/>
          <w:lang w:eastAsia="en-US"/>
        </w:rPr>
      </w:pPr>
    </w:p>
    <w:p w14:paraId="20913E2A" w14:textId="77777777" w:rsidR="00E65CA9" w:rsidRPr="004A7717" w:rsidRDefault="00E65CA9" w:rsidP="009B23C7">
      <w:pPr>
        <w:pStyle w:val="Nadpis2"/>
      </w:pPr>
      <w:bookmarkStart w:id="359" w:name="_Toc93916850"/>
      <w:r w:rsidRPr="004A7717">
        <w:lastRenderedPageBreak/>
        <w:t>Predpokladaný vplyv presahujúci štátne hranice</w:t>
      </w:r>
      <w:bookmarkEnd w:id="357"/>
      <w:bookmarkEnd w:id="358"/>
      <w:bookmarkEnd w:id="359"/>
    </w:p>
    <w:p w14:paraId="7F0A8840" w14:textId="238ABE41" w:rsidR="00E65CA9" w:rsidRDefault="00E65CA9" w:rsidP="009B23C7">
      <w:pPr>
        <w:pStyle w:val="A-Text11"/>
        <w:spacing w:line="240" w:lineRule="auto"/>
      </w:pPr>
      <w:bookmarkStart w:id="360" w:name="_Toc488344012"/>
      <w:bookmarkStart w:id="361" w:name="_Toc495992992"/>
      <w:r w:rsidRPr="004A7717">
        <w:t xml:space="preserve">Zákon č. 24/2006 Z.z. o posudzovaní vplyvov na životné prostredie v znení neskorších predpisov v Prílohe č. 13 uvádza zoznam činností podliehajúcich medzinárodnému posudzovaniu z hľadiska ich vplyvov na životné prostredie, presahujúce štátne hranice.  Navrhovaná činnosť nie je uvedená v Prílohe č. 13 a nie je charakterom ani rozsahom taká, aby jej vplyv na životné prostredie mohol presahovať štátne hranice. </w:t>
      </w:r>
    </w:p>
    <w:p w14:paraId="521A0BE4" w14:textId="0E722613" w:rsidR="00E65CA9" w:rsidRPr="004A7717" w:rsidRDefault="00E65CA9" w:rsidP="009B23C7">
      <w:pPr>
        <w:pStyle w:val="Nadpis2"/>
      </w:pPr>
      <w:bookmarkStart w:id="362" w:name="_Toc93916851"/>
      <w:r w:rsidRPr="004A7717">
        <w:t>Vyvolané súvislosti, ktoré môžu spôsobiť vplyvy  s prihliadnutím na súčasný stav životného prostredia v dotknutom území</w:t>
      </w:r>
      <w:bookmarkEnd w:id="360"/>
      <w:bookmarkEnd w:id="361"/>
      <w:bookmarkEnd w:id="362"/>
    </w:p>
    <w:p w14:paraId="4C47016B" w14:textId="02875F29" w:rsidR="00E65CA9" w:rsidRDefault="000C7F2A" w:rsidP="009B23C7">
      <w:pPr>
        <w:pStyle w:val="A-Text11"/>
        <w:spacing w:line="240" w:lineRule="auto"/>
      </w:pPr>
      <w:r w:rsidRPr="004A7717">
        <w:t xml:space="preserve">Nie je reálny predpoklad, aby realizácia </w:t>
      </w:r>
      <w:r w:rsidRPr="004A7717">
        <w:rPr>
          <w:i/>
          <w:iCs/>
          <w:szCs w:val="24"/>
        </w:rPr>
        <w:t xml:space="preserve">obidvoch navrhovaných </w:t>
      </w:r>
      <w:r w:rsidRPr="004A7717">
        <w:rPr>
          <w:bCs/>
          <w:iCs/>
        </w:rPr>
        <w:t>variantov</w:t>
      </w:r>
      <w:r w:rsidRPr="004A7717">
        <w:t xml:space="preserve"> vyvolala súvislosti, ktoré môžu významne  ovplyvniť súčasný stav životného prostredia v dotknutom území v oblasti ochrany prírody, prírodných zdrojov,  alebo kultúrnych pamiatok nad rámec opísaný v ostatnom texte predkladanéh</w:t>
      </w:r>
      <w:r w:rsidR="00506A53" w:rsidRPr="004A7717">
        <w:t>o</w:t>
      </w:r>
      <w:r w:rsidRPr="004A7717">
        <w:t xml:space="preserve"> zámeru</w:t>
      </w:r>
      <w:r w:rsidR="00E65CA9" w:rsidRPr="004A7717">
        <w:t>.</w:t>
      </w:r>
    </w:p>
    <w:p w14:paraId="5B0E4CAC" w14:textId="77777777" w:rsidR="00E65CA9" w:rsidRPr="004A7717" w:rsidRDefault="00E65CA9" w:rsidP="009B23C7">
      <w:pPr>
        <w:pStyle w:val="Nadpis2"/>
      </w:pPr>
      <w:bookmarkStart w:id="363" w:name="_Toc132078732"/>
      <w:r w:rsidRPr="004A7717">
        <w:t xml:space="preserve">  </w:t>
      </w:r>
      <w:bookmarkStart w:id="364" w:name="_Toc495992993"/>
      <w:bookmarkStart w:id="365" w:name="_Toc93916852"/>
      <w:r w:rsidRPr="004A7717">
        <w:t>Ďalšie možné riziká spojené s realizáciou navrhovanej činnosti</w:t>
      </w:r>
      <w:bookmarkEnd w:id="363"/>
      <w:bookmarkEnd w:id="364"/>
      <w:bookmarkEnd w:id="365"/>
      <w:r w:rsidRPr="004A7717">
        <w:t xml:space="preserve"> </w:t>
      </w:r>
    </w:p>
    <w:p w14:paraId="4EA0446A" w14:textId="32500ECC" w:rsidR="00E65CA9" w:rsidRPr="004A7717" w:rsidRDefault="00E65CA9" w:rsidP="009B23C7">
      <w:pPr>
        <w:pStyle w:val="3rovenadpis"/>
        <w:spacing w:before="120" w:after="0"/>
      </w:pPr>
      <w:bookmarkStart w:id="366" w:name="_Toc132078733"/>
      <w:bookmarkStart w:id="367" w:name="_Toc495992994"/>
      <w:bookmarkStart w:id="368" w:name="_Toc93916853"/>
      <w:r w:rsidRPr="004A7717">
        <w:t>Riziká počas výstavby</w:t>
      </w:r>
      <w:bookmarkEnd w:id="366"/>
      <w:bookmarkEnd w:id="367"/>
      <w:bookmarkEnd w:id="368"/>
      <w:r w:rsidRPr="004A7717">
        <w:t xml:space="preserve"> </w:t>
      </w:r>
    </w:p>
    <w:p w14:paraId="756D7FDB" w14:textId="77777777" w:rsidR="00E65CA9" w:rsidRPr="004A7717" w:rsidRDefault="00E65CA9" w:rsidP="009B23C7">
      <w:pPr>
        <w:pStyle w:val="A-Text11"/>
        <w:spacing w:line="240" w:lineRule="auto"/>
      </w:pPr>
      <w:r w:rsidRPr="004A7717">
        <w:t xml:space="preserve">Realizácia navrhovanej činnosti sa bude riadiť predovšetkým stavebnými a technologickými predpismi a normami. </w:t>
      </w:r>
    </w:p>
    <w:p w14:paraId="04CEDD3D" w14:textId="77777777" w:rsidR="00E65CA9" w:rsidRPr="004A7717" w:rsidRDefault="00E65CA9" w:rsidP="009B23C7">
      <w:pPr>
        <w:pStyle w:val="A-Text11"/>
        <w:spacing w:line="240" w:lineRule="auto"/>
      </w:pPr>
      <w:r w:rsidRPr="004A7717">
        <w:t xml:space="preserve">Počas výstavby môžu vzniknúť málo pravdepodobné, v minimálnom rozsahu a aj to bežné riziká, nehody, súvisiace priamo so stavebnou činnosťou. Ich vylúčenie je podmienené dodržiavaním platných právnych predpisov týkajúcich sa bezpečnosti a ochrany zdravia pri práci. </w:t>
      </w:r>
    </w:p>
    <w:p w14:paraId="0F0A1733" w14:textId="77777777" w:rsidR="00E65CA9" w:rsidRPr="004A7717" w:rsidRDefault="00E65CA9" w:rsidP="009B23C7">
      <w:pPr>
        <w:pStyle w:val="A-Text11"/>
        <w:spacing w:line="240" w:lineRule="auto"/>
      </w:pPr>
      <w:r w:rsidRPr="004A7717">
        <w:t xml:space="preserve">Určité riziká  môžu vzniknúť v prípadoch križovania navrhovaných  kanalizačných sietí s cestnými komunikáciami, resp. inými inžinierskymi sieťami. Tieto riziká však budú eliminované už v rámci schvaľovania realizačnej dokumentácie. </w:t>
      </w:r>
    </w:p>
    <w:p w14:paraId="1128AF2F" w14:textId="371A330D" w:rsidR="00E65CA9" w:rsidRPr="004A7717" w:rsidRDefault="00E65CA9" w:rsidP="009B23C7">
      <w:pPr>
        <w:pStyle w:val="A-Text11"/>
        <w:spacing w:line="240" w:lineRule="auto"/>
      </w:pPr>
      <w:r w:rsidRPr="004A7717">
        <w:t xml:space="preserve">Pri realizácii výstavby je určité riziko znečistenia podzemných a povrchových vôd pri havárii stavebných mechanizmov. Prípadná havária na strojnom zariadení zhotoviteľov stavby bude ihneď eliminovaná a </w:t>
      </w:r>
      <w:r w:rsidRPr="005D5482">
        <w:t>prípadná zemina kontaminovaná únikmi ropných látok bude odvezená na dekontamináciu. V prípade havárie sa predpokladá únik l ropných látok. Autá a stavebné stroje</w:t>
      </w:r>
      <w:r w:rsidRPr="004A7717">
        <w:t xml:space="preserve"> budú zabezpečené prídavnými plechovými vaňami pre zachytenie prípadných ropných únikov. So skladom pohonných hmôt a olejov sa na území staveniska a na plochách zariadenia staveniska neuvažuje.</w:t>
      </w:r>
    </w:p>
    <w:p w14:paraId="60D565A1" w14:textId="77777777" w:rsidR="00E65CA9" w:rsidRPr="004A7717" w:rsidRDefault="00E65CA9" w:rsidP="009B23C7">
      <w:pPr>
        <w:pStyle w:val="A-Text11"/>
        <w:spacing w:line="240" w:lineRule="auto"/>
      </w:pPr>
      <w:r w:rsidRPr="004A7717">
        <w:t>Vplyvy na životné prostredie súvisiace s výstavbou  možno zhrnúť do dočasne zvýšenej prašnosti a hlučnosti na staveniskách, ktoré však nemôžu presiahnuť bežnú prípustnú normu.</w:t>
      </w:r>
    </w:p>
    <w:p w14:paraId="75A8BD3B" w14:textId="77777777" w:rsidR="00E65CA9" w:rsidRPr="004A7717" w:rsidRDefault="00E65CA9" w:rsidP="009B23C7">
      <w:pPr>
        <w:pStyle w:val="A-Text11"/>
        <w:spacing w:line="240" w:lineRule="auto"/>
      </w:pPr>
      <w:r w:rsidRPr="004A7717">
        <w:t>V nulovom variante, ktorý nepredstavuje stavebné práce tieto riziká nie sú, ale v krátkom čase treba predpokladať, že by bol iste neskôr realizovaný obdobný zámer spĺňajúci limity územnoplánovacej dokumentácie.</w:t>
      </w:r>
    </w:p>
    <w:p w14:paraId="65708847" w14:textId="1062CB20" w:rsidR="00E65CA9" w:rsidRDefault="00E65CA9" w:rsidP="009B23C7">
      <w:pPr>
        <w:pStyle w:val="A-Text11"/>
        <w:spacing w:line="240" w:lineRule="auto"/>
        <w:rPr>
          <w:szCs w:val="24"/>
        </w:rPr>
      </w:pPr>
      <w:r w:rsidRPr="004A7717">
        <w:rPr>
          <w:szCs w:val="24"/>
        </w:rPr>
        <w:t xml:space="preserve">Riziká počas výstavby vyplývajú  z charakteru práce – výškové práce, práca s plynovými, elektrickými zariadeniami, stavebnými a dopravnými mechanizmami. V tomto smere sú riziká obdobné ako pri každej stavebnej činnosti. Riziká je možné eliminovať len dôsledným dodržiavaním podmienok bezpečnosti a ochrany zdravia pri práci. Dodržiavať treba predovšetkým platné predpisy v oblasti bezpečnosti a ochrany zdravia pri práci. </w:t>
      </w:r>
    </w:p>
    <w:p w14:paraId="2928F1C6" w14:textId="14E86015" w:rsidR="00E65CA9" w:rsidRPr="004A7717" w:rsidRDefault="00E65CA9" w:rsidP="008C6F96">
      <w:pPr>
        <w:pStyle w:val="3rovenadpis"/>
      </w:pPr>
      <w:bookmarkStart w:id="369" w:name="_Toc132078734"/>
      <w:bookmarkStart w:id="370" w:name="_Toc495992995"/>
      <w:bookmarkStart w:id="371" w:name="_Toc93916854"/>
      <w:r w:rsidRPr="004A7717">
        <w:t>Riziká počas prevádzky</w:t>
      </w:r>
      <w:bookmarkEnd w:id="369"/>
      <w:bookmarkEnd w:id="370"/>
      <w:bookmarkEnd w:id="371"/>
    </w:p>
    <w:p w14:paraId="22CFF493" w14:textId="77777777" w:rsidR="00E65CA9" w:rsidRPr="004A7717" w:rsidRDefault="00E65CA9" w:rsidP="00DE0998">
      <w:pPr>
        <w:pStyle w:val="A-Text11"/>
      </w:pPr>
      <w:bookmarkStart w:id="372" w:name="_Toc132078735"/>
      <w:r w:rsidRPr="004A7717">
        <w:t>Počas prevádzky môžu nastať rizikové situácie spojené s príčinami:</w:t>
      </w:r>
    </w:p>
    <w:p w14:paraId="1EE6755C" w14:textId="77777777" w:rsidR="00E65CA9" w:rsidRPr="00DE0998" w:rsidRDefault="00E65CA9" w:rsidP="0095439F">
      <w:pPr>
        <w:pStyle w:val="A-Text11"/>
        <w:numPr>
          <w:ilvl w:val="0"/>
          <w:numId w:val="38"/>
        </w:numPr>
        <w:spacing w:before="0" w:line="240" w:lineRule="auto"/>
        <w:ind w:left="1145" w:hanging="357"/>
      </w:pPr>
      <w:r w:rsidRPr="00DE0998">
        <w:lastRenderedPageBreak/>
        <w:t>interného pôvodu (nebezpečenstvá spojené s látkami alebo postupmi)</w:t>
      </w:r>
    </w:p>
    <w:p w14:paraId="0A31089E" w14:textId="77777777" w:rsidR="00E65CA9" w:rsidRPr="00DE0998" w:rsidRDefault="00E65CA9" w:rsidP="0095439F">
      <w:pPr>
        <w:pStyle w:val="A-Text11"/>
        <w:numPr>
          <w:ilvl w:val="0"/>
          <w:numId w:val="38"/>
        </w:numPr>
        <w:spacing w:before="0" w:line="240" w:lineRule="auto"/>
        <w:ind w:left="1145" w:hanging="357"/>
      </w:pPr>
      <w:r w:rsidRPr="00DE0998">
        <w:t>externého pôvodu (prirodzené nebezpečenstvá, vonkajšie vplyvy)</w:t>
      </w:r>
    </w:p>
    <w:p w14:paraId="33B0AE17" w14:textId="77777777" w:rsidR="00E65CA9" w:rsidRPr="00DE0998" w:rsidRDefault="00E65CA9" w:rsidP="009B23C7">
      <w:pPr>
        <w:pStyle w:val="A-Text11"/>
        <w:spacing w:line="240" w:lineRule="auto"/>
        <w:rPr>
          <w:b/>
          <w:bCs/>
        </w:rPr>
      </w:pPr>
      <w:r w:rsidRPr="00DE0998">
        <w:rPr>
          <w:b/>
          <w:bCs/>
        </w:rPr>
        <w:t>Riziká interného pôvodu</w:t>
      </w:r>
    </w:p>
    <w:p w14:paraId="1C136F3D" w14:textId="77777777" w:rsidR="00E65CA9" w:rsidRPr="004A7717" w:rsidRDefault="00E65CA9" w:rsidP="009B23C7">
      <w:pPr>
        <w:pStyle w:val="A-Text11"/>
        <w:spacing w:line="240" w:lineRule="auto"/>
      </w:pPr>
      <w:r w:rsidRPr="004A7717">
        <w:t xml:space="preserve">Riziká interného pôvodu môžu vzniknúť predovšetkým z havárií. Vlastná prevádzka predstavuje  technologicky málo náročnú činnosť, kde neprichádza k manipulácii s nebezpečnými látkami.  Z hľadiska možných negatívnych vplyvov na životné prostredie prevádzka bude predstavovať reálne významné riziko len vo väzbe na pohyb dopravných mechanizmov. </w:t>
      </w:r>
    </w:p>
    <w:p w14:paraId="309F4A8E" w14:textId="77777777" w:rsidR="00E65CA9" w:rsidRPr="00DE0998" w:rsidRDefault="00E65CA9" w:rsidP="009B23C7">
      <w:pPr>
        <w:pStyle w:val="A-Text11"/>
        <w:spacing w:line="240" w:lineRule="auto"/>
        <w:rPr>
          <w:b/>
          <w:bCs/>
        </w:rPr>
      </w:pPr>
      <w:r w:rsidRPr="00DE0998">
        <w:rPr>
          <w:b/>
          <w:bCs/>
        </w:rPr>
        <w:t>Riziká externého pôvodu</w:t>
      </w:r>
    </w:p>
    <w:p w14:paraId="69FC09CB" w14:textId="77777777" w:rsidR="00E65CA9" w:rsidRPr="004A7717" w:rsidRDefault="00E65CA9" w:rsidP="009B23C7">
      <w:pPr>
        <w:pStyle w:val="A-Text11"/>
        <w:spacing w:line="240" w:lineRule="auto"/>
      </w:pPr>
      <w:r w:rsidRPr="004A7717">
        <w:t>Riziká spôsobené externou príčinou sú spojené predovšetkým s rizikovými situáciami spojenými s pôsobením vonkajšieho prostredia – úder bleskom, zásahom nepovolaných osôb  a pod. Tiež môžu vzniknúť rizikové stavy v súvislosti s výpadkom sietí, resp. technických zariadení alebo vniknutím neoprávnených osôb do objektu.  Tieto riziká sú eliminované už v úrovni projektovej prípravy.</w:t>
      </w:r>
    </w:p>
    <w:p w14:paraId="05109348" w14:textId="60E6900A" w:rsidR="00E65CA9" w:rsidRDefault="00E65CA9" w:rsidP="009B23C7">
      <w:pPr>
        <w:pStyle w:val="A-Text11"/>
        <w:spacing w:line="240" w:lineRule="auto"/>
      </w:pPr>
      <w:r w:rsidRPr="004A7717">
        <w:t xml:space="preserve">Najvýznamnejším rizikom počas prevádzky je riziko požiaru. Toto riziko bude eliminované  už riešením objektov v úrovni dokumentácie pre územné rozhodnutie. </w:t>
      </w:r>
    </w:p>
    <w:p w14:paraId="67EEDF29" w14:textId="223EB2AA" w:rsidR="00E65CA9" w:rsidRPr="004A7717" w:rsidRDefault="00E65CA9" w:rsidP="009B23C7">
      <w:pPr>
        <w:pStyle w:val="Nadpis2"/>
      </w:pPr>
      <w:bookmarkStart w:id="373" w:name="_Toc450406281"/>
      <w:bookmarkStart w:id="374" w:name="_Toc488344016"/>
      <w:bookmarkStart w:id="375" w:name="_Toc495992996"/>
      <w:bookmarkStart w:id="376" w:name="_Toc93916855"/>
      <w:bookmarkStart w:id="377" w:name="_Toc132078736"/>
      <w:bookmarkEnd w:id="372"/>
      <w:r w:rsidRPr="004A7717">
        <w:t>Opatrenia na zmiernenie nepriaznivých vplyvov jednotlivých</w:t>
      </w:r>
      <w:r w:rsidR="004974E3">
        <w:t xml:space="preserve"> </w:t>
      </w:r>
      <w:r w:rsidRPr="004A7717">
        <w:t>variantov navrhovanej činnosti</w:t>
      </w:r>
      <w:bookmarkEnd w:id="373"/>
      <w:r w:rsidRPr="004A7717">
        <w:t xml:space="preserve"> na životné prostredie</w:t>
      </w:r>
      <w:bookmarkEnd w:id="374"/>
      <w:bookmarkEnd w:id="375"/>
      <w:bookmarkEnd w:id="376"/>
    </w:p>
    <w:p w14:paraId="51F415F7" w14:textId="4216D7AB" w:rsidR="00E65CA9" w:rsidRPr="004A7717" w:rsidRDefault="00E65CA9" w:rsidP="009B23C7">
      <w:pPr>
        <w:pStyle w:val="3rovenadpis"/>
        <w:spacing w:before="120" w:after="0"/>
      </w:pPr>
      <w:bookmarkStart w:id="378" w:name="_Toc495992997"/>
      <w:bookmarkStart w:id="379" w:name="_Toc93916856"/>
      <w:r w:rsidRPr="004A7717">
        <w:t>Opatrenia počas investičnej prípravy</w:t>
      </w:r>
      <w:bookmarkEnd w:id="377"/>
      <w:bookmarkEnd w:id="378"/>
      <w:bookmarkEnd w:id="379"/>
    </w:p>
    <w:p w14:paraId="1BFB780E" w14:textId="49A7B556" w:rsidR="00E65CA9" w:rsidRPr="004A7717" w:rsidRDefault="00E65CA9" w:rsidP="009B23C7">
      <w:pPr>
        <w:pStyle w:val="A-Text11"/>
        <w:spacing w:line="240" w:lineRule="auto"/>
      </w:pPr>
      <w:bookmarkStart w:id="380" w:name="_Toc132078737"/>
      <w:r w:rsidRPr="004A7717">
        <w:t>Výstavba objekt</w:t>
      </w:r>
      <w:r w:rsidR="00D7678A">
        <w:t>ov</w:t>
      </w:r>
      <w:r w:rsidRPr="004A7717">
        <w:t xml:space="preserve"> sa bude realizovať na základe projektovej dokumentácie v zmysle zákona č. 50/1976 Zb. o územnom plánovaní a stavebnom poriadku (stavebného zákona) v znení neskorších predpisov. Dokumentácia stavby, vrátane  technologickej dokumentácie, na základe ktorej sa bude zámer realizovať, bude obsahovať všetky  požiadavky na prijatie takých opatrení, aby sa zmiernili možné nepriaznivé vplyvy. </w:t>
      </w:r>
    </w:p>
    <w:p w14:paraId="193963F7" w14:textId="77777777" w:rsidR="00E65CA9" w:rsidRPr="004A7717" w:rsidRDefault="00E65CA9" w:rsidP="009B23C7">
      <w:pPr>
        <w:pStyle w:val="A-Text11"/>
        <w:spacing w:line="240" w:lineRule="auto"/>
      </w:pPr>
      <w:r w:rsidRPr="004A7717">
        <w:t>Pred začatím zemných prác je investor povinný zabezpečiť vytýčenie všetkých podzemných inžinierskych sietí, aby nedošlo ku ich poškodeniu.</w:t>
      </w:r>
    </w:p>
    <w:p w14:paraId="49BCBB05" w14:textId="77777777" w:rsidR="00E65CA9" w:rsidRPr="004A7717" w:rsidRDefault="00E65CA9" w:rsidP="009B23C7">
      <w:pPr>
        <w:pStyle w:val="A-Text11"/>
        <w:spacing w:line="240" w:lineRule="auto"/>
      </w:pPr>
      <w:r w:rsidRPr="004A7717">
        <w:t>Pri stavebných a montážnych prácach je nutné dodržiavať zásady ochrany zdravia a bezpečnosti pri práci v súlade s príslušnými právnymi predpismi.</w:t>
      </w:r>
    </w:p>
    <w:p w14:paraId="332A30CB" w14:textId="77777777" w:rsidR="00E65CA9" w:rsidRPr="00D62969" w:rsidRDefault="00E65CA9" w:rsidP="00DC00C4">
      <w:pPr>
        <w:widowControl/>
        <w:spacing w:before="120"/>
        <w:jc w:val="both"/>
        <w:rPr>
          <w:rFonts w:ascii="Arial" w:hAnsi="Arial" w:cs="Arial"/>
          <w:sz w:val="22"/>
          <w:szCs w:val="24"/>
          <w:lang w:eastAsia="en-US"/>
        </w:rPr>
      </w:pPr>
      <w:r w:rsidRPr="00D62969">
        <w:rPr>
          <w:rFonts w:ascii="Arial" w:hAnsi="Arial" w:cs="Arial"/>
          <w:sz w:val="22"/>
          <w:szCs w:val="22"/>
          <w:lang w:eastAsia="en-US"/>
        </w:rPr>
        <w:t>Z posúdenia vplyvu dopravného hluku  na projektovaný objekt vyplynú hygienické požiadavky a tiež požiadavky</w:t>
      </w:r>
      <w:r w:rsidRPr="00D62969">
        <w:rPr>
          <w:rFonts w:ascii="Arial" w:hAnsi="Arial" w:cs="Arial"/>
          <w:sz w:val="22"/>
          <w:szCs w:val="24"/>
          <w:lang w:eastAsia="en-US"/>
        </w:rPr>
        <w:t xml:space="preserve"> na obvodový plášť, vetranie vnútorných priestorov a na zvukovú izoláciu vnútorných konštrukcií.</w:t>
      </w:r>
    </w:p>
    <w:p w14:paraId="749E9D4E" w14:textId="3BDABE80" w:rsidR="00E65CA9" w:rsidRPr="00D62969" w:rsidRDefault="00E65CA9" w:rsidP="00DC00C4">
      <w:pPr>
        <w:widowControl/>
        <w:spacing w:before="120"/>
        <w:jc w:val="both"/>
        <w:rPr>
          <w:rFonts w:ascii="Arial" w:hAnsi="Arial" w:cs="Arial"/>
          <w:sz w:val="22"/>
          <w:szCs w:val="24"/>
          <w:lang w:eastAsia="en-US"/>
        </w:rPr>
      </w:pPr>
      <w:r w:rsidRPr="00D62969">
        <w:rPr>
          <w:rFonts w:ascii="Arial" w:hAnsi="Arial" w:cs="Arial"/>
          <w:sz w:val="22"/>
          <w:szCs w:val="24"/>
          <w:lang w:eastAsia="en-US"/>
        </w:rPr>
        <w:t xml:space="preserve">V zmysle STN 73 0532 je potrebné podľa vypočítaných hodnôt hluku pred fasádami v ďalšom stupni spracovania projektovej dokumentácie určiť požadované parametre obvodového plášťa a výplňových konštrukčných otvorov podľa nasledovnej tabuľky: </w:t>
      </w:r>
    </w:p>
    <w:p w14:paraId="51CAF6F6" w14:textId="3DB5FEFB" w:rsidR="00A46F74" w:rsidRPr="00143CEB" w:rsidRDefault="00143CEB" w:rsidP="00DC00C4">
      <w:pPr>
        <w:widowControl/>
        <w:spacing w:before="120"/>
        <w:jc w:val="both"/>
        <w:rPr>
          <w:rFonts w:ascii="Arial" w:hAnsi="Arial" w:cs="Arial"/>
          <w:i/>
          <w:iCs/>
          <w:sz w:val="18"/>
          <w:lang w:eastAsia="en-US"/>
        </w:rPr>
      </w:pPr>
      <w:r w:rsidRPr="00143CEB">
        <w:rPr>
          <w:rFonts w:ascii="Arial" w:hAnsi="Arial" w:cs="Arial"/>
          <w:i/>
          <w:iCs/>
          <w:sz w:val="18"/>
          <w:lang w:eastAsia="en-US"/>
        </w:rPr>
        <w:t>Tab. IV.10.1.1: Požiadavky na zvukovú izoláciu</w:t>
      </w:r>
    </w:p>
    <w:tbl>
      <w:tblPr>
        <w:tblW w:w="9426"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37"/>
        <w:gridCol w:w="4447"/>
        <w:gridCol w:w="540"/>
        <w:gridCol w:w="540"/>
        <w:gridCol w:w="540"/>
        <w:gridCol w:w="540"/>
        <w:gridCol w:w="540"/>
        <w:gridCol w:w="540"/>
        <w:gridCol w:w="502"/>
      </w:tblGrid>
      <w:tr w:rsidR="00D62969" w:rsidRPr="00D62969" w14:paraId="37B22863" w14:textId="77777777" w:rsidTr="002C76E8">
        <w:trPr>
          <w:cantSplit/>
        </w:trPr>
        <w:tc>
          <w:tcPr>
            <w:tcW w:w="5684" w:type="dxa"/>
            <w:gridSpan w:val="2"/>
            <w:vMerge w:val="restart"/>
          </w:tcPr>
          <w:p w14:paraId="6A4CD938"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Chránená miestnosť</w:t>
            </w:r>
          </w:p>
        </w:tc>
        <w:tc>
          <w:tcPr>
            <w:tcW w:w="3742" w:type="dxa"/>
            <w:gridSpan w:val="7"/>
          </w:tcPr>
          <w:p w14:paraId="21363594" w14:textId="77777777" w:rsidR="00E65CA9" w:rsidRPr="00D62969" w:rsidRDefault="00E65CA9" w:rsidP="00A93A07">
            <w:pPr>
              <w:widowControl/>
              <w:ind w:hanging="250"/>
              <w:jc w:val="center"/>
              <w:rPr>
                <w:rFonts w:ascii="Arial" w:hAnsi="Arial" w:cs="Arial"/>
                <w:szCs w:val="24"/>
                <w:lang w:eastAsia="en-US"/>
              </w:rPr>
            </w:pPr>
            <w:r w:rsidRPr="00D62969">
              <w:rPr>
                <w:rFonts w:ascii="Arial" w:hAnsi="Arial" w:cs="Arial"/>
                <w:szCs w:val="22"/>
                <w:lang w:eastAsia="en-US"/>
              </w:rPr>
              <w:t xml:space="preserve"> Požiadavky na zvukovú izoláciu obvod. </w:t>
            </w:r>
            <w:r w:rsidR="00A93A07" w:rsidRPr="00D62969">
              <w:rPr>
                <w:rFonts w:ascii="Arial" w:hAnsi="Arial" w:cs="Arial"/>
                <w:szCs w:val="22"/>
                <w:lang w:eastAsia="en-US"/>
              </w:rPr>
              <w:t>P</w:t>
            </w:r>
            <w:r w:rsidRPr="00D62969">
              <w:rPr>
                <w:rFonts w:ascii="Arial" w:hAnsi="Arial" w:cs="Arial"/>
                <w:szCs w:val="22"/>
                <w:lang w:eastAsia="en-US"/>
              </w:rPr>
              <w:t>lášťov</w:t>
            </w:r>
            <w:r w:rsidR="00A93A07" w:rsidRPr="00D62969">
              <w:rPr>
                <w:rFonts w:ascii="Arial" w:hAnsi="Arial" w:cs="Arial"/>
                <w:szCs w:val="22"/>
                <w:lang w:eastAsia="en-US"/>
              </w:rPr>
              <w:t xml:space="preserve"> </w:t>
            </w:r>
            <w:r w:rsidRPr="00D62969">
              <w:rPr>
                <w:rFonts w:ascii="Arial" w:hAnsi="Arial" w:cs="Arial"/>
                <w:szCs w:val="22"/>
                <w:lang w:eastAsia="en-US"/>
              </w:rPr>
              <w:t xml:space="preserve"> Ŕ</w:t>
            </w:r>
            <w:r w:rsidRPr="00D62969">
              <w:rPr>
                <w:rFonts w:ascii="Arial" w:hAnsi="Arial" w:cs="Arial"/>
                <w:szCs w:val="22"/>
                <w:vertAlign w:val="subscript"/>
                <w:lang w:eastAsia="en-US"/>
              </w:rPr>
              <w:t xml:space="preserve">wr </w:t>
            </w:r>
            <w:r w:rsidRPr="00D62969">
              <w:rPr>
                <w:rFonts w:ascii="Arial" w:hAnsi="Arial" w:cs="Arial"/>
                <w:szCs w:val="22"/>
                <w:lang w:eastAsia="en-US"/>
              </w:rPr>
              <w:t>D</w:t>
            </w:r>
            <w:r w:rsidRPr="00D62969">
              <w:rPr>
                <w:rFonts w:ascii="Arial" w:hAnsi="Arial" w:cs="Arial"/>
                <w:szCs w:val="22"/>
                <w:vertAlign w:val="subscript"/>
                <w:lang w:eastAsia="en-US"/>
              </w:rPr>
              <w:t xml:space="preserve">nT,w </w:t>
            </w:r>
            <w:r w:rsidRPr="00D62969">
              <w:rPr>
                <w:rFonts w:ascii="Arial" w:hAnsi="Arial" w:cs="Arial"/>
                <w:szCs w:val="22"/>
                <w:lang w:eastAsia="en-US"/>
              </w:rPr>
              <w:t>(dB)</w:t>
            </w:r>
          </w:p>
        </w:tc>
      </w:tr>
      <w:tr w:rsidR="00D62969" w:rsidRPr="00D62969" w14:paraId="46F40770" w14:textId="77777777" w:rsidTr="002C76E8">
        <w:trPr>
          <w:cantSplit/>
        </w:trPr>
        <w:tc>
          <w:tcPr>
            <w:tcW w:w="5684" w:type="dxa"/>
            <w:gridSpan w:val="2"/>
            <w:vMerge/>
          </w:tcPr>
          <w:p w14:paraId="48C42B97" w14:textId="77777777" w:rsidR="00E65CA9" w:rsidRPr="00D62969" w:rsidRDefault="00E65CA9" w:rsidP="00CF6787">
            <w:pPr>
              <w:widowControl/>
              <w:jc w:val="both"/>
              <w:rPr>
                <w:rFonts w:ascii="Arial" w:hAnsi="Arial" w:cs="Arial"/>
                <w:szCs w:val="24"/>
                <w:lang w:eastAsia="en-US"/>
              </w:rPr>
            </w:pPr>
          </w:p>
        </w:tc>
        <w:tc>
          <w:tcPr>
            <w:tcW w:w="3742" w:type="dxa"/>
            <w:gridSpan w:val="7"/>
          </w:tcPr>
          <w:p w14:paraId="28C92097" w14:textId="77777777" w:rsidR="00E65CA9" w:rsidRPr="00D62969" w:rsidRDefault="00E65CA9" w:rsidP="00CF6787">
            <w:pPr>
              <w:widowControl/>
              <w:jc w:val="center"/>
              <w:rPr>
                <w:rFonts w:ascii="Arial" w:hAnsi="Arial" w:cs="Arial"/>
                <w:szCs w:val="24"/>
                <w:lang w:eastAsia="en-US"/>
              </w:rPr>
            </w:pPr>
            <w:r w:rsidRPr="00D62969">
              <w:rPr>
                <w:rFonts w:ascii="Arial" w:hAnsi="Arial" w:cs="Arial"/>
                <w:szCs w:val="22"/>
                <w:lang w:eastAsia="en-US"/>
              </w:rPr>
              <w:t>Hladina vonkajšieho hluku L</w:t>
            </w:r>
            <w:r w:rsidRPr="00D62969">
              <w:rPr>
                <w:rFonts w:ascii="Arial" w:hAnsi="Arial" w:cs="Arial"/>
                <w:szCs w:val="22"/>
                <w:vertAlign w:val="subscript"/>
                <w:lang w:eastAsia="en-US"/>
              </w:rPr>
              <w:t>Aeq, 2m</w:t>
            </w:r>
          </w:p>
        </w:tc>
      </w:tr>
      <w:tr w:rsidR="00D62969" w:rsidRPr="00D62969" w14:paraId="36AAC3A4" w14:textId="77777777" w:rsidTr="002C76E8">
        <w:tc>
          <w:tcPr>
            <w:tcW w:w="1237" w:type="dxa"/>
          </w:tcPr>
          <w:p w14:paraId="1ACE3193" w14:textId="77777777" w:rsidR="00E65CA9" w:rsidRPr="00D62969" w:rsidRDefault="00E65CA9" w:rsidP="00CF6787">
            <w:pPr>
              <w:widowControl/>
              <w:spacing w:before="120"/>
              <w:jc w:val="both"/>
              <w:rPr>
                <w:rFonts w:ascii="Arial" w:hAnsi="Arial" w:cs="Arial"/>
                <w:szCs w:val="24"/>
                <w:lang w:eastAsia="en-US"/>
              </w:rPr>
            </w:pPr>
          </w:p>
        </w:tc>
        <w:tc>
          <w:tcPr>
            <w:tcW w:w="4447" w:type="dxa"/>
          </w:tcPr>
          <w:p w14:paraId="73509EBA"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Noc</w:t>
            </w:r>
          </w:p>
        </w:tc>
        <w:tc>
          <w:tcPr>
            <w:tcW w:w="540" w:type="dxa"/>
          </w:tcPr>
          <w:p w14:paraId="76E64CF6" w14:textId="77777777" w:rsidR="00E65CA9" w:rsidRPr="00D62969" w:rsidRDefault="00E65CA9" w:rsidP="00CF6787">
            <w:pPr>
              <w:pStyle w:val="Hlavika"/>
              <w:tabs>
                <w:tab w:val="clear" w:pos="4703"/>
                <w:tab w:val="clear" w:pos="9406"/>
              </w:tabs>
              <w:rPr>
                <w:rFonts w:ascii="Arial" w:hAnsi="Arial" w:cs="Arial"/>
                <w:lang w:val="sk-SK"/>
              </w:rPr>
            </w:pPr>
            <w:r w:rsidRPr="00D62969">
              <w:rPr>
                <w:rFonts w:ascii="Arial" w:hAnsi="Arial" w:cs="Arial"/>
                <w:szCs w:val="22"/>
                <w:lang w:val="sk-SK"/>
              </w:rPr>
              <w:t>≤ 40</w:t>
            </w:r>
          </w:p>
        </w:tc>
        <w:tc>
          <w:tcPr>
            <w:tcW w:w="540" w:type="dxa"/>
          </w:tcPr>
          <w:p w14:paraId="7C238242"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 xml:space="preserve">45 </w:t>
            </w:r>
          </w:p>
        </w:tc>
        <w:tc>
          <w:tcPr>
            <w:tcW w:w="540" w:type="dxa"/>
          </w:tcPr>
          <w:p w14:paraId="794918C8"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50</w:t>
            </w:r>
          </w:p>
        </w:tc>
        <w:tc>
          <w:tcPr>
            <w:tcW w:w="540" w:type="dxa"/>
          </w:tcPr>
          <w:p w14:paraId="0448A5C6"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55</w:t>
            </w:r>
          </w:p>
        </w:tc>
        <w:tc>
          <w:tcPr>
            <w:tcW w:w="540" w:type="dxa"/>
          </w:tcPr>
          <w:p w14:paraId="720C4CCE"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60</w:t>
            </w:r>
          </w:p>
        </w:tc>
        <w:tc>
          <w:tcPr>
            <w:tcW w:w="540" w:type="dxa"/>
          </w:tcPr>
          <w:p w14:paraId="5CEB7DA9"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65</w:t>
            </w:r>
          </w:p>
        </w:tc>
        <w:tc>
          <w:tcPr>
            <w:tcW w:w="502" w:type="dxa"/>
          </w:tcPr>
          <w:p w14:paraId="51409BED"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70</w:t>
            </w:r>
          </w:p>
        </w:tc>
      </w:tr>
      <w:tr w:rsidR="00D62969" w:rsidRPr="00D62969" w14:paraId="3926059A" w14:textId="77777777" w:rsidTr="002C76E8">
        <w:tc>
          <w:tcPr>
            <w:tcW w:w="1237" w:type="dxa"/>
          </w:tcPr>
          <w:p w14:paraId="50203DAC" w14:textId="77777777" w:rsidR="00E65CA9" w:rsidRPr="00D62969" w:rsidRDefault="00E65CA9" w:rsidP="00CF6787">
            <w:pPr>
              <w:widowControl/>
              <w:spacing w:before="120"/>
              <w:jc w:val="both"/>
              <w:rPr>
                <w:rFonts w:ascii="Arial" w:hAnsi="Arial" w:cs="Arial"/>
                <w:szCs w:val="24"/>
                <w:lang w:eastAsia="en-US"/>
              </w:rPr>
            </w:pPr>
          </w:p>
        </w:tc>
        <w:tc>
          <w:tcPr>
            <w:tcW w:w="4447" w:type="dxa"/>
          </w:tcPr>
          <w:p w14:paraId="7FEADA2E"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Deň</w:t>
            </w:r>
          </w:p>
        </w:tc>
        <w:tc>
          <w:tcPr>
            <w:tcW w:w="540" w:type="dxa"/>
          </w:tcPr>
          <w:p w14:paraId="6FC109B9"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 50</w:t>
            </w:r>
          </w:p>
        </w:tc>
        <w:tc>
          <w:tcPr>
            <w:tcW w:w="540" w:type="dxa"/>
          </w:tcPr>
          <w:p w14:paraId="5B9EF784"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55</w:t>
            </w:r>
          </w:p>
        </w:tc>
        <w:tc>
          <w:tcPr>
            <w:tcW w:w="540" w:type="dxa"/>
          </w:tcPr>
          <w:p w14:paraId="7C8A5FC9"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60</w:t>
            </w:r>
          </w:p>
        </w:tc>
        <w:tc>
          <w:tcPr>
            <w:tcW w:w="540" w:type="dxa"/>
          </w:tcPr>
          <w:p w14:paraId="6389A43E"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65</w:t>
            </w:r>
          </w:p>
        </w:tc>
        <w:tc>
          <w:tcPr>
            <w:tcW w:w="540" w:type="dxa"/>
          </w:tcPr>
          <w:p w14:paraId="326ED30A"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70</w:t>
            </w:r>
          </w:p>
        </w:tc>
        <w:tc>
          <w:tcPr>
            <w:tcW w:w="540" w:type="dxa"/>
          </w:tcPr>
          <w:p w14:paraId="60A2EB6A"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75</w:t>
            </w:r>
          </w:p>
        </w:tc>
        <w:tc>
          <w:tcPr>
            <w:tcW w:w="502" w:type="dxa"/>
          </w:tcPr>
          <w:p w14:paraId="652E37F8"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80</w:t>
            </w:r>
          </w:p>
        </w:tc>
      </w:tr>
      <w:tr w:rsidR="00D62969" w:rsidRPr="00D62969" w14:paraId="4D9B09F7" w14:textId="77777777" w:rsidTr="002C76E8">
        <w:trPr>
          <w:cantSplit/>
        </w:trPr>
        <w:tc>
          <w:tcPr>
            <w:tcW w:w="5684" w:type="dxa"/>
            <w:gridSpan w:val="2"/>
          </w:tcPr>
          <w:p w14:paraId="02B1BCFD"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Izby v nemocniciach, sanatóriách, vyšetrovne, operačné sály</w:t>
            </w:r>
          </w:p>
        </w:tc>
        <w:tc>
          <w:tcPr>
            <w:tcW w:w="540" w:type="dxa"/>
          </w:tcPr>
          <w:p w14:paraId="77ABF9CB"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30</w:t>
            </w:r>
          </w:p>
        </w:tc>
        <w:tc>
          <w:tcPr>
            <w:tcW w:w="540" w:type="dxa"/>
          </w:tcPr>
          <w:p w14:paraId="1B9AD052"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30</w:t>
            </w:r>
          </w:p>
        </w:tc>
        <w:tc>
          <w:tcPr>
            <w:tcW w:w="540" w:type="dxa"/>
          </w:tcPr>
          <w:p w14:paraId="1D368FAA"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33</w:t>
            </w:r>
          </w:p>
        </w:tc>
        <w:tc>
          <w:tcPr>
            <w:tcW w:w="540" w:type="dxa"/>
          </w:tcPr>
          <w:p w14:paraId="5132373C"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38</w:t>
            </w:r>
          </w:p>
        </w:tc>
        <w:tc>
          <w:tcPr>
            <w:tcW w:w="540" w:type="dxa"/>
          </w:tcPr>
          <w:p w14:paraId="0E7DE7C5"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43</w:t>
            </w:r>
          </w:p>
        </w:tc>
        <w:tc>
          <w:tcPr>
            <w:tcW w:w="540" w:type="dxa"/>
          </w:tcPr>
          <w:p w14:paraId="0F31246C"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48</w:t>
            </w:r>
          </w:p>
        </w:tc>
        <w:tc>
          <w:tcPr>
            <w:tcW w:w="502" w:type="dxa"/>
          </w:tcPr>
          <w:p w14:paraId="6B4EEB05"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w:t>
            </w:r>
          </w:p>
        </w:tc>
      </w:tr>
      <w:tr w:rsidR="00D62969" w:rsidRPr="00D62969" w14:paraId="1F521D50" w14:textId="77777777" w:rsidTr="002C76E8">
        <w:trPr>
          <w:cantSplit/>
        </w:trPr>
        <w:tc>
          <w:tcPr>
            <w:tcW w:w="5684" w:type="dxa"/>
            <w:gridSpan w:val="2"/>
          </w:tcPr>
          <w:p w14:paraId="4FDA18FA"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 xml:space="preserve">Obytné miestnosti bytov, izby v hoteloch, ordinácie, učebne, posluchárne </w:t>
            </w:r>
          </w:p>
        </w:tc>
        <w:tc>
          <w:tcPr>
            <w:tcW w:w="540" w:type="dxa"/>
          </w:tcPr>
          <w:p w14:paraId="7CFD1D43"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30</w:t>
            </w:r>
          </w:p>
        </w:tc>
        <w:tc>
          <w:tcPr>
            <w:tcW w:w="540" w:type="dxa"/>
          </w:tcPr>
          <w:p w14:paraId="15588981"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30</w:t>
            </w:r>
          </w:p>
        </w:tc>
        <w:tc>
          <w:tcPr>
            <w:tcW w:w="540" w:type="dxa"/>
          </w:tcPr>
          <w:p w14:paraId="009FDE94"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30</w:t>
            </w:r>
          </w:p>
        </w:tc>
        <w:tc>
          <w:tcPr>
            <w:tcW w:w="540" w:type="dxa"/>
          </w:tcPr>
          <w:p w14:paraId="102A7689"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33</w:t>
            </w:r>
          </w:p>
        </w:tc>
        <w:tc>
          <w:tcPr>
            <w:tcW w:w="540" w:type="dxa"/>
          </w:tcPr>
          <w:p w14:paraId="48122409"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38</w:t>
            </w:r>
          </w:p>
        </w:tc>
        <w:tc>
          <w:tcPr>
            <w:tcW w:w="540" w:type="dxa"/>
          </w:tcPr>
          <w:p w14:paraId="7AFD506F"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43</w:t>
            </w:r>
          </w:p>
        </w:tc>
        <w:tc>
          <w:tcPr>
            <w:tcW w:w="502" w:type="dxa"/>
          </w:tcPr>
          <w:p w14:paraId="6303AEB4"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48</w:t>
            </w:r>
          </w:p>
        </w:tc>
      </w:tr>
      <w:tr w:rsidR="00D62969" w:rsidRPr="00D62969" w14:paraId="34238E4D" w14:textId="77777777" w:rsidTr="002C76E8">
        <w:trPr>
          <w:cantSplit/>
        </w:trPr>
        <w:tc>
          <w:tcPr>
            <w:tcW w:w="5684" w:type="dxa"/>
            <w:gridSpan w:val="2"/>
          </w:tcPr>
          <w:p w14:paraId="2C3B4B73"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Kancelárie, pracovne, spoločenské a rokovacie miestnosti</w:t>
            </w:r>
          </w:p>
        </w:tc>
        <w:tc>
          <w:tcPr>
            <w:tcW w:w="540" w:type="dxa"/>
          </w:tcPr>
          <w:p w14:paraId="79CA35E4"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w:t>
            </w:r>
          </w:p>
        </w:tc>
        <w:tc>
          <w:tcPr>
            <w:tcW w:w="540" w:type="dxa"/>
          </w:tcPr>
          <w:p w14:paraId="5D827818"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30</w:t>
            </w:r>
          </w:p>
        </w:tc>
        <w:tc>
          <w:tcPr>
            <w:tcW w:w="540" w:type="dxa"/>
          </w:tcPr>
          <w:p w14:paraId="71460BC1"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30</w:t>
            </w:r>
          </w:p>
        </w:tc>
        <w:tc>
          <w:tcPr>
            <w:tcW w:w="540" w:type="dxa"/>
          </w:tcPr>
          <w:p w14:paraId="273DDF8E"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33</w:t>
            </w:r>
          </w:p>
        </w:tc>
        <w:tc>
          <w:tcPr>
            <w:tcW w:w="540" w:type="dxa"/>
          </w:tcPr>
          <w:p w14:paraId="0BB6088E"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33</w:t>
            </w:r>
          </w:p>
        </w:tc>
        <w:tc>
          <w:tcPr>
            <w:tcW w:w="540" w:type="dxa"/>
          </w:tcPr>
          <w:p w14:paraId="6172EB61"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38</w:t>
            </w:r>
          </w:p>
        </w:tc>
        <w:tc>
          <w:tcPr>
            <w:tcW w:w="502" w:type="dxa"/>
          </w:tcPr>
          <w:p w14:paraId="10BCC022" w14:textId="77777777" w:rsidR="00E65CA9" w:rsidRPr="00D62969" w:rsidRDefault="00E65CA9" w:rsidP="00CF6787">
            <w:pPr>
              <w:widowControl/>
              <w:jc w:val="both"/>
              <w:rPr>
                <w:rFonts w:ascii="Arial" w:hAnsi="Arial" w:cs="Arial"/>
                <w:szCs w:val="24"/>
                <w:lang w:eastAsia="en-US"/>
              </w:rPr>
            </w:pPr>
            <w:r w:rsidRPr="00D62969">
              <w:rPr>
                <w:rFonts w:ascii="Arial" w:hAnsi="Arial" w:cs="Arial"/>
                <w:szCs w:val="22"/>
                <w:lang w:eastAsia="en-US"/>
              </w:rPr>
              <w:t>43</w:t>
            </w:r>
          </w:p>
        </w:tc>
      </w:tr>
    </w:tbl>
    <w:p w14:paraId="5316F16B" w14:textId="78359C15" w:rsidR="00E65CA9" w:rsidRDefault="00E65CA9" w:rsidP="00947F2A">
      <w:pPr>
        <w:pStyle w:val="A-Text11"/>
      </w:pPr>
      <w:r w:rsidRPr="00D62969">
        <w:t xml:space="preserve">Všetky stacionárne zdroje hluku, ktoré budú umiestnené vo vnútornom prostredí stavby je potrebné navrhnúť tak, aby v najbližších miestnostiach neboli prekročené najvyššej prípustné </w:t>
      </w:r>
      <w:r w:rsidRPr="00D62969">
        <w:lastRenderedPageBreak/>
        <w:t xml:space="preserve">maximálne hladiny hluku v zmysle Vyhlášky MZ SR č. 549/2007 Z.z. Tiež všetky stacionárne zdroje hluku, ktoré budú umiestnené vo vonkajšom prostredí stavby je potrebné navrhnúť tak, aby pred oknami najbližších obytných miestností neboli prekročené najvyššie prípustné hladiny hluku podľa uvedenej vyhlášky. V prípadoch, kde predstavuje plocha presklenia viac než 50% obvodového plášťa jednotlivých miestností, je nutné aby požiadavka uvedená v tabuľke týkala sa aj samotného presklenia. Ak plocha okien predstavuje od 35 do 50% celkovej plochy obvodovej konštrukcie miestnosti, vyžadovaný index nepriezvučnosti okna Rw je o 3 dB nižší ako uvedená hodnota. Pre okná s plochou menšou ako 35% je vyžadovaný index okna Rw možné znížiť o 5 dB. Takto vypočítané hodnoty – požiadavky na okná ako celok je v prípade definovania parametrov izolačných dvojskiel potrebné zvýšiť minimálne o 4 dB, u veľkoplošných presklení najmenej o 6 dB. </w:t>
      </w:r>
    </w:p>
    <w:p w14:paraId="2E8118ED" w14:textId="77777777" w:rsidR="003E5617" w:rsidRDefault="003E5617" w:rsidP="003E5617">
      <w:pPr>
        <w:pStyle w:val="A-Text11"/>
      </w:pPr>
      <w:r w:rsidRPr="004A7717">
        <w:t xml:space="preserve">Realizátor stavby bude s odpadom, ktorý  vznikne pri výstavbe nakladať v zmysle platnej legislatívy o odpadoch. V zmysle zákona odpadoch bude tento odpad zhodnocovať pri svojej činnosti, alebo odpad takto nevyužitý ponúkne na zhodnotenie inému.  </w:t>
      </w:r>
    </w:p>
    <w:p w14:paraId="323880B8" w14:textId="3294F81E" w:rsidR="00E65CA9" w:rsidRPr="00D62969" w:rsidRDefault="00E65CA9" w:rsidP="00947F2A">
      <w:pPr>
        <w:pStyle w:val="A-Text11"/>
      </w:pPr>
      <w:r w:rsidRPr="00D62969">
        <w:t>Zo svetlotechnického a hlukového posúdenia vyplyn</w:t>
      </w:r>
      <w:r w:rsidR="00D62969" w:rsidRPr="00D62969">
        <w:t>uli</w:t>
      </w:r>
      <w:r w:rsidRPr="00D62969">
        <w:t xml:space="preserve"> odporúčania, ktoré budú zakomponované do projektu najmä z hľadiska návrhu konštrukcií, komponentov obvodového plášťa, nepriezvučnosti okien a pod. Už v úrovni projektovej prípravy budú zakomponované opatrenia, ktoré budú eliminovať naznačené riziká prevádzky objektu. </w:t>
      </w:r>
    </w:p>
    <w:p w14:paraId="3CAEED6F" w14:textId="170958A1" w:rsidR="00E65CA9" w:rsidRPr="004A7717" w:rsidRDefault="00E65CA9" w:rsidP="008C6F96">
      <w:pPr>
        <w:pStyle w:val="3rovenadpis"/>
      </w:pPr>
      <w:bookmarkStart w:id="381" w:name="_Toc495992998"/>
      <w:bookmarkStart w:id="382" w:name="_Toc93916857"/>
      <w:r w:rsidRPr="004A7717">
        <w:t>Opatrenia počas výstavby</w:t>
      </w:r>
      <w:bookmarkEnd w:id="380"/>
      <w:bookmarkEnd w:id="381"/>
      <w:bookmarkEnd w:id="382"/>
    </w:p>
    <w:p w14:paraId="1DD785F5" w14:textId="77777777" w:rsidR="00E65CA9" w:rsidRPr="00D62969" w:rsidRDefault="00E65CA9" w:rsidP="00947F2A">
      <w:pPr>
        <w:pStyle w:val="A-Text11"/>
      </w:pPr>
      <w:bookmarkStart w:id="383" w:name="_Toc132078760"/>
      <w:r w:rsidRPr="00D62969">
        <w:t>Pred začatím zemných prác je investor povinný zabezpečiť vytýčenie všetkých podzemných inžinierskych sietí, aby nedošlo ku ich poškodeniu.</w:t>
      </w:r>
    </w:p>
    <w:p w14:paraId="703AB82E" w14:textId="77777777" w:rsidR="00E65CA9" w:rsidRPr="00D62969" w:rsidRDefault="00E65CA9" w:rsidP="00947F2A">
      <w:pPr>
        <w:pStyle w:val="A-Text11"/>
      </w:pPr>
      <w:r w:rsidRPr="00D62969">
        <w:t>Pri stavebných a montážnych prácach je nutné dodržiavať zásady ochrany zdravia a bezpečnosti pri práci v súlade s príslušnými právnymi predpismi.</w:t>
      </w:r>
    </w:p>
    <w:p w14:paraId="17B8B50C" w14:textId="77777777" w:rsidR="00E65CA9" w:rsidRPr="00D62969" w:rsidRDefault="00E65CA9" w:rsidP="00947F2A">
      <w:pPr>
        <w:pStyle w:val="A-Text11"/>
      </w:pPr>
      <w:r w:rsidRPr="00D62969">
        <w:t>Vlastná inštalácia zdrojov znečisťovania ovzdušia je podmienená „súhlasom“. V zmysle § 17 ods.2) zákona NR SR č. 137/2010 Z.z. žiadosť o vydanie súhlasu predkladá žiadateľ príslušnému orgánu ochrany ovzdušia. Žiadosť okrem všeobecných náležitostí podania musí obsahovať  aj náležitosti uvedené v § 17 ods.2) písm. a) -h).</w:t>
      </w:r>
    </w:p>
    <w:p w14:paraId="24065C69" w14:textId="77777777" w:rsidR="00E65CA9" w:rsidRPr="00D62969" w:rsidRDefault="00E65CA9" w:rsidP="00947F2A">
      <w:pPr>
        <w:pStyle w:val="A-Text11"/>
      </w:pPr>
      <w:r w:rsidRPr="00D62969">
        <w:t xml:space="preserve">Počas výstavby vzniknú odpady. Predpokladá sa, že  časť výkopovej zeminy bude využitá priamo v rámci zásypov a terénnych úprav. Realizátor stavby bude s odpadom, ktorý  vznikne pri výstavbe nakladať v zmysle platnej legislatívy o odpadoch. Tento odpad bude  zhotoviteľ stavby zhodnocovať pri svojej činnosti, alebo odpad takto nevyužitý ponúkne na zhodnotenie inému. </w:t>
      </w:r>
    </w:p>
    <w:p w14:paraId="2313F3D3" w14:textId="77777777" w:rsidR="00E65CA9" w:rsidRPr="00D62969" w:rsidRDefault="00E65CA9" w:rsidP="00947F2A">
      <w:pPr>
        <w:pStyle w:val="A-Text11"/>
      </w:pPr>
      <w:r w:rsidRPr="00D62969">
        <w:t xml:space="preserve">Ako súčasť projektovej dokumentácie pre stavebné povolenie </w:t>
      </w:r>
      <w:r w:rsidR="001E7641" w:rsidRPr="00D62969">
        <w:t>bud</w:t>
      </w:r>
      <w:r w:rsidRPr="00D62969">
        <w:t>e vypracovaný projekt terénnych a sadových úprav.</w:t>
      </w:r>
    </w:p>
    <w:p w14:paraId="4F7DAAA9" w14:textId="3D3B46D3" w:rsidR="00BB3947" w:rsidRPr="00D62969" w:rsidRDefault="00BB3947" w:rsidP="00947F2A">
      <w:pPr>
        <w:pStyle w:val="A-Text11"/>
      </w:pPr>
      <w:r w:rsidRPr="00D62969">
        <w:t>Navrhovateľ bude rešpektovať všeobecne záväzné nariadenie, ktoré upravuje podmienky pri správe  a ochrane verejnej zelene, ochrane drevín, ktoré sú súčasťou verejnej zelene na území hlavného mesta SR Bratislavy</w:t>
      </w:r>
      <w:r w:rsidR="00046B78" w:rsidRPr="00D62969">
        <w:t>.</w:t>
      </w:r>
      <w:r w:rsidRPr="00D62969">
        <w:t xml:space="preserve">  </w:t>
      </w:r>
    </w:p>
    <w:p w14:paraId="2308FA66" w14:textId="509E04FF" w:rsidR="00E65CA9" w:rsidRPr="00D62969" w:rsidRDefault="00E65CA9" w:rsidP="00947F2A">
      <w:pPr>
        <w:pStyle w:val="A-Text11"/>
      </w:pPr>
      <w:r w:rsidRPr="00D62969">
        <w:t xml:space="preserve">Už v úrovni projektovej prípravy budú zakomponované opatrenia, ktoré budú eliminovať naznačené riziká prevádzky objektu. Dokumentácia osobitne </w:t>
      </w:r>
      <w:r w:rsidR="0043262F" w:rsidRPr="00D62969">
        <w:t xml:space="preserve">bude </w:t>
      </w:r>
      <w:r w:rsidRPr="00D62969">
        <w:t>rieši</w:t>
      </w:r>
      <w:r w:rsidR="0043262F" w:rsidRPr="00D62969">
        <w:t>ť</w:t>
      </w:r>
      <w:r w:rsidRPr="00D62969">
        <w:t xml:space="preserve"> napríklad:</w:t>
      </w:r>
    </w:p>
    <w:p w14:paraId="2A7AEF33" w14:textId="77777777" w:rsidR="00E65CA9" w:rsidRPr="00D62969" w:rsidRDefault="00E65CA9" w:rsidP="0095439F">
      <w:pPr>
        <w:widowControl/>
        <w:numPr>
          <w:ilvl w:val="0"/>
          <w:numId w:val="6"/>
        </w:numPr>
        <w:ind w:left="714" w:hanging="357"/>
        <w:jc w:val="both"/>
        <w:rPr>
          <w:rFonts w:ascii="Arial" w:hAnsi="Arial" w:cs="Arial"/>
          <w:i/>
          <w:iCs/>
          <w:sz w:val="22"/>
          <w:lang w:eastAsia="en-US"/>
        </w:rPr>
      </w:pPr>
      <w:r w:rsidRPr="00D62969">
        <w:rPr>
          <w:rFonts w:ascii="Arial" w:hAnsi="Arial" w:cs="Arial"/>
          <w:i/>
          <w:iCs/>
          <w:sz w:val="22"/>
          <w:lang w:eastAsia="en-US"/>
        </w:rPr>
        <w:t>ochranu objektu pred účinkami blesku</w:t>
      </w:r>
    </w:p>
    <w:p w14:paraId="493750B1" w14:textId="77777777" w:rsidR="00E65CA9" w:rsidRPr="00D62969" w:rsidRDefault="00E65CA9" w:rsidP="0095439F">
      <w:pPr>
        <w:widowControl/>
        <w:numPr>
          <w:ilvl w:val="0"/>
          <w:numId w:val="6"/>
        </w:numPr>
        <w:ind w:left="714" w:hanging="357"/>
        <w:jc w:val="both"/>
        <w:rPr>
          <w:rFonts w:ascii="Arial" w:hAnsi="Arial" w:cs="Arial"/>
          <w:i/>
          <w:iCs/>
          <w:sz w:val="22"/>
          <w:lang w:eastAsia="en-US"/>
        </w:rPr>
      </w:pPr>
      <w:r w:rsidRPr="00D62969">
        <w:rPr>
          <w:rFonts w:ascii="Arial" w:hAnsi="Arial" w:cs="Arial"/>
          <w:i/>
          <w:iCs/>
          <w:sz w:val="22"/>
          <w:lang w:eastAsia="en-US"/>
        </w:rPr>
        <w:t xml:space="preserve">protipožiarne zabezpečenie </w:t>
      </w:r>
    </w:p>
    <w:p w14:paraId="6A1F75FB" w14:textId="77777777" w:rsidR="00E65CA9" w:rsidRPr="00D62969" w:rsidRDefault="00E65CA9" w:rsidP="0095439F">
      <w:pPr>
        <w:widowControl/>
        <w:numPr>
          <w:ilvl w:val="0"/>
          <w:numId w:val="6"/>
        </w:numPr>
        <w:ind w:left="714" w:hanging="357"/>
        <w:jc w:val="both"/>
        <w:rPr>
          <w:rFonts w:ascii="Arial" w:hAnsi="Arial" w:cs="Arial"/>
          <w:i/>
          <w:iCs/>
          <w:sz w:val="22"/>
          <w:lang w:eastAsia="en-US"/>
        </w:rPr>
      </w:pPr>
      <w:r w:rsidRPr="00D62969">
        <w:rPr>
          <w:rFonts w:ascii="Arial" w:hAnsi="Arial" w:cs="Arial"/>
          <w:i/>
          <w:iCs/>
          <w:sz w:val="22"/>
          <w:lang w:eastAsia="en-US"/>
        </w:rPr>
        <w:t>ochrana majetku, objektov a osôb</w:t>
      </w:r>
    </w:p>
    <w:p w14:paraId="53FE1CA9" w14:textId="77777777" w:rsidR="00E65CA9" w:rsidRPr="00D62969" w:rsidRDefault="00E65CA9" w:rsidP="00947F2A">
      <w:pPr>
        <w:pStyle w:val="A-Text11"/>
      </w:pPr>
      <w:r w:rsidRPr="00D62969">
        <w:lastRenderedPageBreak/>
        <w:t xml:space="preserve">V dokumentácii pre stavebné povolenie budú premietnuté všetky technické opatrenia, ktoré vyplynuli z prípravných prieskumov, alebo štúdií (napr. inžiniersko-geologický prieskum, radónový prieskum, svetlotechnické posúdenie, akustická štúdia). </w:t>
      </w:r>
    </w:p>
    <w:p w14:paraId="569E709C" w14:textId="5B347E03" w:rsidR="00E65CA9" w:rsidRPr="00D62969" w:rsidRDefault="00E65CA9" w:rsidP="00947F2A">
      <w:pPr>
        <w:pStyle w:val="A-Text11"/>
      </w:pPr>
      <w:r w:rsidRPr="00D62969">
        <w:t xml:space="preserve">Realizácia stavby ovplyvní cestnú premávku na dotknutých úsekoch napojenia obytnej zóny. </w:t>
      </w:r>
    </w:p>
    <w:p w14:paraId="1752FC1F" w14:textId="77777777" w:rsidR="00E65CA9" w:rsidRPr="00CC5418" w:rsidRDefault="00E65CA9" w:rsidP="00947F2A">
      <w:pPr>
        <w:pStyle w:val="A-Text11"/>
      </w:pPr>
      <w:r w:rsidRPr="00CC5418">
        <w:t xml:space="preserve">Cestným správnym orgánom vo veci schvaľovania organizácie cestnej premávky a určovania použitia dopravných značiek a dopravných zariadení je Okresný úrad Bratislava. Štátnu správu v uvedených veciach na miestnych komunikáciách vykonáva Hlavné mesto SR Bratislava (výkon zabezpečuje Magistrát hl. m. SR Bratislavy). </w:t>
      </w:r>
    </w:p>
    <w:p w14:paraId="68519C19" w14:textId="77777777" w:rsidR="00612D2B" w:rsidRPr="00CC5418" w:rsidRDefault="00612D2B" w:rsidP="00612D2B">
      <w:pPr>
        <w:widowControl/>
        <w:spacing w:before="120"/>
        <w:jc w:val="both"/>
        <w:rPr>
          <w:rFonts w:ascii="Arial" w:hAnsi="Arial" w:cs="Arial"/>
          <w:b/>
          <w:i/>
          <w:snapToGrid w:val="0"/>
          <w:sz w:val="22"/>
          <w:lang w:eastAsia="en-US"/>
        </w:rPr>
      </w:pPr>
      <w:r w:rsidRPr="00CC5418">
        <w:rPr>
          <w:rFonts w:ascii="Arial" w:hAnsi="Arial" w:cs="Arial"/>
          <w:b/>
          <w:i/>
          <w:snapToGrid w:val="0"/>
          <w:sz w:val="22"/>
          <w:lang w:eastAsia="en-US"/>
        </w:rPr>
        <w:t>Podmienky požiarnej bezpečnosti</w:t>
      </w:r>
    </w:p>
    <w:p w14:paraId="1DDE6465" w14:textId="77777777" w:rsidR="00612D2B" w:rsidRPr="00CC5418" w:rsidRDefault="00612D2B" w:rsidP="00947F2A">
      <w:pPr>
        <w:pStyle w:val="A-Text11"/>
      </w:pPr>
      <w:r w:rsidRPr="00CC5418">
        <w:t>Vybraný dodávateľ resp. zúčastnení dodávatelia stavebných prác budú na zriadenom stavenisku v plnom rozsahu rešpektovať všetky platné právne predpisy v danej problematike.</w:t>
      </w:r>
    </w:p>
    <w:p w14:paraId="77BE2D16" w14:textId="6BBD1A5A" w:rsidR="00612D2B" w:rsidRDefault="00612D2B" w:rsidP="00947F2A">
      <w:pPr>
        <w:pStyle w:val="A-Text11"/>
      </w:pPr>
      <w:r w:rsidRPr="00CC5418">
        <w:t xml:space="preserve">Projektová dokumentácia bude vypracovaná v súlade s platnou vyhl. MV SR č. 94/2004 Z.z., ktorou sa ustanovujú technické požiadavky na požiarnu bezpečnosť pri výstavbe a pri užívaní stavieb. </w:t>
      </w:r>
    </w:p>
    <w:p w14:paraId="7C465AD9" w14:textId="77777777" w:rsidR="00EA1E8E" w:rsidRPr="00EA1E8E" w:rsidRDefault="00EA1E8E" w:rsidP="00EA1E8E">
      <w:pPr>
        <w:pStyle w:val="A-Text11"/>
        <w:rPr>
          <w:i/>
          <w:iCs/>
          <w:u w:val="single"/>
        </w:rPr>
      </w:pPr>
      <w:r w:rsidRPr="00EA1E8E">
        <w:rPr>
          <w:i/>
          <w:iCs/>
          <w:u w:val="single"/>
        </w:rPr>
        <w:t xml:space="preserve">Základná koncepcia požiarnej bezpečnosti stavby </w:t>
      </w:r>
    </w:p>
    <w:p w14:paraId="32182760" w14:textId="77777777" w:rsidR="00EA1E8E" w:rsidRPr="00EA1E8E" w:rsidRDefault="00EA1E8E" w:rsidP="00EA1E8E">
      <w:pPr>
        <w:pStyle w:val="A-Text11"/>
      </w:pPr>
      <w:r w:rsidRPr="00EA1E8E">
        <w:t xml:space="preserve">Základná koncepcia požiarnej ochrany je spracovaná podľa zákona č. 50/1976 Zb. o územnom plánovaní a stavebnom poriadku v znení neskorších zmien a doplnkov, vyhlášky c. 55/2001 Z. z. o územnoplánovacích podkladoch a územnoplánovacej dokumentácii, vyhlášky č. 453/2000 Z. z. ktorou sa vykonávajú niektoré ustanovenia stavebného zákona, vyhlášky č. 532/2002 Z. z. podrobnosti o všeobecných technických požiadavkách na výstavbu, zákona č. 314/2001 Z. z. o ochrane pred požiarmi v znení neskorších zmien a doplnkov, vyhlášky č. 121/2002 Z. z. o požiarnej prevencii v znení neskorších zmien a doplnkov, vyhlášky č. 94/2004 Z. z. ktorou sa ustanovujú technické požiadavky na protipožiarnu bezpečnosť pri výstavbe a pri užívaní stavieb, vyhlášky č. 699/2004 Z. z. o zabezpečení stavieb vodou na hasenie požiarov, zákona č. 133/2013 Z. z. o stavebných výrobkoch v znení neskorších zmien a doplnkov, ako aj v súčasnosti platných STN a vyhlášok. </w:t>
      </w:r>
    </w:p>
    <w:p w14:paraId="63AB611E" w14:textId="77777777" w:rsidR="00EA1E8E" w:rsidRPr="00EA1E8E" w:rsidRDefault="00EA1E8E" w:rsidP="00EA1E8E">
      <w:pPr>
        <w:pStyle w:val="A-Text11"/>
      </w:pPr>
      <w:r w:rsidRPr="00EA1E8E">
        <w:t>Riešenie protipožiarnej bezpečnosti je spracované na základe STN 92 0201 1-4, STN 92 0400 a ďalších súvisiacich noriem a vyhlášok, zabezpečujúcich požiadavky protipožiarnej bezpečnosti stavieb v rozsahu pre územné konanie.</w:t>
      </w:r>
    </w:p>
    <w:p w14:paraId="40B9B489" w14:textId="61DBCD13" w:rsidR="00EA1E8E" w:rsidRPr="00EA1E8E" w:rsidRDefault="00EA1E8E" w:rsidP="00EA1E8E">
      <w:pPr>
        <w:pStyle w:val="A-Text11"/>
      </w:pPr>
      <w:r w:rsidRPr="00EA1E8E">
        <w:t xml:space="preserve">Predmetom riešenia je Bytový dom Terchovská – Obytný dom s 8 objektmi - 2 </w:t>
      </w:r>
      <w:r w:rsidR="00D36F81" w:rsidRPr="00EA1E8E">
        <w:t>pozdĺžne</w:t>
      </w:r>
      <w:r w:rsidRPr="00EA1E8E">
        <w:t xml:space="preserve"> pavlačové, 6 bodových pavlačových – (SO 001 A1 – 1.PP až 4.NP, SO 001 A2 – 1.PP až 4.NP, SO 001 B1 – 1.PP až 3.NP, SO 001 B2  – 1.PP až 3.NP, SO 001 B3 – 1.PP až 3.NP, SO 001 B4 – 1.PP až 3.NP, SO 001 B5 – 1.PP až 3.NP, SO 001 B6 – 1.PP až 3.NP) – budovy na bývanie a ubytovanie </w:t>
      </w:r>
      <w:r w:rsidRPr="00EA1E8E">
        <w:rPr>
          <w:b/>
        </w:rPr>
        <w:t>skupiny „B“</w:t>
      </w:r>
      <w:r w:rsidRPr="00EA1E8E">
        <w:t xml:space="preserve">, v ktorej sa nachádza na 1.PP hromadná garáž pre 92 vozidiel, technické a technologické zázemie na 1.NP sa nachádzajú byty a apartmány, obchody, na 2.NP až 4.NP sa nachádzajú byty a apartmány. Bytové domy majú predsadené schodisko pred fasádu, ktorým sa dá dostať na jednotlivé podlažia, kde sa nachádzajú pavlače pred bytmi a apartmánmi. </w:t>
      </w:r>
    </w:p>
    <w:p w14:paraId="2F4FB02E" w14:textId="77777777" w:rsidR="00EA1E8E" w:rsidRPr="00EA1E8E" w:rsidRDefault="00EA1E8E" w:rsidP="00EA1E8E">
      <w:pPr>
        <w:pStyle w:val="A-Text11"/>
      </w:pPr>
      <w:r w:rsidRPr="00EA1E8E">
        <w:t>Vzhľadom na technologické prepojenie všetkých objemov prostredníctvom podzemnej stavebnej a technologickej infraštruktúry pôjde stavebne a legislatívne o jeden bytový dom, rozdelený na čiastkové objekty.</w:t>
      </w:r>
    </w:p>
    <w:p w14:paraId="1F26A855" w14:textId="77777777" w:rsidR="00EA1E8E" w:rsidRPr="00EA1E8E" w:rsidRDefault="00EA1E8E" w:rsidP="00EA1E8E">
      <w:pPr>
        <w:pStyle w:val="A-Text11"/>
      </w:pPr>
      <w:r w:rsidRPr="00EA1E8E">
        <w:lastRenderedPageBreak/>
        <w:t>Objekt SO 001 A2, SO 001 A2, SO 001 B1 až SO 001 B6 bude maximálnych rozmerov na 1.PP cca 94,700 x 53,475 m.</w:t>
      </w:r>
    </w:p>
    <w:p w14:paraId="291493A1" w14:textId="736A6CDA" w:rsidR="00EA1E8E" w:rsidRPr="00EA1E8E" w:rsidRDefault="00EA1E8E" w:rsidP="00EA1E8E">
      <w:pPr>
        <w:pStyle w:val="A-Text11"/>
      </w:pPr>
      <w:r w:rsidRPr="00EA1E8E">
        <w:t xml:space="preserve">Objekt SO 001 A2, SO 001 A2 bude maximálnych rozmerov na 1.NP </w:t>
      </w:r>
      <w:r>
        <w:t>asi</w:t>
      </w:r>
      <w:r w:rsidRPr="00EA1E8E">
        <w:t>a 47,3 x 11,5 m.</w:t>
      </w:r>
    </w:p>
    <w:p w14:paraId="15705DA9" w14:textId="77777777" w:rsidR="00EA1E8E" w:rsidRPr="00EA1E8E" w:rsidRDefault="00EA1E8E" w:rsidP="00EA1E8E">
      <w:pPr>
        <w:pStyle w:val="A-Text11"/>
      </w:pPr>
      <w:r w:rsidRPr="00EA1E8E">
        <w:t>Objekt SO 001 B1 až SO 001 B6  bude maximálnych rozmerov na 1.NP cca 8,450 x 16,250 m.</w:t>
      </w:r>
    </w:p>
    <w:p w14:paraId="12C5CB87" w14:textId="77777777" w:rsidR="00EA1E8E" w:rsidRPr="00EA1E8E" w:rsidRDefault="00EA1E8E" w:rsidP="00EA1E8E">
      <w:pPr>
        <w:pStyle w:val="A-Text11"/>
      </w:pPr>
      <w:r w:rsidRPr="00EA1E8E">
        <w:t>Z hľadiska protipožiarnej bezpečnosti má Bytový dom:</w:t>
      </w:r>
    </w:p>
    <w:p w14:paraId="491DB72F" w14:textId="77777777" w:rsidR="00EA1E8E" w:rsidRPr="00EA1E8E" w:rsidRDefault="00EA1E8E" w:rsidP="00EA1E8E">
      <w:pPr>
        <w:pStyle w:val="A-Text11"/>
      </w:pPr>
      <w:r w:rsidRPr="00EA1E8E">
        <w:t>SO 001 A2, SO 001 A2 jedno podzemné požiarne podlažie a štyri nadzemné požiarne podlažia.</w:t>
      </w:r>
    </w:p>
    <w:p w14:paraId="1409684F" w14:textId="77777777" w:rsidR="00EA1E8E" w:rsidRPr="00EA1E8E" w:rsidRDefault="00EA1E8E" w:rsidP="00EA1E8E">
      <w:pPr>
        <w:pStyle w:val="A-Text11"/>
      </w:pPr>
      <w:r w:rsidRPr="00EA1E8E">
        <w:t>SO 001 B1 až SO 001 B6  jedno podzemné požiarne podlažie a tri nadzemné požiarne podlažia.</w:t>
      </w:r>
    </w:p>
    <w:p w14:paraId="47F35732" w14:textId="77777777" w:rsidR="00EA1E8E" w:rsidRPr="00EA1E8E" w:rsidRDefault="00EA1E8E" w:rsidP="00EA1E8E">
      <w:pPr>
        <w:pStyle w:val="A-Text11"/>
      </w:pPr>
      <w:r w:rsidRPr="00EA1E8E">
        <w:t xml:space="preserve">Požiarna výška nadzemných podlaží SO 001 A2, SO 001 bude </w:t>
      </w:r>
      <w:r w:rsidRPr="00EA1E8E">
        <w:rPr>
          <w:b/>
          <w:vertAlign w:val="superscript"/>
        </w:rPr>
        <w:t>NP</w:t>
      </w:r>
      <w:r w:rsidRPr="00EA1E8E">
        <w:rPr>
          <w:b/>
        </w:rPr>
        <w:t>h</w:t>
      </w:r>
      <w:r w:rsidRPr="00EA1E8E">
        <w:rPr>
          <w:b/>
          <w:vertAlign w:val="subscript"/>
        </w:rPr>
        <w:t>pv</w:t>
      </w:r>
      <w:r w:rsidRPr="00EA1E8E">
        <w:rPr>
          <w:b/>
        </w:rPr>
        <w:t xml:space="preserve"> = 9,200 m</w:t>
      </w:r>
      <w:r w:rsidRPr="00EA1E8E">
        <w:t xml:space="preserve">. </w:t>
      </w:r>
    </w:p>
    <w:p w14:paraId="5D64F15A" w14:textId="77777777" w:rsidR="00EA1E8E" w:rsidRPr="00EA1E8E" w:rsidRDefault="00EA1E8E" w:rsidP="00EA1E8E">
      <w:pPr>
        <w:pStyle w:val="A-Text11"/>
      </w:pPr>
      <w:r w:rsidRPr="00EA1E8E">
        <w:t xml:space="preserve">Požiarna výška nadzemných podlaží SO 001 B1 až SO 001 B6  bude </w:t>
      </w:r>
      <w:r w:rsidRPr="00EA1E8E">
        <w:rPr>
          <w:b/>
          <w:vertAlign w:val="superscript"/>
        </w:rPr>
        <w:t>NP</w:t>
      </w:r>
      <w:r w:rsidRPr="00EA1E8E">
        <w:rPr>
          <w:b/>
        </w:rPr>
        <w:t>h</w:t>
      </w:r>
      <w:r w:rsidRPr="00EA1E8E">
        <w:rPr>
          <w:b/>
          <w:vertAlign w:val="subscript"/>
        </w:rPr>
        <w:t>pv</w:t>
      </w:r>
      <w:r w:rsidRPr="00EA1E8E">
        <w:rPr>
          <w:b/>
        </w:rPr>
        <w:t xml:space="preserve"> = 6,000 m</w:t>
      </w:r>
      <w:r w:rsidRPr="00EA1E8E">
        <w:t xml:space="preserve">. </w:t>
      </w:r>
    </w:p>
    <w:p w14:paraId="7E698A4E" w14:textId="77777777" w:rsidR="00D80716" w:rsidRPr="00D80716" w:rsidRDefault="00D80716" w:rsidP="00D80716">
      <w:pPr>
        <w:widowControl/>
        <w:spacing w:before="120"/>
        <w:jc w:val="both"/>
        <w:rPr>
          <w:rFonts w:ascii="Arial" w:hAnsi="Arial" w:cs="Arial"/>
          <w:b/>
          <w:i/>
          <w:sz w:val="22"/>
          <w:szCs w:val="22"/>
          <w:lang w:eastAsia="en-US"/>
        </w:rPr>
      </w:pPr>
      <w:r w:rsidRPr="00D80716">
        <w:rPr>
          <w:rFonts w:ascii="Arial" w:hAnsi="Arial" w:cs="Arial"/>
          <w:b/>
          <w:i/>
          <w:sz w:val="22"/>
          <w:szCs w:val="22"/>
          <w:lang w:eastAsia="en-US"/>
        </w:rPr>
        <w:t>Opatrenia v oblasti civilnej ochrany</w:t>
      </w:r>
    </w:p>
    <w:p w14:paraId="31EBC833" w14:textId="77777777" w:rsidR="00D80716" w:rsidRPr="00D80716" w:rsidRDefault="00D80716" w:rsidP="00D80716">
      <w:pPr>
        <w:pStyle w:val="A-Text11"/>
        <w:rPr>
          <w:szCs w:val="21"/>
        </w:rPr>
      </w:pPr>
      <w:r w:rsidRPr="00D80716">
        <w:rPr>
          <w:szCs w:val="21"/>
        </w:rPr>
        <w:t>Spracovanie návrhu ukrytia osôb prevzatých do starostlivosti SO-001 Bytový dom, po vyhlásení mimoriadnej situácie a v čase vojny a vojnového stavu – vyplýva zo zákona NR SR č. 47/2012 Zb. z., o civilnej ochrane obyvateľstva; Analýzy územia okresu Bratislava, z hľadiska možných mimoriadnych udalostí a z ustanovení vyhlášky MV SR č. 532/2006 Zb.z. o podrobnostiach na zabezpečenie stavebnotechnických požiadaviek a technických podmienok zariadení civilnej ochrany.</w:t>
      </w:r>
    </w:p>
    <w:p w14:paraId="3D6C1BBA" w14:textId="77777777" w:rsidR="00D80716" w:rsidRPr="00D80716" w:rsidRDefault="00D80716" w:rsidP="00D80716">
      <w:pPr>
        <w:pStyle w:val="A-Text11"/>
        <w:rPr>
          <w:szCs w:val="21"/>
        </w:rPr>
      </w:pPr>
      <w:r w:rsidRPr="00D80716">
        <w:rPr>
          <w:szCs w:val="21"/>
        </w:rPr>
        <w:t>Druh ochrannej stavby: JEDNODUCHÝ ÚKRYT BUDOVANÝ SVOJPOMOCNE (JÚBS)</w:t>
      </w:r>
    </w:p>
    <w:p w14:paraId="7770882E" w14:textId="77777777" w:rsidR="00D80716" w:rsidRPr="00D80716" w:rsidRDefault="00D80716" w:rsidP="00D80716">
      <w:pPr>
        <w:pStyle w:val="A-Text11"/>
        <w:rPr>
          <w:szCs w:val="21"/>
        </w:rPr>
      </w:pPr>
      <w:r w:rsidRPr="00D80716">
        <w:rPr>
          <w:szCs w:val="21"/>
        </w:rPr>
        <w:t>Kapacita úkrytu:</w:t>
      </w:r>
    </w:p>
    <w:p w14:paraId="33255635" w14:textId="77777777" w:rsidR="00D80716" w:rsidRPr="00D80716" w:rsidRDefault="00D80716" w:rsidP="00D80716">
      <w:pPr>
        <w:pStyle w:val="A-Text11"/>
        <w:spacing w:before="0" w:line="240" w:lineRule="auto"/>
        <w:ind w:firstLine="425"/>
        <w:rPr>
          <w:szCs w:val="21"/>
        </w:rPr>
      </w:pPr>
      <w:r w:rsidRPr="00D80716">
        <w:rPr>
          <w:szCs w:val="21"/>
        </w:rPr>
        <w:t>Hlavný bytový objekt (A1-A2):</w:t>
      </w:r>
      <w:r w:rsidRPr="00D80716">
        <w:rPr>
          <w:szCs w:val="21"/>
        </w:rPr>
        <w:tab/>
      </w:r>
      <w:r w:rsidRPr="00D80716">
        <w:rPr>
          <w:szCs w:val="21"/>
        </w:rPr>
        <w:tab/>
        <w:t>161 osôb</w:t>
      </w:r>
    </w:p>
    <w:p w14:paraId="3A68EEB8" w14:textId="77777777" w:rsidR="00D80716" w:rsidRPr="00D80716" w:rsidRDefault="00D80716" w:rsidP="00D80716">
      <w:pPr>
        <w:pStyle w:val="A-Text11"/>
        <w:spacing w:before="0" w:line="240" w:lineRule="auto"/>
        <w:ind w:firstLine="425"/>
        <w:rPr>
          <w:szCs w:val="21"/>
        </w:rPr>
      </w:pPr>
      <w:r w:rsidRPr="00D80716">
        <w:rPr>
          <w:szCs w:val="21"/>
        </w:rPr>
        <w:t>Bodové bytové objekty (B1-B6):</w:t>
      </w:r>
      <w:r w:rsidRPr="00D80716">
        <w:rPr>
          <w:szCs w:val="21"/>
        </w:rPr>
        <w:tab/>
      </w:r>
      <w:r w:rsidRPr="00D80716">
        <w:rPr>
          <w:szCs w:val="21"/>
        </w:rPr>
        <w:tab/>
        <w:t>138 osôb</w:t>
      </w:r>
    </w:p>
    <w:p w14:paraId="669ADCE9" w14:textId="77777777" w:rsidR="00D80716" w:rsidRPr="00D80716" w:rsidRDefault="00D80716" w:rsidP="00D80716">
      <w:pPr>
        <w:pStyle w:val="A-Text11"/>
        <w:rPr>
          <w:szCs w:val="21"/>
        </w:rPr>
      </w:pPr>
      <w:r w:rsidRPr="00D80716">
        <w:rPr>
          <w:szCs w:val="21"/>
        </w:rPr>
        <w:t>Celkom</w:t>
      </w:r>
      <w:r w:rsidRPr="00D80716">
        <w:rPr>
          <w:szCs w:val="21"/>
        </w:rPr>
        <w:tab/>
      </w:r>
      <w:r w:rsidRPr="00D80716">
        <w:rPr>
          <w:szCs w:val="21"/>
        </w:rPr>
        <w:tab/>
      </w:r>
      <w:r w:rsidRPr="00D80716">
        <w:rPr>
          <w:szCs w:val="21"/>
        </w:rPr>
        <w:tab/>
      </w:r>
      <w:r w:rsidRPr="00D80716">
        <w:rPr>
          <w:szCs w:val="21"/>
        </w:rPr>
        <w:tab/>
      </w:r>
      <w:r w:rsidRPr="00D80716">
        <w:rPr>
          <w:szCs w:val="21"/>
        </w:rPr>
        <w:tab/>
        <w:t>299 osôb</w:t>
      </w:r>
    </w:p>
    <w:p w14:paraId="5E19CF34" w14:textId="77777777" w:rsidR="00D80716" w:rsidRPr="00D80716" w:rsidRDefault="00D80716" w:rsidP="00D80716">
      <w:pPr>
        <w:pStyle w:val="A-Text11"/>
        <w:rPr>
          <w:szCs w:val="21"/>
        </w:rPr>
      </w:pPr>
      <w:bookmarkStart w:id="384" w:name="_Toc91150548"/>
      <w:r w:rsidRPr="00D80716">
        <w:rPr>
          <w:szCs w:val="21"/>
        </w:rPr>
        <w:t>Základné plošné a objemové ukazovatele JÚBS – pre kapacitu 50 ukrývaných a viac</w:t>
      </w:r>
      <w:bookmarkEnd w:id="384"/>
      <w:r w:rsidRPr="00D80716">
        <w:rPr>
          <w:szCs w:val="21"/>
        </w:rPr>
        <w:t>:</w:t>
      </w:r>
    </w:p>
    <w:p w14:paraId="1F2EE1B3" w14:textId="77777777" w:rsidR="00D80716" w:rsidRPr="00D80716" w:rsidRDefault="00D80716" w:rsidP="00D80716">
      <w:pPr>
        <w:pStyle w:val="A-Text11"/>
        <w:spacing w:before="0" w:line="240" w:lineRule="auto"/>
        <w:rPr>
          <w:szCs w:val="21"/>
        </w:rPr>
      </w:pPr>
      <w:r w:rsidRPr="00D80716">
        <w:rPr>
          <w:szCs w:val="21"/>
        </w:rPr>
        <w:t>podlahová plocha:</w:t>
      </w:r>
      <w:r w:rsidRPr="00D80716">
        <w:rPr>
          <w:szCs w:val="21"/>
        </w:rPr>
        <w:tab/>
      </w:r>
      <w:r w:rsidRPr="00D80716">
        <w:rPr>
          <w:szCs w:val="21"/>
        </w:rPr>
        <w:tab/>
      </w:r>
      <w:r w:rsidRPr="00D80716">
        <w:rPr>
          <w:szCs w:val="21"/>
        </w:rPr>
        <w:tab/>
      </w:r>
      <w:r w:rsidRPr="00D80716">
        <w:rPr>
          <w:szCs w:val="21"/>
        </w:rPr>
        <w:tab/>
        <w:t>1,0 - 1,5 m2/1 osobu, navrhnuté 450 m2</w:t>
      </w:r>
    </w:p>
    <w:p w14:paraId="64954167" w14:textId="77777777" w:rsidR="00D80716" w:rsidRPr="00D80716" w:rsidRDefault="00D80716" w:rsidP="00D80716">
      <w:pPr>
        <w:pStyle w:val="A-Text11"/>
        <w:spacing w:before="0" w:line="240" w:lineRule="auto"/>
        <w:rPr>
          <w:szCs w:val="21"/>
        </w:rPr>
      </w:pPr>
      <w:r w:rsidRPr="00D80716">
        <w:rPr>
          <w:szCs w:val="21"/>
        </w:rPr>
        <w:t>minimálna svetlá výška:</w:t>
      </w:r>
      <w:r w:rsidRPr="00D80716">
        <w:rPr>
          <w:szCs w:val="21"/>
        </w:rPr>
        <w:tab/>
      </w:r>
      <w:r w:rsidRPr="00D80716">
        <w:rPr>
          <w:szCs w:val="21"/>
        </w:rPr>
        <w:tab/>
      </w:r>
      <w:r w:rsidRPr="00D80716">
        <w:rPr>
          <w:szCs w:val="21"/>
        </w:rPr>
        <w:tab/>
      </w:r>
      <w:r w:rsidRPr="00D80716">
        <w:rPr>
          <w:szCs w:val="21"/>
        </w:rPr>
        <w:tab/>
        <w:t>2,1 m</w:t>
      </w:r>
    </w:p>
    <w:p w14:paraId="4CFB0128" w14:textId="77777777" w:rsidR="00D80716" w:rsidRPr="00D80716" w:rsidRDefault="00D80716" w:rsidP="00D80716">
      <w:pPr>
        <w:pStyle w:val="A-Text11"/>
        <w:spacing w:before="0" w:line="240" w:lineRule="auto"/>
        <w:rPr>
          <w:szCs w:val="21"/>
        </w:rPr>
      </w:pPr>
      <w:r w:rsidRPr="00D80716">
        <w:rPr>
          <w:szCs w:val="21"/>
        </w:rPr>
        <w:t>zásoba pitnej vody:</w:t>
      </w:r>
      <w:r w:rsidRPr="00D80716">
        <w:rPr>
          <w:szCs w:val="21"/>
        </w:rPr>
        <w:tab/>
      </w:r>
      <w:r w:rsidRPr="00D80716">
        <w:rPr>
          <w:szCs w:val="21"/>
        </w:rPr>
        <w:tab/>
      </w:r>
      <w:r w:rsidRPr="00D80716">
        <w:rPr>
          <w:szCs w:val="21"/>
        </w:rPr>
        <w:tab/>
      </w:r>
      <w:r w:rsidRPr="00D80716">
        <w:rPr>
          <w:szCs w:val="21"/>
        </w:rPr>
        <w:tab/>
        <w:t>2,0 l/1 osobu/1 deň</w:t>
      </w:r>
    </w:p>
    <w:p w14:paraId="54683538" w14:textId="736B5321" w:rsidR="00D80716" w:rsidRPr="00D80716" w:rsidRDefault="00D80716" w:rsidP="009B23C7">
      <w:pPr>
        <w:pStyle w:val="A-Text11"/>
        <w:spacing w:before="0" w:line="240" w:lineRule="auto"/>
        <w:ind w:left="5245" w:hanging="4819"/>
        <w:rPr>
          <w:szCs w:val="21"/>
        </w:rPr>
      </w:pPr>
      <w:r w:rsidRPr="00D80716">
        <w:rPr>
          <w:szCs w:val="21"/>
        </w:rPr>
        <w:t>množstvo privádzaného vonkajšieho vzduchu:</w:t>
      </w:r>
      <w:r w:rsidR="009B23C7">
        <w:rPr>
          <w:szCs w:val="21"/>
        </w:rPr>
        <w:t xml:space="preserve"> </w:t>
      </w:r>
      <w:r w:rsidRPr="00D80716">
        <w:rPr>
          <w:szCs w:val="21"/>
        </w:rPr>
        <w:t>10 m3/1 osobu/1 hodinu - pri teplote vonkajšieho vzduchu do 23°C</w:t>
      </w:r>
    </w:p>
    <w:p w14:paraId="3CCE8F71" w14:textId="77777777" w:rsidR="00D80716" w:rsidRPr="00D80716" w:rsidRDefault="00D80716" w:rsidP="009B23C7">
      <w:pPr>
        <w:pStyle w:val="A-Text11"/>
        <w:spacing w:before="0" w:line="240" w:lineRule="auto"/>
        <w:ind w:left="5245" w:firstLine="0"/>
        <w:rPr>
          <w:szCs w:val="21"/>
        </w:rPr>
      </w:pPr>
      <w:r w:rsidRPr="00D80716">
        <w:rPr>
          <w:szCs w:val="21"/>
        </w:rPr>
        <w:t>14 m3/1 osobu/1 hodinu - pri teplote</w:t>
      </w:r>
      <w:r w:rsidRPr="00D80716">
        <w:rPr>
          <w:szCs w:val="21"/>
        </w:rPr>
        <w:tab/>
        <w:t>vonkajšieho vzduchu nad 23°C</w:t>
      </w:r>
    </w:p>
    <w:p w14:paraId="5B61C3AE" w14:textId="77777777" w:rsidR="00D80716" w:rsidRPr="00D80716" w:rsidRDefault="00D80716" w:rsidP="00D80716">
      <w:pPr>
        <w:pStyle w:val="A-Text11"/>
        <w:spacing w:before="0" w:line="240" w:lineRule="auto"/>
        <w:rPr>
          <w:szCs w:val="21"/>
        </w:rPr>
      </w:pPr>
      <w:r w:rsidRPr="00D80716">
        <w:rPr>
          <w:szCs w:val="21"/>
        </w:rPr>
        <w:t xml:space="preserve">trieda filtrácie privádzaného vzduchu: </w:t>
      </w:r>
      <w:r w:rsidRPr="00D80716">
        <w:rPr>
          <w:szCs w:val="21"/>
        </w:rPr>
        <w:tab/>
      </w:r>
      <w:r w:rsidRPr="00D80716">
        <w:rPr>
          <w:szCs w:val="21"/>
        </w:rPr>
        <w:tab/>
      </w:r>
      <w:r w:rsidRPr="00D80716">
        <w:rPr>
          <w:szCs w:val="21"/>
        </w:rPr>
        <w:tab/>
        <w:t>F9</w:t>
      </w:r>
    </w:p>
    <w:p w14:paraId="509CDE0D" w14:textId="77777777" w:rsidR="00D80716" w:rsidRPr="00D80716" w:rsidRDefault="00D80716" w:rsidP="00D80716">
      <w:pPr>
        <w:pStyle w:val="A-Text11"/>
        <w:rPr>
          <w:szCs w:val="21"/>
        </w:rPr>
      </w:pPr>
      <w:r w:rsidRPr="00D80716">
        <w:rPr>
          <w:szCs w:val="21"/>
        </w:rPr>
        <w:t>Vzduchotechnické zariadenie musí byť napojené na stabilný alebo mobilný náhradný zdroj elektrickej energie.</w:t>
      </w:r>
    </w:p>
    <w:p w14:paraId="7FDC022F" w14:textId="77777777" w:rsidR="00394BB0" w:rsidRDefault="00394BB0" w:rsidP="00D80716">
      <w:pPr>
        <w:pStyle w:val="A-Text11"/>
        <w:rPr>
          <w:szCs w:val="21"/>
        </w:rPr>
      </w:pPr>
      <w:bookmarkStart w:id="385" w:name="_Toc91150549"/>
    </w:p>
    <w:p w14:paraId="2CFF6B85" w14:textId="1E3C06C2" w:rsidR="00D80716" w:rsidRPr="00D80716" w:rsidRDefault="00D80716" w:rsidP="00D80716">
      <w:pPr>
        <w:pStyle w:val="A-Text11"/>
        <w:rPr>
          <w:szCs w:val="21"/>
        </w:rPr>
      </w:pPr>
      <w:r w:rsidRPr="00D80716">
        <w:rPr>
          <w:szCs w:val="21"/>
        </w:rPr>
        <w:t>Členenie priestorov a ich plochy</w:t>
      </w:r>
      <w:bookmarkEnd w:id="385"/>
      <w:r w:rsidRPr="00D80716">
        <w:rPr>
          <w:szCs w:val="21"/>
        </w:rPr>
        <w:t>:</w:t>
      </w:r>
    </w:p>
    <w:p w14:paraId="5DCC9C24" w14:textId="77777777" w:rsidR="00D80716" w:rsidRPr="00D80716" w:rsidRDefault="00D80716" w:rsidP="00D80716">
      <w:pPr>
        <w:pStyle w:val="A-Text11"/>
        <w:spacing w:before="0" w:line="240" w:lineRule="auto"/>
        <w:rPr>
          <w:szCs w:val="21"/>
        </w:rPr>
      </w:pPr>
      <w:r w:rsidRPr="00D80716">
        <w:rPr>
          <w:szCs w:val="21"/>
        </w:rPr>
        <w:t>-Priestory na sociálne zariadenia:</w:t>
      </w:r>
      <w:r w:rsidRPr="00D80716">
        <w:rPr>
          <w:szCs w:val="21"/>
        </w:rPr>
        <w:tab/>
      </w:r>
      <w:r w:rsidRPr="00D80716">
        <w:rPr>
          <w:szCs w:val="21"/>
        </w:rPr>
        <w:tab/>
        <w:t>1 záchodová misa max. pre 75 žien</w:t>
      </w:r>
    </w:p>
    <w:p w14:paraId="0D8EEE38" w14:textId="77777777" w:rsidR="00D80716" w:rsidRPr="00D80716" w:rsidRDefault="00D80716" w:rsidP="00D80716">
      <w:pPr>
        <w:pStyle w:val="A-Text11"/>
        <w:spacing w:before="0" w:line="240" w:lineRule="auto"/>
        <w:ind w:left="4963" w:firstLine="0"/>
        <w:rPr>
          <w:szCs w:val="21"/>
        </w:rPr>
      </w:pPr>
      <w:r w:rsidRPr="00D80716">
        <w:rPr>
          <w:szCs w:val="21"/>
        </w:rPr>
        <w:t>1 záchodová misa a 1 pisoár max. pre 150 mužov</w:t>
      </w:r>
    </w:p>
    <w:p w14:paraId="3F55855A" w14:textId="77777777" w:rsidR="00D80716" w:rsidRPr="00D80716" w:rsidRDefault="00D80716" w:rsidP="00D80716">
      <w:pPr>
        <w:pStyle w:val="A-Text11"/>
        <w:spacing w:before="0" w:line="240" w:lineRule="auto"/>
        <w:rPr>
          <w:szCs w:val="21"/>
        </w:rPr>
      </w:pPr>
      <w:r w:rsidRPr="00D80716">
        <w:rPr>
          <w:szCs w:val="21"/>
        </w:rPr>
        <w:t>-Priestor na uloženie zamorených odevov:</w:t>
      </w:r>
      <w:r w:rsidRPr="00D80716">
        <w:rPr>
          <w:szCs w:val="21"/>
        </w:rPr>
        <w:tab/>
        <w:t>0,07 m2 podlahovej plochy</w:t>
      </w:r>
    </w:p>
    <w:p w14:paraId="4EE9B193" w14:textId="77777777" w:rsidR="00D80716" w:rsidRPr="00D80716" w:rsidRDefault="00D80716" w:rsidP="00D80716">
      <w:pPr>
        <w:pStyle w:val="A-Text11"/>
        <w:rPr>
          <w:szCs w:val="21"/>
        </w:rPr>
      </w:pPr>
      <w:bookmarkStart w:id="386" w:name="_Toc91150550"/>
      <w:r w:rsidRPr="00D80716">
        <w:rPr>
          <w:szCs w:val="21"/>
        </w:rPr>
        <w:t>Základné požiadavky</w:t>
      </w:r>
      <w:bookmarkEnd w:id="386"/>
      <w:r w:rsidRPr="00D80716">
        <w:rPr>
          <w:szCs w:val="21"/>
        </w:rPr>
        <w:t>:</w:t>
      </w:r>
    </w:p>
    <w:p w14:paraId="764E331C" w14:textId="77777777" w:rsidR="00D80716" w:rsidRPr="00D80716" w:rsidRDefault="00D80716" w:rsidP="00D80716">
      <w:pPr>
        <w:pStyle w:val="A-Text11"/>
        <w:rPr>
          <w:szCs w:val="21"/>
        </w:rPr>
      </w:pPr>
      <w:r w:rsidRPr="00D80716">
        <w:rPr>
          <w:szCs w:val="21"/>
        </w:rPr>
        <w:lastRenderedPageBreak/>
        <w:t>Kapacita ochrannej stavby (JÚBS), je súčet miest na sedenie a ležanie, pričom miest na ležanie musí byť 20% až 30% z navrhovaného počtu miest. Ochranná stavba musí spĺňať hodnotu ochranného súčiniteľa stavby Ko min.50</w:t>
      </w:r>
    </w:p>
    <w:p w14:paraId="310BA9CA" w14:textId="77777777" w:rsidR="00D80716" w:rsidRPr="00D80716" w:rsidRDefault="00D80716" w:rsidP="00D80716">
      <w:pPr>
        <w:pStyle w:val="A-Text11"/>
        <w:rPr>
          <w:szCs w:val="21"/>
        </w:rPr>
      </w:pPr>
      <w:bookmarkStart w:id="387" w:name="_Toc91150551"/>
      <w:r w:rsidRPr="00D80716">
        <w:rPr>
          <w:szCs w:val="21"/>
        </w:rPr>
        <w:t>Časové normy na uvedenie ochrannej stavby do stavu technickej pripravenosti od vyhlásenia mimoriadnej situácie a v čase vojny a vojnového stavu</w:t>
      </w:r>
      <w:bookmarkEnd w:id="387"/>
      <w:r w:rsidRPr="00D80716">
        <w:rPr>
          <w:szCs w:val="21"/>
        </w:rPr>
        <w:t>:</w:t>
      </w:r>
    </w:p>
    <w:p w14:paraId="277D8486" w14:textId="77777777" w:rsidR="00D80716" w:rsidRPr="00D80716" w:rsidRDefault="00D80716" w:rsidP="00D80716">
      <w:pPr>
        <w:pStyle w:val="A-Text11"/>
        <w:spacing w:before="0" w:line="240" w:lineRule="auto"/>
        <w:ind w:firstLine="425"/>
        <w:rPr>
          <w:szCs w:val="21"/>
        </w:rPr>
      </w:pPr>
      <w:r w:rsidRPr="00D80716">
        <w:rPr>
          <w:szCs w:val="21"/>
        </w:rPr>
        <w:t>-príjem ukrývaných osôb do 12 hodín</w:t>
      </w:r>
    </w:p>
    <w:p w14:paraId="1551CFDD" w14:textId="77777777" w:rsidR="00D80716" w:rsidRPr="00D80716" w:rsidRDefault="00D80716" w:rsidP="00D80716">
      <w:pPr>
        <w:pStyle w:val="A-Text11"/>
        <w:spacing w:before="0" w:line="240" w:lineRule="auto"/>
        <w:ind w:firstLine="425"/>
        <w:rPr>
          <w:szCs w:val="21"/>
        </w:rPr>
      </w:pPr>
      <w:r w:rsidRPr="00D80716">
        <w:rPr>
          <w:szCs w:val="21"/>
        </w:rPr>
        <w:t>-zvýšenie ochranných vlastností do 24 hodín</w:t>
      </w:r>
    </w:p>
    <w:p w14:paraId="7EA01A30" w14:textId="77777777" w:rsidR="00D80716" w:rsidRPr="00D80716" w:rsidRDefault="00D80716" w:rsidP="00D80716">
      <w:pPr>
        <w:pStyle w:val="A-Text11"/>
        <w:rPr>
          <w:szCs w:val="21"/>
        </w:rPr>
      </w:pPr>
      <w:bookmarkStart w:id="388" w:name="_Toc91150552"/>
      <w:r w:rsidRPr="00D80716">
        <w:rPr>
          <w:szCs w:val="21"/>
        </w:rPr>
        <w:t>Návrh úkrytového priestoru</w:t>
      </w:r>
      <w:bookmarkEnd w:id="388"/>
      <w:r w:rsidRPr="00D80716">
        <w:rPr>
          <w:szCs w:val="21"/>
        </w:rPr>
        <w:t>:</w:t>
      </w:r>
    </w:p>
    <w:p w14:paraId="5F199986" w14:textId="77777777" w:rsidR="00D80716" w:rsidRPr="00D80716" w:rsidRDefault="00D80716" w:rsidP="00D80716">
      <w:pPr>
        <w:pStyle w:val="A-Text11"/>
        <w:rPr>
          <w:szCs w:val="21"/>
        </w:rPr>
      </w:pPr>
      <w:r w:rsidRPr="00D80716">
        <w:rPr>
          <w:szCs w:val="21"/>
        </w:rPr>
        <w:t>Všetky tieto vyššie uvedené požiadavky na zriadenie JÚBS, je možné realizovať v navrhovanom objekte bytového súboru / podzemná hromadná garáž / na 1.PP.</w:t>
      </w:r>
    </w:p>
    <w:p w14:paraId="74238DB5" w14:textId="77777777" w:rsidR="00D80716" w:rsidRPr="00D80716" w:rsidRDefault="00D80716" w:rsidP="00D80716">
      <w:pPr>
        <w:pStyle w:val="A-Text11"/>
        <w:rPr>
          <w:szCs w:val="21"/>
        </w:rPr>
      </w:pPr>
      <w:r w:rsidRPr="00D80716">
        <w:rPr>
          <w:szCs w:val="21"/>
        </w:rPr>
        <w:t>Využitie ochrannej stavby je dvojúčelové:</w:t>
      </w:r>
    </w:p>
    <w:p w14:paraId="13004567" w14:textId="77777777" w:rsidR="00D80716" w:rsidRPr="00D80716" w:rsidRDefault="00D80716" w:rsidP="00D80716">
      <w:pPr>
        <w:pStyle w:val="A-Text11"/>
        <w:spacing w:before="0" w:line="240" w:lineRule="auto"/>
        <w:rPr>
          <w:szCs w:val="21"/>
        </w:rPr>
      </w:pPr>
      <w:r w:rsidRPr="00D80716">
        <w:rPr>
          <w:szCs w:val="21"/>
        </w:rPr>
        <w:t>-Mierové využitie:</w:t>
      </w:r>
      <w:r w:rsidRPr="00D80716">
        <w:rPr>
          <w:szCs w:val="21"/>
        </w:rPr>
        <w:tab/>
      </w:r>
      <w:r w:rsidRPr="00D80716">
        <w:rPr>
          <w:szCs w:val="21"/>
        </w:rPr>
        <w:tab/>
        <w:t>podzemná hromadná garáž</w:t>
      </w:r>
    </w:p>
    <w:p w14:paraId="485C6F3F" w14:textId="2B1947E2" w:rsidR="00D80716" w:rsidRPr="00D80716" w:rsidRDefault="00D80716" w:rsidP="00D80716">
      <w:pPr>
        <w:pStyle w:val="text0"/>
        <w:spacing w:before="0"/>
        <w:rPr>
          <w:szCs w:val="21"/>
        </w:rPr>
      </w:pPr>
      <w:r w:rsidRPr="00D80716">
        <w:rPr>
          <w:szCs w:val="21"/>
        </w:rPr>
        <w:t>-Mimoriadne využitie:</w:t>
      </w:r>
      <w:r w:rsidRPr="00D80716">
        <w:rPr>
          <w:szCs w:val="21"/>
        </w:rPr>
        <w:tab/>
        <w:t>JUBS</w:t>
      </w:r>
      <w:r w:rsidRPr="00D80716">
        <w:rPr>
          <w:szCs w:val="21"/>
        </w:rPr>
        <w:tab/>
      </w:r>
    </w:p>
    <w:p w14:paraId="6F7A309E" w14:textId="77777777" w:rsidR="0029466C" w:rsidRDefault="0029466C" w:rsidP="00D80716">
      <w:pPr>
        <w:pStyle w:val="text0"/>
        <w:rPr>
          <w:b/>
          <w:sz w:val="22"/>
          <w:szCs w:val="22"/>
          <w:lang w:val="sk-SK"/>
        </w:rPr>
      </w:pPr>
    </w:p>
    <w:p w14:paraId="427FB921" w14:textId="49FFA56D" w:rsidR="00E65CA9" w:rsidRPr="00CC5418" w:rsidRDefault="00574A7C" w:rsidP="00D80716">
      <w:pPr>
        <w:pStyle w:val="text0"/>
        <w:rPr>
          <w:b/>
          <w:sz w:val="22"/>
          <w:szCs w:val="22"/>
          <w:lang w:val="sk-SK"/>
        </w:rPr>
      </w:pPr>
      <w:r w:rsidRPr="00CC5418">
        <w:rPr>
          <w:b/>
          <w:sz w:val="22"/>
          <w:szCs w:val="22"/>
          <w:lang w:val="sk-SK"/>
        </w:rPr>
        <w:t>Bezpečnostné predpisy počas</w:t>
      </w:r>
      <w:r w:rsidR="00E65CA9" w:rsidRPr="00CC5418">
        <w:rPr>
          <w:b/>
          <w:sz w:val="22"/>
          <w:szCs w:val="22"/>
          <w:lang w:val="sk-SK"/>
        </w:rPr>
        <w:t xml:space="preserve"> prác</w:t>
      </w:r>
    </w:p>
    <w:p w14:paraId="38EDF391" w14:textId="77777777" w:rsidR="00E65CA9" w:rsidRPr="00CC5418" w:rsidRDefault="00E65CA9" w:rsidP="00947F2A">
      <w:pPr>
        <w:pStyle w:val="A-Text11"/>
        <w:rPr>
          <w:bCs/>
        </w:rPr>
      </w:pPr>
      <w:r w:rsidRPr="00CC5418">
        <w:rPr>
          <w:snapToGrid w:val="0"/>
        </w:rPr>
        <w:t xml:space="preserve">Počas stavebných prác je vybraný dodávateľ resp. zúčastnení dodávatelia povinní rešpektovať a dodržiavať normy, technické a technologické postupy a riadiť sa vyhláškou MPSVaR SR č. 147/2013 Z.z.  </w:t>
      </w:r>
      <w:r w:rsidRPr="00CC5418">
        <w:rPr>
          <w:bCs/>
        </w:rPr>
        <w:t>ktorou sa ustanovujú podrobnosti na zaistenie bezpečnosti a ochrany zdravia pri stavebných prácach a prácach s nimi súvisiacich a podrobnosti o odbornej spôsobilosti na výkon niektorých pracovných činností.</w:t>
      </w:r>
    </w:p>
    <w:p w14:paraId="1BA5CD95" w14:textId="77777777" w:rsidR="00E65CA9" w:rsidRPr="00CC5418" w:rsidRDefault="00E65CA9" w:rsidP="00947F2A">
      <w:pPr>
        <w:pStyle w:val="A-Text11"/>
        <w:rPr>
          <w:snapToGrid w:val="0"/>
          <w:szCs w:val="24"/>
        </w:rPr>
      </w:pPr>
      <w:r w:rsidRPr="00CC5418">
        <w:rPr>
          <w:snapToGrid w:val="0"/>
          <w:szCs w:val="24"/>
        </w:rPr>
        <w:t xml:space="preserve">Počas stavebných prác je vybraný dodávateľ resp. zúčastnení dodávatelia povinní rešpektovať a dodržiavať i podmienky obsiahnuté napr. v týchto predpisoch: </w:t>
      </w:r>
    </w:p>
    <w:p w14:paraId="42CC80AE" w14:textId="77777777" w:rsidR="00E65CA9" w:rsidRPr="00CC5418" w:rsidRDefault="00E65CA9" w:rsidP="00947F2A">
      <w:pPr>
        <w:pStyle w:val="A-Text11"/>
      </w:pPr>
      <w:r w:rsidRPr="00CC5418">
        <w:rPr>
          <w:b/>
          <w:bCs/>
          <w:i/>
        </w:rPr>
        <w:t xml:space="preserve">Zákon č. 124/2006 </w:t>
      </w:r>
      <w:r w:rsidRPr="00CC5418">
        <w:t>o bezpečnosti a ochrane zdravia pri práci a o zmene a doplnení niektorých zákonov.</w:t>
      </w:r>
    </w:p>
    <w:p w14:paraId="3A716BDA" w14:textId="77777777" w:rsidR="00E65CA9" w:rsidRPr="00CC5418" w:rsidRDefault="00E65CA9" w:rsidP="00947F2A">
      <w:pPr>
        <w:pStyle w:val="A-Text11"/>
      </w:pPr>
      <w:r w:rsidRPr="00CC5418">
        <w:rPr>
          <w:szCs w:val="19"/>
        </w:rPr>
        <w:t>Tento zákon ustanovuje všeobecné zásady prevencie a základné podmienky na zaistenie bezpečnosti a ochrany zdravia pri práci a na vylúčenie rizík a faktorov podmieňujúcich vznik pracovných úrazov, chorôb z povolania a iných poškodení zdravia z práce. Tento zákon sa vzťahuje na zamestnávateľov a zamestnancov vo všetkých odvetviach výrobnej sféry a nevýrobnej sféry.</w:t>
      </w:r>
    </w:p>
    <w:p w14:paraId="2C435F77" w14:textId="77777777" w:rsidR="00E65CA9" w:rsidRPr="00CC5418" w:rsidRDefault="00E65CA9" w:rsidP="00947F2A">
      <w:pPr>
        <w:pStyle w:val="A-Text11"/>
      </w:pPr>
      <w:r w:rsidRPr="00CC5418">
        <w:rPr>
          <w:b/>
          <w:bCs/>
          <w:i/>
        </w:rPr>
        <w:t>Nariadenie vlády č. 115/2006 Z.z.</w:t>
      </w:r>
      <w:r w:rsidRPr="00CC5418">
        <w:rPr>
          <w:b/>
          <w:bCs/>
        </w:rPr>
        <w:t xml:space="preserve"> </w:t>
      </w:r>
      <w:r w:rsidRPr="00CC5418">
        <w:t>o minimálnych zdravotných a bezpečnostných požiadavkách na ochranu zamestnancov pred rizikami súvisiacimi s expozíciou hluku.</w:t>
      </w:r>
    </w:p>
    <w:p w14:paraId="2FB226D5" w14:textId="77777777" w:rsidR="00E65CA9" w:rsidRPr="00CC5418" w:rsidRDefault="00E65CA9" w:rsidP="00947F2A">
      <w:pPr>
        <w:pStyle w:val="A-Text11"/>
        <w:rPr>
          <w:szCs w:val="19"/>
        </w:rPr>
      </w:pPr>
      <w:r w:rsidRPr="00CC5418">
        <w:rPr>
          <w:szCs w:val="19"/>
        </w:rPr>
        <w:t>Toto nariadenie vlády ustanovuje požiadavky na zaistenie ochrany zdravia a bezpečnosti zamestnancov v súvislosti s expozíciou hluku na pracovisku a na predchádzanie rizikám a ohrozeniam, ktoré vznikajú alebo môžu vznikať v súvislosti s expozíciou hluku, najmä na predchádzanie poškodeniu sluchu. Požiadavky tohto nariadenia vlády sa vzťahujú aj na činnosti, pri ktorých sú zamestnanci exponovaní rušivým účinkom hluku.</w:t>
      </w:r>
    </w:p>
    <w:p w14:paraId="6088819C" w14:textId="77777777" w:rsidR="00E65CA9" w:rsidRPr="00D62969" w:rsidRDefault="00E65CA9" w:rsidP="00947F2A">
      <w:pPr>
        <w:pStyle w:val="A-Text11"/>
        <w:rPr>
          <w:szCs w:val="19"/>
        </w:rPr>
      </w:pPr>
      <w:r w:rsidRPr="00CC5418">
        <w:rPr>
          <w:szCs w:val="19"/>
        </w:rPr>
        <w:t xml:space="preserve">Zamestnávateľ na zaistenie bezpečnosti </w:t>
      </w:r>
      <w:r w:rsidRPr="00D62969">
        <w:rPr>
          <w:szCs w:val="19"/>
        </w:rPr>
        <w:t>a ochrany zdravia pri práci prostredníctvom ochranných pracovných prostriedkov je povinný postupovať podľa §6 ods. 2 zákona NR SR č. 124/2006 Z.z. a podľa §5 nariadenia vlády SR č. 115/2006 Z.z. a podľa nariadenia vlády SR č. 355/2006 Z.z.</w:t>
      </w:r>
    </w:p>
    <w:p w14:paraId="6FE11B68" w14:textId="77777777" w:rsidR="00E65CA9" w:rsidRPr="00D62969" w:rsidRDefault="00E65CA9" w:rsidP="00947F2A">
      <w:pPr>
        <w:pStyle w:val="A-Text11"/>
        <w:rPr>
          <w:szCs w:val="19"/>
        </w:rPr>
      </w:pPr>
      <w:r w:rsidRPr="00D62969">
        <w:rPr>
          <w:szCs w:val="19"/>
        </w:rPr>
        <w:lastRenderedPageBreak/>
        <w:t>Požiadavky ustanovené týmto nariadením vlády sa vzťahujú na všetky činnosti, pri ktorých sú zamestnanci počas pracovného času vystavení alebo môžu byť vystavení rizikám v súvislosti s expozíciou hluku na pracovisku.</w:t>
      </w:r>
    </w:p>
    <w:p w14:paraId="29E5478A" w14:textId="77777777" w:rsidR="00E65CA9" w:rsidRPr="00D62969" w:rsidRDefault="00E65CA9" w:rsidP="00947F2A">
      <w:pPr>
        <w:pStyle w:val="A-Text11"/>
        <w:rPr>
          <w:i/>
          <w:szCs w:val="19"/>
        </w:rPr>
      </w:pPr>
      <w:r w:rsidRPr="00D62969">
        <w:rPr>
          <w:szCs w:val="19"/>
        </w:rPr>
        <w:t>Nariadenie vlády medzi príkladmi  činností  v IV. skupine uvádza „</w:t>
      </w:r>
      <w:r w:rsidRPr="00D62969">
        <w:rPr>
          <w:i/>
          <w:szCs w:val="19"/>
        </w:rPr>
        <w:t xml:space="preserve">Prevažne fyzická práca, práca s využitím zariadení a výrobných procesov vo výrobných priestoroch a závodoch; poľnohospodárstvo a lesníctvo, </w:t>
      </w:r>
      <w:r w:rsidRPr="00D62969">
        <w:rPr>
          <w:b/>
          <w:bCs/>
          <w:i/>
          <w:szCs w:val="19"/>
        </w:rPr>
        <w:t>stavebníctvo</w:t>
      </w:r>
      <w:r w:rsidRPr="00D62969">
        <w:rPr>
          <w:i/>
          <w:szCs w:val="19"/>
        </w:rPr>
        <w:t xml:space="preserve"> a ťažký priemysel; </w:t>
      </w:r>
      <w:r w:rsidRPr="00D62969">
        <w:rPr>
          <w:b/>
          <w:bCs/>
          <w:i/>
          <w:szCs w:val="19"/>
        </w:rPr>
        <w:t>obsluha nákladných dopravných zariadení</w:t>
      </w:r>
      <w:r w:rsidRPr="00D62969">
        <w:rPr>
          <w:i/>
          <w:szCs w:val="19"/>
        </w:rPr>
        <w:t xml:space="preserve">; práca v tanečných reštauráciách a diskotékach; </w:t>
      </w:r>
      <w:r w:rsidRPr="00D62969">
        <w:rPr>
          <w:b/>
          <w:bCs/>
          <w:i/>
          <w:szCs w:val="19"/>
        </w:rPr>
        <w:t>vodič motorového vozidla</w:t>
      </w:r>
      <w:r w:rsidRPr="00D62969">
        <w:rPr>
          <w:i/>
          <w:szCs w:val="19"/>
        </w:rPr>
        <w:t>.“</w:t>
      </w:r>
    </w:p>
    <w:p w14:paraId="5BF63C31" w14:textId="46929A29" w:rsidR="00E65CA9" w:rsidRPr="00DA2BE8" w:rsidRDefault="00E65CA9" w:rsidP="00DC00C4">
      <w:pPr>
        <w:widowControl/>
        <w:autoSpaceDE w:val="0"/>
        <w:autoSpaceDN w:val="0"/>
        <w:adjustRightInd w:val="0"/>
        <w:spacing w:before="120"/>
        <w:jc w:val="both"/>
        <w:rPr>
          <w:rFonts w:ascii="Arial" w:hAnsi="Arial" w:cs="Arial"/>
          <w:i/>
          <w:iCs/>
          <w:sz w:val="18"/>
          <w:szCs w:val="18"/>
          <w:lang w:eastAsia="en-US"/>
        </w:rPr>
      </w:pPr>
      <w:r w:rsidRPr="00DA2BE8">
        <w:rPr>
          <w:rFonts w:ascii="Arial" w:hAnsi="Arial" w:cs="Arial"/>
          <w:i/>
          <w:iCs/>
          <w:sz w:val="18"/>
          <w:szCs w:val="18"/>
          <w:lang w:eastAsia="en-US"/>
        </w:rPr>
        <w:t xml:space="preserve">Tab.č. </w:t>
      </w:r>
      <w:r w:rsidR="00EB4F71" w:rsidRPr="00DA2BE8">
        <w:rPr>
          <w:rFonts w:ascii="Arial" w:hAnsi="Arial" w:cs="Arial"/>
          <w:i/>
          <w:iCs/>
          <w:sz w:val="18"/>
          <w:szCs w:val="18"/>
          <w:lang w:eastAsia="en-US"/>
        </w:rPr>
        <w:t>IV</w:t>
      </w:r>
      <w:r w:rsidR="00C26C5E" w:rsidRPr="00DA2BE8">
        <w:rPr>
          <w:rFonts w:ascii="Arial" w:hAnsi="Arial" w:cs="Arial"/>
          <w:i/>
          <w:iCs/>
          <w:sz w:val="18"/>
          <w:szCs w:val="18"/>
          <w:lang w:eastAsia="en-US"/>
        </w:rPr>
        <w:t>.10.2.1</w:t>
      </w:r>
      <w:r w:rsidR="00FA2506" w:rsidRPr="00DA2BE8">
        <w:rPr>
          <w:rFonts w:ascii="Arial" w:hAnsi="Arial" w:cs="Arial"/>
          <w:i/>
          <w:iCs/>
          <w:sz w:val="18"/>
          <w:szCs w:val="18"/>
          <w:lang w:eastAsia="en-US"/>
        </w:rPr>
        <w:t xml:space="preserve"> </w:t>
      </w:r>
      <w:r w:rsidRPr="00DA2BE8">
        <w:rPr>
          <w:rFonts w:ascii="Arial" w:hAnsi="Arial" w:cs="Arial"/>
          <w:i/>
          <w:iCs/>
          <w:sz w:val="18"/>
          <w:szCs w:val="18"/>
          <w:lang w:eastAsia="en-US"/>
        </w:rPr>
        <w:t>: Akčné hodnoty normalizovanej hladiny A zvuku L</w:t>
      </w:r>
      <w:r w:rsidRPr="00DA2BE8">
        <w:rPr>
          <w:rFonts w:ascii="Arial" w:hAnsi="Arial" w:cs="Arial"/>
          <w:i/>
          <w:iCs/>
          <w:sz w:val="18"/>
          <w:szCs w:val="18"/>
          <w:vertAlign w:val="subscript"/>
          <w:lang w:eastAsia="en-US"/>
        </w:rPr>
        <w:t xml:space="preserve">AEX,8h </w:t>
      </w:r>
      <w:r w:rsidRPr="00DA2BE8">
        <w:rPr>
          <w:rFonts w:ascii="Arial" w:hAnsi="Arial" w:cs="Arial"/>
          <w:i/>
          <w:iCs/>
          <w:sz w:val="18"/>
          <w:szCs w:val="18"/>
          <w:lang w:eastAsia="en-US"/>
        </w:rPr>
        <w:t>pre skupiny prác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8"/>
        <w:gridCol w:w="5822"/>
        <w:gridCol w:w="2272"/>
      </w:tblGrid>
      <w:tr w:rsidR="00D62969" w:rsidRPr="00D62969" w14:paraId="7E18DFBB" w14:textId="77777777" w:rsidTr="00CF6787">
        <w:trPr>
          <w:trHeight w:val="712"/>
        </w:trPr>
        <w:tc>
          <w:tcPr>
            <w:tcW w:w="970" w:type="dxa"/>
          </w:tcPr>
          <w:p w14:paraId="10701372" w14:textId="77777777" w:rsidR="00E65CA9" w:rsidRPr="00D62969" w:rsidRDefault="00E65CA9" w:rsidP="00CF6787">
            <w:pPr>
              <w:widowControl/>
              <w:autoSpaceDE w:val="0"/>
              <w:autoSpaceDN w:val="0"/>
              <w:adjustRightInd w:val="0"/>
              <w:jc w:val="both"/>
              <w:rPr>
                <w:rFonts w:ascii="Arial" w:hAnsi="Arial" w:cs="Arial"/>
                <w:b/>
                <w:bCs/>
                <w:szCs w:val="19"/>
                <w:lang w:eastAsia="en-US"/>
              </w:rPr>
            </w:pPr>
            <w:r w:rsidRPr="00D62969">
              <w:rPr>
                <w:rFonts w:ascii="Arial" w:hAnsi="Arial" w:cs="Arial"/>
                <w:b/>
                <w:bCs/>
                <w:szCs w:val="19"/>
                <w:lang w:eastAsia="en-US"/>
              </w:rPr>
              <w:t>Skupina</w:t>
            </w:r>
          </w:p>
          <w:p w14:paraId="36A6C89E" w14:textId="77777777" w:rsidR="00E65CA9" w:rsidRPr="00D62969" w:rsidRDefault="00E65CA9" w:rsidP="00CF6787">
            <w:pPr>
              <w:widowControl/>
              <w:autoSpaceDE w:val="0"/>
              <w:autoSpaceDN w:val="0"/>
              <w:adjustRightInd w:val="0"/>
              <w:jc w:val="both"/>
              <w:rPr>
                <w:rFonts w:ascii="Arial" w:hAnsi="Arial" w:cs="Arial"/>
                <w:b/>
                <w:bCs/>
                <w:szCs w:val="19"/>
                <w:lang w:eastAsia="en-US"/>
              </w:rPr>
            </w:pPr>
            <w:r w:rsidRPr="00D62969">
              <w:rPr>
                <w:rFonts w:ascii="Arial" w:hAnsi="Arial" w:cs="Arial"/>
                <w:b/>
                <w:bCs/>
                <w:szCs w:val="19"/>
                <w:lang w:eastAsia="en-US"/>
              </w:rPr>
              <w:t>prác</w:t>
            </w:r>
          </w:p>
          <w:p w14:paraId="376B24D3" w14:textId="77777777" w:rsidR="00E65CA9" w:rsidRPr="00D62969" w:rsidRDefault="00E65CA9" w:rsidP="00CF6787">
            <w:pPr>
              <w:widowControl/>
              <w:autoSpaceDE w:val="0"/>
              <w:autoSpaceDN w:val="0"/>
              <w:adjustRightInd w:val="0"/>
              <w:jc w:val="both"/>
              <w:rPr>
                <w:rFonts w:ascii="Arial" w:hAnsi="Arial" w:cs="Arial"/>
                <w:b/>
                <w:bCs/>
                <w:szCs w:val="19"/>
                <w:lang w:eastAsia="en-US"/>
              </w:rPr>
            </w:pPr>
          </w:p>
        </w:tc>
        <w:tc>
          <w:tcPr>
            <w:tcW w:w="5940" w:type="dxa"/>
          </w:tcPr>
          <w:p w14:paraId="24707ACF" w14:textId="77777777" w:rsidR="00E65CA9" w:rsidRPr="00D62969" w:rsidRDefault="00E65CA9" w:rsidP="00CF6787">
            <w:pPr>
              <w:widowControl/>
              <w:autoSpaceDE w:val="0"/>
              <w:autoSpaceDN w:val="0"/>
              <w:adjustRightInd w:val="0"/>
              <w:jc w:val="both"/>
              <w:rPr>
                <w:rFonts w:ascii="Arial" w:hAnsi="Arial" w:cs="Arial"/>
                <w:b/>
                <w:bCs/>
                <w:szCs w:val="19"/>
                <w:lang w:eastAsia="en-US"/>
              </w:rPr>
            </w:pPr>
            <w:r w:rsidRPr="00D62969">
              <w:rPr>
                <w:rFonts w:ascii="Arial" w:hAnsi="Arial" w:cs="Arial"/>
                <w:b/>
                <w:bCs/>
                <w:szCs w:val="19"/>
                <w:lang w:eastAsia="en-US"/>
              </w:rPr>
              <w:t>Činnosť</w:t>
            </w:r>
          </w:p>
          <w:p w14:paraId="0A242DF8" w14:textId="77777777" w:rsidR="00E65CA9" w:rsidRPr="00D62969" w:rsidRDefault="00E65CA9" w:rsidP="00CF6787">
            <w:pPr>
              <w:widowControl/>
              <w:autoSpaceDE w:val="0"/>
              <w:autoSpaceDN w:val="0"/>
              <w:adjustRightInd w:val="0"/>
              <w:jc w:val="both"/>
              <w:rPr>
                <w:rFonts w:ascii="Arial" w:hAnsi="Arial" w:cs="Arial"/>
                <w:b/>
                <w:bCs/>
                <w:szCs w:val="19"/>
                <w:lang w:eastAsia="en-US"/>
              </w:rPr>
            </w:pPr>
          </w:p>
        </w:tc>
        <w:tc>
          <w:tcPr>
            <w:tcW w:w="2302" w:type="dxa"/>
          </w:tcPr>
          <w:p w14:paraId="2904439C" w14:textId="77777777" w:rsidR="00E65CA9" w:rsidRPr="00D62969" w:rsidRDefault="00E65CA9" w:rsidP="00CF6787">
            <w:pPr>
              <w:widowControl/>
              <w:autoSpaceDE w:val="0"/>
              <w:autoSpaceDN w:val="0"/>
              <w:adjustRightInd w:val="0"/>
              <w:jc w:val="center"/>
              <w:rPr>
                <w:rFonts w:ascii="Arial" w:hAnsi="Arial" w:cs="Arial"/>
                <w:b/>
                <w:bCs/>
                <w:szCs w:val="19"/>
                <w:lang w:eastAsia="en-US"/>
              </w:rPr>
            </w:pPr>
            <w:r w:rsidRPr="00D62969">
              <w:rPr>
                <w:rFonts w:ascii="Arial" w:hAnsi="Arial" w:cs="Arial"/>
                <w:b/>
                <w:bCs/>
                <w:szCs w:val="19"/>
                <w:lang w:eastAsia="en-US"/>
              </w:rPr>
              <w:t>Hluk na</w:t>
            </w:r>
          </w:p>
          <w:p w14:paraId="23A27A36" w14:textId="77777777" w:rsidR="00E65CA9" w:rsidRPr="00D62969" w:rsidRDefault="00E65CA9" w:rsidP="00CF6787">
            <w:pPr>
              <w:widowControl/>
              <w:autoSpaceDE w:val="0"/>
              <w:autoSpaceDN w:val="0"/>
              <w:adjustRightInd w:val="0"/>
              <w:jc w:val="center"/>
              <w:rPr>
                <w:rFonts w:ascii="Arial" w:hAnsi="Arial" w:cs="Arial"/>
                <w:b/>
                <w:bCs/>
                <w:szCs w:val="19"/>
                <w:lang w:eastAsia="en-US"/>
              </w:rPr>
            </w:pPr>
            <w:r w:rsidRPr="00D62969">
              <w:rPr>
                <w:rFonts w:ascii="Arial" w:hAnsi="Arial" w:cs="Arial"/>
                <w:b/>
                <w:bCs/>
                <w:szCs w:val="19"/>
                <w:lang w:eastAsia="en-US"/>
              </w:rPr>
              <w:t>pracovisku</w:t>
            </w:r>
          </w:p>
          <w:p w14:paraId="2B37287C" w14:textId="77777777" w:rsidR="00E65CA9" w:rsidRPr="00D62969" w:rsidRDefault="00E65CA9" w:rsidP="00CF6787">
            <w:pPr>
              <w:widowControl/>
              <w:autoSpaceDE w:val="0"/>
              <w:autoSpaceDN w:val="0"/>
              <w:adjustRightInd w:val="0"/>
              <w:jc w:val="center"/>
              <w:rPr>
                <w:rFonts w:ascii="Arial" w:hAnsi="Arial" w:cs="Arial"/>
                <w:b/>
                <w:bCs/>
                <w:szCs w:val="19"/>
                <w:lang w:eastAsia="en-US"/>
              </w:rPr>
            </w:pPr>
            <w:r w:rsidRPr="00D62969">
              <w:rPr>
                <w:rFonts w:ascii="Arial" w:hAnsi="Arial" w:cs="Arial"/>
                <w:b/>
                <w:bCs/>
                <w:szCs w:val="19"/>
                <w:lang w:eastAsia="en-US"/>
              </w:rPr>
              <w:t>L</w:t>
            </w:r>
            <w:r w:rsidRPr="00D62969">
              <w:rPr>
                <w:rFonts w:ascii="Arial" w:hAnsi="Arial" w:cs="Arial"/>
                <w:b/>
                <w:bCs/>
                <w:szCs w:val="10"/>
                <w:vertAlign w:val="subscript"/>
                <w:lang w:eastAsia="en-US"/>
              </w:rPr>
              <w:t xml:space="preserve">AEX,8h </w:t>
            </w:r>
            <w:r w:rsidRPr="00D62969">
              <w:rPr>
                <w:rFonts w:ascii="Arial" w:hAnsi="Arial" w:cs="Arial"/>
                <w:b/>
                <w:bCs/>
                <w:szCs w:val="19"/>
                <w:lang w:eastAsia="en-US"/>
              </w:rPr>
              <w:t>(dB)</w:t>
            </w:r>
          </w:p>
        </w:tc>
      </w:tr>
      <w:tr w:rsidR="00D62969" w:rsidRPr="00D62969" w14:paraId="00EEC759" w14:textId="77777777" w:rsidTr="00CF6787">
        <w:tc>
          <w:tcPr>
            <w:tcW w:w="970" w:type="dxa"/>
          </w:tcPr>
          <w:p w14:paraId="1B4BFC1A" w14:textId="77777777" w:rsidR="00E65CA9" w:rsidRPr="00D62969" w:rsidRDefault="00E65CA9" w:rsidP="00CF6787">
            <w:pPr>
              <w:widowControl/>
              <w:autoSpaceDE w:val="0"/>
              <w:autoSpaceDN w:val="0"/>
              <w:adjustRightInd w:val="0"/>
              <w:jc w:val="both"/>
              <w:rPr>
                <w:rFonts w:ascii="Arial" w:hAnsi="Arial" w:cs="Arial"/>
                <w:b/>
                <w:bCs/>
                <w:szCs w:val="19"/>
                <w:lang w:eastAsia="en-US"/>
              </w:rPr>
            </w:pPr>
            <w:r w:rsidRPr="00D62969">
              <w:rPr>
                <w:rFonts w:ascii="Arial" w:hAnsi="Arial" w:cs="Arial"/>
                <w:szCs w:val="19"/>
                <w:lang w:eastAsia="en-US"/>
              </w:rPr>
              <w:t>I</w:t>
            </w:r>
          </w:p>
        </w:tc>
        <w:tc>
          <w:tcPr>
            <w:tcW w:w="5940" w:type="dxa"/>
          </w:tcPr>
          <w:p w14:paraId="4D132BF7" w14:textId="77777777" w:rsidR="00E65CA9" w:rsidRPr="00D62969" w:rsidRDefault="00E65CA9" w:rsidP="00CF6787">
            <w:pPr>
              <w:widowControl/>
              <w:autoSpaceDE w:val="0"/>
              <w:autoSpaceDN w:val="0"/>
              <w:adjustRightInd w:val="0"/>
              <w:jc w:val="both"/>
              <w:rPr>
                <w:rFonts w:ascii="Arial" w:hAnsi="Arial" w:cs="Arial"/>
                <w:b/>
                <w:bCs/>
                <w:szCs w:val="19"/>
                <w:lang w:eastAsia="en-US"/>
              </w:rPr>
            </w:pPr>
            <w:r w:rsidRPr="00D62969">
              <w:rPr>
                <w:rFonts w:ascii="Arial" w:hAnsi="Arial" w:cs="Arial"/>
                <w:szCs w:val="19"/>
                <w:lang w:eastAsia="en-US"/>
              </w:rPr>
              <w:t xml:space="preserve">Činnosť vyžadujúca nepretržité sústredenie alebo nerušené dorozumievanie; tvorivá činnosť </w:t>
            </w:r>
          </w:p>
        </w:tc>
        <w:tc>
          <w:tcPr>
            <w:tcW w:w="2302" w:type="dxa"/>
          </w:tcPr>
          <w:p w14:paraId="738A773F" w14:textId="77777777" w:rsidR="00E65CA9" w:rsidRPr="00D62969" w:rsidRDefault="00E65CA9" w:rsidP="00CF6787">
            <w:pPr>
              <w:widowControl/>
              <w:autoSpaceDE w:val="0"/>
              <w:autoSpaceDN w:val="0"/>
              <w:adjustRightInd w:val="0"/>
              <w:jc w:val="center"/>
              <w:rPr>
                <w:rFonts w:ascii="Arial" w:hAnsi="Arial" w:cs="Arial"/>
                <w:szCs w:val="19"/>
                <w:lang w:eastAsia="en-US"/>
              </w:rPr>
            </w:pPr>
            <w:r w:rsidRPr="00D62969">
              <w:rPr>
                <w:rFonts w:ascii="Arial" w:hAnsi="Arial" w:cs="Arial"/>
                <w:szCs w:val="19"/>
                <w:lang w:eastAsia="en-US"/>
              </w:rPr>
              <w:t>40</w:t>
            </w:r>
          </w:p>
          <w:p w14:paraId="220DA7E5" w14:textId="77777777" w:rsidR="00E65CA9" w:rsidRPr="00D62969" w:rsidRDefault="00E65CA9" w:rsidP="00CF6787">
            <w:pPr>
              <w:widowControl/>
              <w:autoSpaceDE w:val="0"/>
              <w:autoSpaceDN w:val="0"/>
              <w:adjustRightInd w:val="0"/>
              <w:jc w:val="center"/>
              <w:rPr>
                <w:rFonts w:ascii="Arial" w:hAnsi="Arial" w:cs="Arial"/>
                <w:b/>
                <w:bCs/>
                <w:szCs w:val="19"/>
                <w:lang w:eastAsia="en-US"/>
              </w:rPr>
            </w:pPr>
          </w:p>
        </w:tc>
      </w:tr>
      <w:tr w:rsidR="00D62969" w:rsidRPr="00D62969" w14:paraId="1FED3FDB" w14:textId="77777777" w:rsidTr="00CF6787">
        <w:tc>
          <w:tcPr>
            <w:tcW w:w="970" w:type="dxa"/>
          </w:tcPr>
          <w:p w14:paraId="63625BED" w14:textId="77777777" w:rsidR="00E65CA9" w:rsidRPr="00D62969" w:rsidRDefault="00E65CA9" w:rsidP="00CF6787">
            <w:pPr>
              <w:widowControl/>
              <w:autoSpaceDE w:val="0"/>
              <w:autoSpaceDN w:val="0"/>
              <w:adjustRightInd w:val="0"/>
              <w:jc w:val="both"/>
              <w:rPr>
                <w:rFonts w:ascii="Arial" w:hAnsi="Arial" w:cs="Arial"/>
                <w:szCs w:val="19"/>
                <w:lang w:eastAsia="en-US"/>
              </w:rPr>
            </w:pPr>
            <w:r w:rsidRPr="00D62969">
              <w:rPr>
                <w:rFonts w:ascii="Arial" w:hAnsi="Arial" w:cs="Arial"/>
                <w:szCs w:val="19"/>
                <w:lang w:eastAsia="en-US"/>
              </w:rPr>
              <w:t>II</w:t>
            </w:r>
          </w:p>
          <w:p w14:paraId="4F6D6E96" w14:textId="77777777" w:rsidR="00E65CA9" w:rsidRPr="00D62969" w:rsidRDefault="00E65CA9" w:rsidP="00CF6787">
            <w:pPr>
              <w:widowControl/>
              <w:autoSpaceDE w:val="0"/>
              <w:autoSpaceDN w:val="0"/>
              <w:adjustRightInd w:val="0"/>
              <w:jc w:val="both"/>
              <w:rPr>
                <w:rFonts w:ascii="Arial" w:hAnsi="Arial" w:cs="Arial"/>
                <w:b/>
                <w:bCs/>
                <w:szCs w:val="19"/>
                <w:lang w:eastAsia="en-US"/>
              </w:rPr>
            </w:pPr>
          </w:p>
        </w:tc>
        <w:tc>
          <w:tcPr>
            <w:tcW w:w="5940" w:type="dxa"/>
          </w:tcPr>
          <w:p w14:paraId="34384D7B" w14:textId="77777777" w:rsidR="00E65CA9" w:rsidRPr="00D62969" w:rsidRDefault="00E65CA9" w:rsidP="00CF6787">
            <w:pPr>
              <w:widowControl/>
              <w:autoSpaceDE w:val="0"/>
              <w:autoSpaceDN w:val="0"/>
              <w:adjustRightInd w:val="0"/>
              <w:jc w:val="both"/>
              <w:rPr>
                <w:rFonts w:ascii="Arial" w:hAnsi="Arial" w:cs="Arial"/>
                <w:b/>
                <w:bCs/>
                <w:szCs w:val="19"/>
                <w:lang w:eastAsia="en-US"/>
              </w:rPr>
            </w:pPr>
            <w:r w:rsidRPr="00D62969">
              <w:rPr>
                <w:rFonts w:ascii="Arial" w:hAnsi="Arial" w:cs="Arial"/>
                <w:szCs w:val="19"/>
                <w:lang w:eastAsia="en-US"/>
              </w:rPr>
              <w:t>Činnosť, pri ktorej dorozumievanie predstavuje dôležitú súčasť vykonávanej práce; činnosť, pri ktorej sú veľké nároky na presnosť, rýchlosť alebo pozornosť</w:t>
            </w:r>
          </w:p>
        </w:tc>
        <w:tc>
          <w:tcPr>
            <w:tcW w:w="2302" w:type="dxa"/>
          </w:tcPr>
          <w:p w14:paraId="6F012B1E" w14:textId="77777777" w:rsidR="00E65CA9" w:rsidRPr="00D62969" w:rsidRDefault="00E65CA9" w:rsidP="00CF6787">
            <w:pPr>
              <w:widowControl/>
              <w:autoSpaceDE w:val="0"/>
              <w:autoSpaceDN w:val="0"/>
              <w:adjustRightInd w:val="0"/>
              <w:jc w:val="center"/>
              <w:rPr>
                <w:rFonts w:ascii="Arial" w:hAnsi="Arial" w:cs="Arial"/>
                <w:szCs w:val="19"/>
                <w:lang w:eastAsia="en-US"/>
              </w:rPr>
            </w:pPr>
            <w:r w:rsidRPr="00D62969">
              <w:rPr>
                <w:rFonts w:ascii="Arial" w:hAnsi="Arial" w:cs="Arial"/>
                <w:szCs w:val="19"/>
                <w:lang w:eastAsia="en-US"/>
              </w:rPr>
              <w:t>50</w:t>
            </w:r>
          </w:p>
          <w:p w14:paraId="1AE00A06" w14:textId="77777777" w:rsidR="00E65CA9" w:rsidRPr="00D62969" w:rsidRDefault="00E65CA9" w:rsidP="00CF6787">
            <w:pPr>
              <w:widowControl/>
              <w:autoSpaceDE w:val="0"/>
              <w:autoSpaceDN w:val="0"/>
              <w:adjustRightInd w:val="0"/>
              <w:jc w:val="center"/>
              <w:rPr>
                <w:rFonts w:ascii="Arial" w:hAnsi="Arial" w:cs="Arial"/>
                <w:b/>
                <w:bCs/>
                <w:szCs w:val="19"/>
                <w:lang w:eastAsia="en-US"/>
              </w:rPr>
            </w:pPr>
          </w:p>
        </w:tc>
      </w:tr>
      <w:tr w:rsidR="00C231EA" w:rsidRPr="004A7717" w14:paraId="1CA37C0F" w14:textId="77777777" w:rsidTr="00CF6787">
        <w:trPr>
          <w:trHeight w:val="486"/>
        </w:trPr>
        <w:tc>
          <w:tcPr>
            <w:tcW w:w="970" w:type="dxa"/>
          </w:tcPr>
          <w:p w14:paraId="6BB76675" w14:textId="77777777" w:rsidR="00E65CA9" w:rsidRPr="00D62969" w:rsidRDefault="00E65CA9" w:rsidP="00CF6787">
            <w:pPr>
              <w:widowControl/>
              <w:autoSpaceDE w:val="0"/>
              <w:autoSpaceDN w:val="0"/>
              <w:adjustRightInd w:val="0"/>
              <w:jc w:val="both"/>
              <w:rPr>
                <w:rFonts w:ascii="Arial" w:hAnsi="Arial" w:cs="Arial"/>
                <w:szCs w:val="19"/>
                <w:lang w:eastAsia="en-US"/>
              </w:rPr>
            </w:pPr>
            <w:r w:rsidRPr="00D62969">
              <w:rPr>
                <w:rFonts w:ascii="Arial" w:hAnsi="Arial" w:cs="Arial"/>
                <w:szCs w:val="19"/>
                <w:lang w:eastAsia="en-US"/>
              </w:rPr>
              <w:t>III</w:t>
            </w:r>
          </w:p>
          <w:p w14:paraId="75E295A7" w14:textId="77777777" w:rsidR="00E65CA9" w:rsidRPr="00D62969" w:rsidRDefault="00E65CA9" w:rsidP="00CF6787">
            <w:pPr>
              <w:widowControl/>
              <w:autoSpaceDE w:val="0"/>
              <w:autoSpaceDN w:val="0"/>
              <w:adjustRightInd w:val="0"/>
              <w:jc w:val="both"/>
              <w:rPr>
                <w:rFonts w:ascii="Arial" w:hAnsi="Arial" w:cs="Arial"/>
                <w:b/>
                <w:bCs/>
                <w:szCs w:val="19"/>
                <w:lang w:eastAsia="en-US"/>
              </w:rPr>
            </w:pPr>
          </w:p>
        </w:tc>
        <w:tc>
          <w:tcPr>
            <w:tcW w:w="5940" w:type="dxa"/>
          </w:tcPr>
          <w:p w14:paraId="10943151" w14:textId="77777777" w:rsidR="00E65CA9" w:rsidRPr="00D62969" w:rsidRDefault="00E65CA9" w:rsidP="00CF6787">
            <w:pPr>
              <w:widowControl/>
              <w:autoSpaceDE w:val="0"/>
              <w:autoSpaceDN w:val="0"/>
              <w:adjustRightInd w:val="0"/>
              <w:jc w:val="both"/>
              <w:rPr>
                <w:rFonts w:ascii="Arial" w:hAnsi="Arial" w:cs="Arial"/>
                <w:b/>
                <w:bCs/>
                <w:szCs w:val="19"/>
                <w:lang w:eastAsia="en-US"/>
              </w:rPr>
            </w:pPr>
            <w:r w:rsidRPr="00D62969">
              <w:rPr>
                <w:rFonts w:ascii="Arial" w:hAnsi="Arial" w:cs="Arial"/>
                <w:szCs w:val="19"/>
                <w:lang w:eastAsia="en-US"/>
              </w:rPr>
              <w:t>Činnosť rutinnej povahy, pri ktorej je dorozumievanie súčasťou vykonávanej práce; činnosť vykonávaná na základe čiastkových sluchových informácií</w:t>
            </w:r>
          </w:p>
        </w:tc>
        <w:tc>
          <w:tcPr>
            <w:tcW w:w="2302" w:type="dxa"/>
          </w:tcPr>
          <w:p w14:paraId="20349777" w14:textId="77777777" w:rsidR="00E65CA9" w:rsidRPr="00D62969" w:rsidRDefault="00E65CA9" w:rsidP="00CF6787">
            <w:pPr>
              <w:widowControl/>
              <w:autoSpaceDE w:val="0"/>
              <w:autoSpaceDN w:val="0"/>
              <w:adjustRightInd w:val="0"/>
              <w:jc w:val="center"/>
              <w:rPr>
                <w:rFonts w:ascii="Arial" w:hAnsi="Arial" w:cs="Arial"/>
                <w:b/>
                <w:bCs/>
                <w:szCs w:val="19"/>
                <w:lang w:eastAsia="en-US"/>
              </w:rPr>
            </w:pPr>
            <w:r w:rsidRPr="00D62969">
              <w:rPr>
                <w:rFonts w:ascii="Arial" w:hAnsi="Arial" w:cs="Arial"/>
                <w:szCs w:val="19"/>
                <w:lang w:eastAsia="en-US"/>
              </w:rPr>
              <w:t>65</w:t>
            </w:r>
          </w:p>
        </w:tc>
      </w:tr>
      <w:tr w:rsidR="00C231EA" w:rsidRPr="004A7717" w14:paraId="032BC733" w14:textId="77777777" w:rsidTr="00CF6787">
        <w:tc>
          <w:tcPr>
            <w:tcW w:w="970" w:type="dxa"/>
          </w:tcPr>
          <w:p w14:paraId="46DB1E65" w14:textId="77777777" w:rsidR="00E65CA9" w:rsidRPr="00D62969" w:rsidRDefault="00E65CA9" w:rsidP="00CF6787">
            <w:pPr>
              <w:widowControl/>
              <w:autoSpaceDE w:val="0"/>
              <w:autoSpaceDN w:val="0"/>
              <w:adjustRightInd w:val="0"/>
              <w:jc w:val="both"/>
              <w:rPr>
                <w:rFonts w:ascii="Arial" w:hAnsi="Arial" w:cs="Arial"/>
                <w:szCs w:val="19"/>
                <w:lang w:eastAsia="en-US"/>
              </w:rPr>
            </w:pPr>
            <w:r w:rsidRPr="00D62969">
              <w:rPr>
                <w:rFonts w:ascii="Arial" w:hAnsi="Arial" w:cs="Arial"/>
                <w:szCs w:val="19"/>
                <w:lang w:eastAsia="en-US"/>
              </w:rPr>
              <w:t>IV</w:t>
            </w:r>
          </w:p>
          <w:p w14:paraId="5F29E573" w14:textId="77777777" w:rsidR="00E65CA9" w:rsidRPr="00D62969" w:rsidRDefault="00E65CA9" w:rsidP="00CF6787">
            <w:pPr>
              <w:widowControl/>
              <w:autoSpaceDE w:val="0"/>
              <w:autoSpaceDN w:val="0"/>
              <w:adjustRightInd w:val="0"/>
              <w:jc w:val="both"/>
              <w:rPr>
                <w:rFonts w:ascii="Arial" w:hAnsi="Arial" w:cs="Arial"/>
                <w:b/>
                <w:bCs/>
                <w:szCs w:val="19"/>
                <w:lang w:eastAsia="en-US"/>
              </w:rPr>
            </w:pPr>
          </w:p>
        </w:tc>
        <w:tc>
          <w:tcPr>
            <w:tcW w:w="5940" w:type="dxa"/>
          </w:tcPr>
          <w:p w14:paraId="65546808" w14:textId="77777777" w:rsidR="00E65CA9" w:rsidRPr="00D62969" w:rsidRDefault="00E65CA9" w:rsidP="00CF6787">
            <w:pPr>
              <w:widowControl/>
              <w:autoSpaceDE w:val="0"/>
              <w:autoSpaceDN w:val="0"/>
              <w:adjustRightInd w:val="0"/>
              <w:jc w:val="both"/>
              <w:rPr>
                <w:rFonts w:ascii="Arial" w:hAnsi="Arial" w:cs="Arial"/>
                <w:b/>
                <w:bCs/>
                <w:szCs w:val="19"/>
                <w:lang w:eastAsia="en-US"/>
              </w:rPr>
            </w:pPr>
            <w:r w:rsidRPr="00D62969">
              <w:rPr>
                <w:rFonts w:ascii="Arial" w:hAnsi="Arial" w:cs="Arial"/>
                <w:szCs w:val="19"/>
                <w:lang w:eastAsia="en-US"/>
              </w:rPr>
              <w:t>Činnosť, pri ktorej sa používajú hlučné stroje a nástroje alebo ktorá je vykonávaná v hlučnom prostredí a ktorá nespĺňa podmienky zaradenia do skupín I, II alebo III</w:t>
            </w:r>
          </w:p>
        </w:tc>
        <w:tc>
          <w:tcPr>
            <w:tcW w:w="2302" w:type="dxa"/>
          </w:tcPr>
          <w:p w14:paraId="7227F363" w14:textId="77777777" w:rsidR="00E65CA9" w:rsidRPr="00D62969" w:rsidRDefault="00E65CA9" w:rsidP="00CF6787">
            <w:pPr>
              <w:widowControl/>
              <w:autoSpaceDE w:val="0"/>
              <w:autoSpaceDN w:val="0"/>
              <w:adjustRightInd w:val="0"/>
              <w:jc w:val="center"/>
              <w:rPr>
                <w:rFonts w:ascii="Arial" w:hAnsi="Arial" w:cs="Arial"/>
                <w:szCs w:val="19"/>
                <w:lang w:eastAsia="en-US"/>
              </w:rPr>
            </w:pPr>
            <w:r w:rsidRPr="00D62969">
              <w:rPr>
                <w:rFonts w:ascii="Arial" w:hAnsi="Arial" w:cs="Arial"/>
                <w:szCs w:val="19"/>
                <w:lang w:eastAsia="en-US"/>
              </w:rPr>
              <w:t>80</w:t>
            </w:r>
          </w:p>
          <w:p w14:paraId="01B1202B" w14:textId="77777777" w:rsidR="00E65CA9" w:rsidRPr="00D62969" w:rsidRDefault="00E65CA9" w:rsidP="00CF6787">
            <w:pPr>
              <w:widowControl/>
              <w:autoSpaceDE w:val="0"/>
              <w:autoSpaceDN w:val="0"/>
              <w:adjustRightInd w:val="0"/>
              <w:jc w:val="center"/>
              <w:rPr>
                <w:rFonts w:ascii="Arial" w:hAnsi="Arial" w:cs="Arial"/>
                <w:b/>
                <w:bCs/>
                <w:szCs w:val="19"/>
                <w:lang w:eastAsia="en-US"/>
              </w:rPr>
            </w:pPr>
          </w:p>
        </w:tc>
      </w:tr>
    </w:tbl>
    <w:p w14:paraId="41859E23" w14:textId="77777777" w:rsidR="00E65CA9" w:rsidRPr="00CC5418" w:rsidRDefault="00E65CA9" w:rsidP="00947F2A">
      <w:pPr>
        <w:pStyle w:val="A-Text11"/>
      </w:pPr>
      <w:r w:rsidRPr="00CC5418">
        <w:rPr>
          <w:bCs/>
          <w:i/>
          <w:iCs/>
        </w:rPr>
        <w:t>Nariadenie vlády SR č. 387/2006 Z.z.</w:t>
      </w:r>
      <w:r w:rsidRPr="00CC5418">
        <w:t xml:space="preserve"> o požiadavkách na zaistenie bezpečnostného a zdravotného označenia pri práci.</w:t>
      </w:r>
    </w:p>
    <w:p w14:paraId="3E106E71" w14:textId="77777777" w:rsidR="00E65CA9" w:rsidRPr="00CC5418" w:rsidRDefault="00E65CA9" w:rsidP="00947F2A">
      <w:pPr>
        <w:pStyle w:val="A-Text11"/>
      </w:pPr>
      <w:r w:rsidRPr="00CC5418">
        <w:rPr>
          <w:bCs/>
          <w:i/>
          <w:iCs/>
        </w:rPr>
        <w:t>Nariadenie vlády SR č. 392/2006 Z.z.</w:t>
      </w:r>
      <w:r w:rsidRPr="00CC5418">
        <w:t xml:space="preserve"> o minimálnych bezpečnostných a zdravotných požiadavkách pri používaní pracovných prostriedkov.</w:t>
      </w:r>
    </w:p>
    <w:p w14:paraId="1769AD0F" w14:textId="77777777" w:rsidR="00E65CA9" w:rsidRPr="00CC5418" w:rsidRDefault="00E65CA9" w:rsidP="00947F2A">
      <w:pPr>
        <w:pStyle w:val="A-Text11"/>
      </w:pPr>
      <w:r w:rsidRPr="00CC5418">
        <w:rPr>
          <w:bCs/>
          <w:i/>
          <w:iCs/>
        </w:rPr>
        <w:t>Nariadenie vlády SR č. 395/2006 Z.z</w:t>
      </w:r>
      <w:r w:rsidRPr="00CC5418">
        <w:rPr>
          <w:i/>
          <w:iCs/>
        </w:rPr>
        <w:t>.</w:t>
      </w:r>
      <w:r w:rsidRPr="00CC5418">
        <w:t xml:space="preserve"> o minimálnych požiadavkách na poskytovanie a používanie osobných ochranných pracovných prostriedkov.</w:t>
      </w:r>
    </w:p>
    <w:p w14:paraId="4C20E147" w14:textId="77777777" w:rsidR="00E65CA9" w:rsidRPr="00CC5418" w:rsidRDefault="00E65CA9" w:rsidP="00947F2A">
      <w:pPr>
        <w:pStyle w:val="A-Text11"/>
      </w:pPr>
      <w:r w:rsidRPr="00CC5418">
        <w:rPr>
          <w:bCs/>
          <w:i/>
          <w:iCs/>
        </w:rPr>
        <w:t>Nariadenie vlády SR č. 396/2006 Z.z</w:t>
      </w:r>
      <w:r w:rsidRPr="00CC5418">
        <w:rPr>
          <w:i/>
          <w:iCs/>
        </w:rPr>
        <w:t>.</w:t>
      </w:r>
      <w:r w:rsidRPr="00CC5418">
        <w:t xml:space="preserve"> o minimálnych bezpečnostných a zdravotných požiadavkách na stavenisko.</w:t>
      </w:r>
    </w:p>
    <w:p w14:paraId="246F4FEA" w14:textId="77777777" w:rsidR="00E65CA9" w:rsidRPr="00CC5418" w:rsidRDefault="00E65CA9" w:rsidP="00947F2A">
      <w:pPr>
        <w:pStyle w:val="A-Text11"/>
        <w:rPr>
          <w:b/>
        </w:rPr>
      </w:pPr>
      <w:r w:rsidRPr="00CC5418">
        <w:rPr>
          <w:b/>
        </w:rPr>
        <w:t>Opatrenia v oblasti ochrany zdravia</w:t>
      </w:r>
    </w:p>
    <w:p w14:paraId="5D5985CB" w14:textId="77777777" w:rsidR="00E65CA9" w:rsidRPr="00CC5418" w:rsidRDefault="00E65CA9" w:rsidP="00947F2A">
      <w:pPr>
        <w:pStyle w:val="A-Text11"/>
        <w:rPr>
          <w:szCs w:val="24"/>
        </w:rPr>
      </w:pPr>
      <w:r w:rsidRPr="00CC5418">
        <w:t>Základným legislatívnym predpisom je zákon č.</w:t>
      </w:r>
      <w:r w:rsidRPr="00CC5418">
        <w:rPr>
          <w:szCs w:val="24"/>
        </w:rPr>
        <w:t xml:space="preserve"> 355/2007 o ochrane, podpore a rozvoji verejného zdravia a o zmene a doplnení niektorých zákonov.</w:t>
      </w:r>
    </w:p>
    <w:p w14:paraId="4E6EA904" w14:textId="77777777" w:rsidR="00E65CA9" w:rsidRPr="00CC5418" w:rsidRDefault="00E65CA9" w:rsidP="00947F2A">
      <w:pPr>
        <w:pStyle w:val="A-Text11"/>
        <w:rPr>
          <w:szCs w:val="19"/>
        </w:rPr>
      </w:pPr>
      <w:r w:rsidRPr="00CC5418">
        <w:rPr>
          <w:szCs w:val="19"/>
        </w:rPr>
        <w:t xml:space="preserve">Bude  potrebné primerane aplikovať opatrenia, ktoré sú zamerané predovšetkým na </w:t>
      </w:r>
      <w:r w:rsidRPr="00CC5418">
        <w:rPr>
          <w:b/>
          <w:bCs/>
          <w:i/>
          <w:iCs/>
          <w:szCs w:val="19"/>
        </w:rPr>
        <w:t>ochranu zdravia pri práci</w:t>
      </w:r>
      <w:r w:rsidRPr="00CC5418">
        <w:rPr>
          <w:i/>
          <w:iCs/>
          <w:szCs w:val="19"/>
        </w:rPr>
        <w:t xml:space="preserve"> v platných predpisoch, napr.: </w:t>
      </w:r>
      <w:r w:rsidRPr="00CC5418">
        <w:rPr>
          <w:szCs w:val="19"/>
        </w:rPr>
        <w:t xml:space="preserve"> </w:t>
      </w:r>
    </w:p>
    <w:p w14:paraId="0656EA5B" w14:textId="77777777" w:rsidR="00E65CA9" w:rsidRPr="00CC5418" w:rsidRDefault="00E65CA9" w:rsidP="00947F2A">
      <w:pPr>
        <w:pStyle w:val="A-Text11"/>
        <w:rPr>
          <w:szCs w:val="20"/>
        </w:rPr>
      </w:pPr>
      <w:r w:rsidRPr="00CC5418">
        <w:rPr>
          <w:bCs/>
          <w:i/>
          <w:iCs/>
        </w:rPr>
        <w:t>Nariadenie vlády SR č. 281/2006 Z.z.</w:t>
      </w:r>
      <w:r w:rsidRPr="00CC5418">
        <w:t xml:space="preserve"> o minimálnych bezpečnostných a zdravotných požiadavkách pri ručnej manipulácii s bremenami. </w:t>
      </w:r>
    </w:p>
    <w:p w14:paraId="4F6947C0" w14:textId="77777777" w:rsidR="00E65CA9" w:rsidRPr="00CC5418" w:rsidRDefault="00E65CA9" w:rsidP="00947F2A">
      <w:pPr>
        <w:pStyle w:val="A-Text11"/>
      </w:pPr>
      <w:r w:rsidRPr="00CC5418">
        <w:rPr>
          <w:i/>
          <w:iCs/>
          <w:szCs w:val="24"/>
        </w:rPr>
        <w:t>Nariadenie vlády SR č. 329/2006 Z.z.</w:t>
      </w:r>
      <w:r w:rsidRPr="00CC5418">
        <w:rPr>
          <w:szCs w:val="24"/>
        </w:rPr>
        <w:t xml:space="preserve"> o minimálnych zdravotných a bezpečnostných požiadavkách na ochranu zamestnancov pred rizikami súvisiacimi s expozíciou elektromagnetickému poľu.</w:t>
      </w:r>
    </w:p>
    <w:p w14:paraId="14F26E6A" w14:textId="77777777" w:rsidR="00E65CA9" w:rsidRPr="00CC5418" w:rsidRDefault="00E65CA9" w:rsidP="00947F2A">
      <w:pPr>
        <w:pStyle w:val="A-Text11"/>
      </w:pPr>
      <w:r w:rsidRPr="00CC5418">
        <w:rPr>
          <w:bCs/>
          <w:i/>
          <w:iCs/>
        </w:rPr>
        <w:t>Nariadenie vlády SR č. 355/2006 Z.z</w:t>
      </w:r>
      <w:r w:rsidRPr="00CC5418">
        <w:t>. o ochrane zamestnancov pred rizikami súvisiacimi s expozíciou chemickým faktorom pri práci.</w:t>
      </w:r>
    </w:p>
    <w:p w14:paraId="33828DEF" w14:textId="77777777" w:rsidR="00E65CA9" w:rsidRPr="00CC5418" w:rsidRDefault="00E65CA9" w:rsidP="00947F2A">
      <w:pPr>
        <w:pStyle w:val="A-Text11"/>
      </w:pPr>
      <w:r w:rsidRPr="00CC5418">
        <w:rPr>
          <w:i/>
          <w:iCs/>
        </w:rPr>
        <w:t>Nariadenie vlády SR č. 387/2006 Z.z.</w:t>
      </w:r>
      <w:r w:rsidRPr="00CC5418">
        <w:t xml:space="preserve"> o požiadavkách na zaistenie bezpečnostného a zdravotného označenia pri práci.</w:t>
      </w:r>
    </w:p>
    <w:p w14:paraId="328BD0DB" w14:textId="77777777" w:rsidR="00E65CA9" w:rsidRPr="00CC5418" w:rsidRDefault="00E65CA9" w:rsidP="00947F2A">
      <w:pPr>
        <w:pStyle w:val="A-Text11"/>
      </w:pPr>
      <w:r w:rsidRPr="00CC5418">
        <w:rPr>
          <w:bCs/>
          <w:i/>
          <w:iCs/>
        </w:rPr>
        <w:lastRenderedPageBreak/>
        <w:t>Nariadenie vlády SR č. 391/2006 Z.z</w:t>
      </w:r>
      <w:r w:rsidRPr="00CC5418">
        <w:t>. o minimálnych bezpečnostných a zdravotných požiadavkách na pracovisko.</w:t>
      </w:r>
    </w:p>
    <w:p w14:paraId="38D842E4" w14:textId="77777777" w:rsidR="00E65CA9" w:rsidRPr="00CC5418" w:rsidRDefault="00E65CA9" w:rsidP="00947F2A">
      <w:pPr>
        <w:pStyle w:val="A-Text11"/>
      </w:pPr>
      <w:r w:rsidRPr="00CC5418">
        <w:rPr>
          <w:i/>
          <w:iCs/>
        </w:rPr>
        <w:t>Nariadenie vlády SR č. 392/2006 Z.z</w:t>
      </w:r>
      <w:r w:rsidRPr="00CC5418">
        <w:rPr>
          <w:bCs/>
        </w:rPr>
        <w:t>.</w:t>
      </w:r>
      <w:r w:rsidRPr="00CC5418">
        <w:t xml:space="preserve"> o minimálnych bezpečnostných a zdravotných požiadavkách pri používaní pracovných prostriedkov.</w:t>
      </w:r>
    </w:p>
    <w:p w14:paraId="5B8AFCCB" w14:textId="77777777" w:rsidR="00E65CA9" w:rsidRPr="00CC5418" w:rsidRDefault="00E65CA9" w:rsidP="00947F2A">
      <w:pPr>
        <w:pStyle w:val="A-Text11"/>
      </w:pPr>
      <w:r w:rsidRPr="00CC5418">
        <w:rPr>
          <w:i/>
          <w:iCs/>
        </w:rPr>
        <w:t>Nariadenie vlády SR č. 395/2006 Z.z.</w:t>
      </w:r>
      <w:r w:rsidRPr="00CC5418">
        <w:t xml:space="preserve"> o minimálnych požiadavkách na poskytovanie a používanie osobných ochranných pracovných prostriedkov.</w:t>
      </w:r>
    </w:p>
    <w:p w14:paraId="7E10DB06" w14:textId="77777777" w:rsidR="00E65CA9" w:rsidRPr="00CC5418" w:rsidRDefault="00E65CA9" w:rsidP="00947F2A">
      <w:pPr>
        <w:pStyle w:val="A-Text11"/>
        <w:rPr>
          <w:szCs w:val="19"/>
        </w:rPr>
      </w:pPr>
      <w:r w:rsidRPr="00CC5418">
        <w:rPr>
          <w:szCs w:val="19"/>
        </w:rPr>
        <w:t>Osobný ochranný pracovný prostriedok zamestnávateľ poskytuje zamestnancovi, ak nebezpečenstvo nemožno vylúčiť ani obmedziť technickými prostriedkami, prostriedkami kolektívnej ochrany ani metódami a formami organizácie práce.</w:t>
      </w:r>
    </w:p>
    <w:p w14:paraId="67AF68DE" w14:textId="77777777" w:rsidR="00E65CA9" w:rsidRPr="00CC5418" w:rsidRDefault="00E65CA9" w:rsidP="00947F2A">
      <w:pPr>
        <w:pStyle w:val="A-Text11"/>
      </w:pPr>
      <w:r w:rsidRPr="00CC5418">
        <w:rPr>
          <w:i/>
          <w:iCs/>
        </w:rPr>
        <w:t>Nariadenie vlády SR č. 410/2007 Z.z.</w:t>
      </w:r>
      <w:r w:rsidRPr="00CC5418">
        <w:t xml:space="preserve"> o minimálnych zdravotných a bezpečnostných požiadavkách na ochranu zamestnancov pred rizikami súvisiacimi s expozíciou umelému optickému žiareniu.</w:t>
      </w:r>
    </w:p>
    <w:p w14:paraId="4F56F7DF" w14:textId="77777777" w:rsidR="00E65CA9" w:rsidRPr="00CC5418" w:rsidRDefault="00E65CA9" w:rsidP="00947F2A">
      <w:pPr>
        <w:pStyle w:val="A-Text11"/>
        <w:rPr>
          <w:bCs/>
        </w:rPr>
      </w:pPr>
      <w:r w:rsidRPr="00CC5418">
        <w:rPr>
          <w:bCs/>
          <w:i/>
        </w:rPr>
        <w:t>Nariadenie vlády SR č. 83/2013 Z.z.</w:t>
      </w:r>
      <w:r w:rsidRPr="00CC5418">
        <w:rPr>
          <w:bCs/>
        </w:rPr>
        <w:t xml:space="preserve"> o ochrane zdravia zamestnancov pred rizikami súvisiacimi s expozíciou biologickým faktorom pri práci.</w:t>
      </w:r>
    </w:p>
    <w:p w14:paraId="566FFD14" w14:textId="77777777" w:rsidR="00E65CA9" w:rsidRPr="00CC5418" w:rsidRDefault="00E65CA9" w:rsidP="00947F2A">
      <w:pPr>
        <w:pStyle w:val="A-Text11"/>
      </w:pPr>
      <w:r w:rsidRPr="00CC5418">
        <w:rPr>
          <w:i/>
          <w:iCs/>
        </w:rPr>
        <w:t>Vyhláška MZ SR č. 448/2007 Z.z</w:t>
      </w:r>
      <w:r w:rsidRPr="00CC5418">
        <w:rPr>
          <w:bCs/>
        </w:rPr>
        <w:t>.</w:t>
      </w:r>
      <w:r w:rsidRPr="00CC5418">
        <w:t xml:space="preserve"> </w:t>
      </w:r>
      <w:r w:rsidRPr="00CC5418">
        <w:rPr>
          <w:szCs w:val="21"/>
        </w:rPr>
        <w:t>o podrobnostiach o faktoroch práce a pracovného prostredia vo vzťahu ku kategorizácii prác z hľadiska zdravotných rizík a o náležitostiach návrhu na zaradenie prác do kategórií.</w:t>
      </w:r>
    </w:p>
    <w:p w14:paraId="214CC4A8" w14:textId="77777777" w:rsidR="00E65CA9" w:rsidRPr="00CC5418" w:rsidRDefault="00E65CA9" w:rsidP="00947F2A">
      <w:pPr>
        <w:pStyle w:val="A-Text11"/>
      </w:pPr>
      <w:r w:rsidRPr="00CC5418">
        <w:rPr>
          <w:i/>
          <w:iCs/>
        </w:rPr>
        <w:t>Vyhláška MZ SR č. 534/2007 Z.z.</w:t>
      </w:r>
      <w:r w:rsidRPr="00CC5418">
        <w:t xml:space="preserve"> o podrobnostiach o požiadavkách na zdroje elektromagnetického žiarenia a na limity expozície obyvateľov elektromagnetickému žiareniu v životnom prostredí.</w:t>
      </w:r>
    </w:p>
    <w:p w14:paraId="19211316" w14:textId="77777777" w:rsidR="00E65CA9" w:rsidRPr="00CC5418" w:rsidRDefault="00E65CA9" w:rsidP="00947F2A">
      <w:pPr>
        <w:pStyle w:val="A-Text11"/>
      </w:pPr>
      <w:r w:rsidRPr="00CC5418">
        <w:rPr>
          <w:i/>
          <w:iCs/>
        </w:rPr>
        <w:t>Vyhláška MZ SR č. 542/2007 Z.z</w:t>
      </w:r>
      <w:r w:rsidRPr="00CC5418">
        <w:rPr>
          <w:bCs/>
        </w:rPr>
        <w:t>.</w:t>
      </w:r>
      <w:r w:rsidRPr="00CC5418">
        <w:t xml:space="preserve"> o podrobnostiach o ochrane zdravia pred fyzickou, záťažou pri práci, psychickou pracovnou záťažou a senzorickou záťažou pri práci.</w:t>
      </w:r>
    </w:p>
    <w:p w14:paraId="24E5F35C" w14:textId="77777777" w:rsidR="00E65CA9" w:rsidRPr="00CC5418" w:rsidRDefault="00E65CA9" w:rsidP="00947F2A">
      <w:pPr>
        <w:pStyle w:val="A-Text11"/>
      </w:pPr>
      <w:r w:rsidRPr="00CC5418">
        <w:rPr>
          <w:i/>
          <w:iCs/>
        </w:rPr>
        <w:t>Vyhláška MZ SR č. 549/2007 Z.z.</w:t>
      </w:r>
      <w:r w:rsidRPr="00CC5418">
        <w:t xml:space="preserve"> ktorou sa ustanovujú podrobnosti o prípustných hodnotách hluku, infrazvuku a vibrácií v životnom prostredí.</w:t>
      </w:r>
    </w:p>
    <w:p w14:paraId="6C543E49" w14:textId="77777777" w:rsidR="00E65CA9" w:rsidRPr="00CC5418" w:rsidRDefault="00E65CA9" w:rsidP="00947F2A">
      <w:pPr>
        <w:pStyle w:val="A-Text11"/>
        <w:rPr>
          <w:bCs/>
        </w:rPr>
      </w:pPr>
      <w:r w:rsidRPr="00CC5418">
        <w:rPr>
          <w:bCs/>
          <w:i/>
        </w:rPr>
        <w:t>Vyhláška MPSVaR SR č. 147/2013 Z.z.</w:t>
      </w:r>
      <w:r w:rsidRPr="00CC5418">
        <w:rPr>
          <w:bCs/>
        </w:rPr>
        <w:t xml:space="preserve"> ktorou sa ustanovujú podrobnosti na zaistenie bezpečnosti a ochrany zdravia pri stavebných prácach a prácach s nimi súvisiacich a podrobnosti o odbornej spôsobilosti na výkon niektorých pracovných činností.</w:t>
      </w:r>
    </w:p>
    <w:p w14:paraId="76E65ED1" w14:textId="60B10AEB" w:rsidR="00E65CA9" w:rsidRPr="00CC5418" w:rsidRDefault="00E65CA9" w:rsidP="00947F2A">
      <w:pPr>
        <w:pStyle w:val="A-Text11"/>
      </w:pPr>
      <w:r w:rsidRPr="00CC5418">
        <w:t>V etape výstavby sú dodávateľské organizácie  povinné vykonávať hlavne tieto opatrenia:</w:t>
      </w:r>
    </w:p>
    <w:p w14:paraId="7ED07221" w14:textId="77777777" w:rsidR="00E65CA9" w:rsidRPr="00CC5418" w:rsidRDefault="00E65CA9" w:rsidP="0095439F">
      <w:pPr>
        <w:widowControl/>
        <w:numPr>
          <w:ilvl w:val="0"/>
          <w:numId w:val="7"/>
        </w:numPr>
        <w:ind w:left="714" w:hanging="357"/>
        <w:jc w:val="both"/>
        <w:rPr>
          <w:rFonts w:ascii="Arial" w:hAnsi="Arial" w:cs="Arial"/>
          <w:sz w:val="22"/>
          <w:lang w:eastAsia="en-US"/>
        </w:rPr>
      </w:pPr>
      <w:r w:rsidRPr="00CC5418">
        <w:rPr>
          <w:rFonts w:ascii="Arial" w:hAnsi="Arial" w:cs="Arial"/>
          <w:sz w:val="22"/>
          <w:lang w:eastAsia="en-US"/>
        </w:rPr>
        <w:t>Pre výstavbu nasadzovať stavebné stroje v riadnom  technickom stave, opatrené predpísanými krytmi pre zníženie  hluku.</w:t>
      </w:r>
    </w:p>
    <w:p w14:paraId="1DB76615" w14:textId="77777777" w:rsidR="00E65CA9" w:rsidRPr="00CC5418" w:rsidRDefault="00E65CA9" w:rsidP="0095439F">
      <w:pPr>
        <w:widowControl/>
        <w:numPr>
          <w:ilvl w:val="0"/>
          <w:numId w:val="7"/>
        </w:numPr>
        <w:ind w:left="714" w:hanging="357"/>
        <w:jc w:val="both"/>
        <w:rPr>
          <w:rFonts w:ascii="Arial" w:hAnsi="Arial" w:cs="Arial"/>
          <w:sz w:val="22"/>
          <w:lang w:eastAsia="en-US"/>
        </w:rPr>
      </w:pPr>
      <w:r w:rsidRPr="00CC5418">
        <w:rPr>
          <w:rFonts w:ascii="Arial" w:hAnsi="Arial" w:cs="Arial"/>
          <w:sz w:val="22"/>
          <w:lang w:eastAsia="en-US"/>
        </w:rPr>
        <w:t>Vykonávať priebežné technické prehliadky a údržbu stavebných mechanizmov.</w:t>
      </w:r>
    </w:p>
    <w:p w14:paraId="1FD4047B" w14:textId="77777777" w:rsidR="00E65CA9" w:rsidRPr="00CC5418" w:rsidRDefault="00E65CA9" w:rsidP="0095439F">
      <w:pPr>
        <w:widowControl/>
        <w:numPr>
          <w:ilvl w:val="0"/>
          <w:numId w:val="7"/>
        </w:numPr>
        <w:ind w:left="714" w:hanging="357"/>
        <w:jc w:val="both"/>
        <w:rPr>
          <w:rFonts w:ascii="Arial" w:hAnsi="Arial" w:cs="Arial"/>
          <w:sz w:val="22"/>
          <w:lang w:eastAsia="en-US"/>
        </w:rPr>
      </w:pPr>
      <w:r w:rsidRPr="00CC5418">
        <w:rPr>
          <w:rFonts w:ascii="Arial" w:hAnsi="Arial" w:cs="Arial"/>
          <w:sz w:val="22"/>
          <w:lang w:eastAsia="en-US"/>
        </w:rPr>
        <w:t>Zabezpečovať plynulú prácu stavebných strojov zaistením dostatočného počtu dopravných prostriedkov. V čase nutných prestávok zastavovať motory stavebných  strojov.</w:t>
      </w:r>
    </w:p>
    <w:p w14:paraId="23BC95C9" w14:textId="77777777" w:rsidR="00E65CA9" w:rsidRPr="00CC5418" w:rsidRDefault="00E65CA9" w:rsidP="0095439F">
      <w:pPr>
        <w:widowControl/>
        <w:numPr>
          <w:ilvl w:val="0"/>
          <w:numId w:val="7"/>
        </w:numPr>
        <w:ind w:left="714" w:hanging="357"/>
        <w:jc w:val="both"/>
        <w:rPr>
          <w:rFonts w:ascii="Arial" w:hAnsi="Arial" w:cs="Arial"/>
          <w:sz w:val="22"/>
          <w:lang w:eastAsia="en-US"/>
        </w:rPr>
      </w:pPr>
      <w:r w:rsidRPr="00CC5418">
        <w:rPr>
          <w:rFonts w:ascii="Arial" w:hAnsi="Arial" w:cs="Arial"/>
          <w:sz w:val="22"/>
          <w:lang w:eastAsia="en-US"/>
        </w:rPr>
        <w:t>Nepripustiť prevádzku dopravných prostriedkov a strojov s nadmerným  množstvom škodlivín vo výfukových plynoch.</w:t>
      </w:r>
    </w:p>
    <w:p w14:paraId="14CB1537" w14:textId="77777777" w:rsidR="00E65CA9" w:rsidRPr="00CC5418" w:rsidRDefault="00E65CA9" w:rsidP="0095439F">
      <w:pPr>
        <w:widowControl/>
        <w:numPr>
          <w:ilvl w:val="0"/>
          <w:numId w:val="7"/>
        </w:numPr>
        <w:ind w:left="714" w:hanging="357"/>
        <w:jc w:val="both"/>
        <w:rPr>
          <w:rFonts w:ascii="Arial" w:hAnsi="Arial" w:cs="Arial"/>
          <w:sz w:val="22"/>
          <w:lang w:eastAsia="en-US"/>
        </w:rPr>
      </w:pPr>
      <w:r w:rsidRPr="00CC5418">
        <w:rPr>
          <w:rFonts w:ascii="Arial" w:hAnsi="Arial" w:cs="Arial"/>
          <w:sz w:val="22"/>
          <w:lang w:eastAsia="en-US"/>
        </w:rPr>
        <w:t>Maximálne obmedziť prašnosť pri stavebných prácach a doprave.</w:t>
      </w:r>
    </w:p>
    <w:p w14:paraId="4DF9A69D" w14:textId="77777777" w:rsidR="00E65CA9" w:rsidRPr="00CC5418" w:rsidRDefault="00E65CA9" w:rsidP="0095439F">
      <w:pPr>
        <w:widowControl/>
        <w:numPr>
          <w:ilvl w:val="0"/>
          <w:numId w:val="7"/>
        </w:numPr>
        <w:ind w:left="714" w:hanging="357"/>
        <w:jc w:val="both"/>
        <w:rPr>
          <w:rFonts w:ascii="Arial" w:hAnsi="Arial" w:cs="Arial"/>
          <w:sz w:val="22"/>
          <w:lang w:eastAsia="en-US"/>
        </w:rPr>
      </w:pPr>
      <w:r w:rsidRPr="00CC5418">
        <w:rPr>
          <w:rFonts w:ascii="Arial" w:hAnsi="Arial" w:cs="Arial"/>
          <w:sz w:val="22"/>
          <w:lang w:eastAsia="en-US"/>
        </w:rPr>
        <w:t>Prepravovaný materiál zaistiť tak, aby neznečisťoval dopravné trasy (plachty, vlhčenie, zníženie rýchlosti).</w:t>
      </w:r>
    </w:p>
    <w:p w14:paraId="7D79A162" w14:textId="77777777" w:rsidR="00E65CA9" w:rsidRPr="00CC5418" w:rsidRDefault="00E65CA9" w:rsidP="0095439F">
      <w:pPr>
        <w:widowControl/>
        <w:numPr>
          <w:ilvl w:val="0"/>
          <w:numId w:val="7"/>
        </w:numPr>
        <w:ind w:left="714" w:hanging="357"/>
        <w:jc w:val="both"/>
        <w:rPr>
          <w:rFonts w:ascii="Arial" w:hAnsi="Arial" w:cs="Arial"/>
          <w:sz w:val="22"/>
          <w:lang w:eastAsia="en-US"/>
        </w:rPr>
      </w:pPr>
      <w:r w:rsidRPr="00CC5418">
        <w:rPr>
          <w:rFonts w:ascii="Arial" w:hAnsi="Arial" w:cs="Arial"/>
          <w:sz w:val="22"/>
          <w:lang w:eastAsia="en-US"/>
        </w:rPr>
        <w:t>Pri výjazde  na   verejné  komunikácie  zabezpečiť  čistenie kolies  (podvozkov) dopravných  prostriedkov a strojov.</w:t>
      </w:r>
    </w:p>
    <w:p w14:paraId="3E313053" w14:textId="77777777" w:rsidR="00E65CA9" w:rsidRPr="00CC5418" w:rsidRDefault="00E65CA9" w:rsidP="0095439F">
      <w:pPr>
        <w:widowControl/>
        <w:numPr>
          <w:ilvl w:val="0"/>
          <w:numId w:val="7"/>
        </w:numPr>
        <w:ind w:left="714" w:hanging="357"/>
        <w:jc w:val="both"/>
        <w:rPr>
          <w:rFonts w:ascii="Arial" w:hAnsi="Arial" w:cs="Arial"/>
          <w:sz w:val="22"/>
          <w:lang w:eastAsia="en-US"/>
        </w:rPr>
      </w:pPr>
      <w:r w:rsidRPr="00CC5418">
        <w:rPr>
          <w:rFonts w:ascii="Arial" w:hAnsi="Arial" w:cs="Arial"/>
          <w:sz w:val="22"/>
          <w:lang w:eastAsia="en-US"/>
        </w:rPr>
        <w:t>Znečistenie komunikácií okamžite odstraňovať.</w:t>
      </w:r>
    </w:p>
    <w:p w14:paraId="0017C695" w14:textId="77777777" w:rsidR="00E65CA9" w:rsidRPr="00CC5418" w:rsidRDefault="00E65CA9" w:rsidP="0095439F">
      <w:pPr>
        <w:widowControl/>
        <w:numPr>
          <w:ilvl w:val="0"/>
          <w:numId w:val="7"/>
        </w:numPr>
        <w:ind w:left="714" w:hanging="357"/>
        <w:jc w:val="both"/>
        <w:rPr>
          <w:rFonts w:ascii="Arial" w:hAnsi="Arial" w:cs="Arial"/>
          <w:sz w:val="22"/>
          <w:lang w:eastAsia="en-US"/>
        </w:rPr>
      </w:pPr>
      <w:r w:rsidRPr="00CC5418">
        <w:rPr>
          <w:rFonts w:ascii="Arial" w:hAnsi="Arial" w:cs="Arial"/>
          <w:sz w:val="22"/>
          <w:lang w:eastAsia="en-US"/>
        </w:rPr>
        <w:t>Udržiavať poriadok na staveniskách. Materiál ukladať na vyhradené miesta.</w:t>
      </w:r>
    </w:p>
    <w:p w14:paraId="2B2A0138" w14:textId="77777777" w:rsidR="00E65CA9" w:rsidRPr="00CC5418" w:rsidRDefault="00E65CA9" w:rsidP="0095439F">
      <w:pPr>
        <w:widowControl/>
        <w:numPr>
          <w:ilvl w:val="0"/>
          <w:numId w:val="7"/>
        </w:numPr>
        <w:ind w:left="714" w:hanging="357"/>
        <w:jc w:val="both"/>
        <w:rPr>
          <w:rFonts w:ascii="Arial" w:hAnsi="Arial" w:cs="Arial"/>
          <w:sz w:val="22"/>
          <w:lang w:eastAsia="en-US"/>
        </w:rPr>
      </w:pPr>
      <w:r w:rsidRPr="00CC5418">
        <w:rPr>
          <w:rFonts w:ascii="Arial" w:hAnsi="Arial" w:cs="Arial"/>
          <w:sz w:val="22"/>
          <w:lang w:eastAsia="en-US"/>
        </w:rPr>
        <w:lastRenderedPageBreak/>
        <w:t>Zaistiť odvod dažďových vôd zo staveniska. Zamedziť znečistenie vôd (ropné látky, blato, umývanie vozidiel).</w:t>
      </w:r>
    </w:p>
    <w:p w14:paraId="057D98F1" w14:textId="77777777" w:rsidR="00E65CA9" w:rsidRPr="00CC5418" w:rsidRDefault="00E65CA9" w:rsidP="0095439F">
      <w:pPr>
        <w:widowControl/>
        <w:numPr>
          <w:ilvl w:val="0"/>
          <w:numId w:val="7"/>
        </w:numPr>
        <w:ind w:left="714" w:hanging="357"/>
        <w:jc w:val="both"/>
        <w:rPr>
          <w:rFonts w:ascii="Arial" w:hAnsi="Arial" w:cs="Arial"/>
          <w:sz w:val="22"/>
          <w:lang w:eastAsia="en-US"/>
        </w:rPr>
      </w:pPr>
      <w:r w:rsidRPr="00CC5418">
        <w:rPr>
          <w:rFonts w:ascii="Arial" w:hAnsi="Arial" w:cs="Arial"/>
          <w:sz w:val="22"/>
          <w:lang w:eastAsia="en-US"/>
        </w:rPr>
        <w:t>Na realizáciu stavby využívať plochy v okolí staveniska. V maximálnej možnej miere chrániť jestvujúcu zeleň (ochrana stromov).</w:t>
      </w:r>
    </w:p>
    <w:p w14:paraId="3E60FD43" w14:textId="4EEFCC96" w:rsidR="00E65CA9" w:rsidRPr="004A7717" w:rsidRDefault="00E65CA9" w:rsidP="008C6F96">
      <w:pPr>
        <w:pStyle w:val="3rovenadpis"/>
      </w:pPr>
      <w:bookmarkStart w:id="389" w:name="_Toc395894121"/>
      <w:bookmarkStart w:id="390" w:name="_Toc495992999"/>
      <w:bookmarkStart w:id="391" w:name="_Toc93916858"/>
      <w:r w:rsidRPr="004A7717">
        <w:t>Opatrenia počas prevádzky</w:t>
      </w:r>
      <w:bookmarkEnd w:id="383"/>
      <w:bookmarkEnd w:id="389"/>
      <w:bookmarkEnd w:id="390"/>
      <w:bookmarkEnd w:id="391"/>
    </w:p>
    <w:p w14:paraId="29E0D785" w14:textId="77777777" w:rsidR="00E65CA9" w:rsidRPr="00CC5418" w:rsidRDefault="00E65CA9" w:rsidP="00947F2A">
      <w:pPr>
        <w:pStyle w:val="A-Text11"/>
      </w:pPr>
      <w:bookmarkStart w:id="392" w:name="_Toc132078765"/>
      <w:r w:rsidRPr="00CC5418">
        <w:t>Navrhované opatrenia uvedené v ďalšom texte sa opierajú  o zásadnú podmienku splnenia všetkých požiadaviek legislatívy predovšetkým v oblasti ochrany ovzdušia, ochrany vôd, ochrany obyvateľstva pred hlukom a v oblasti nakladania s odpadmi.</w:t>
      </w:r>
    </w:p>
    <w:p w14:paraId="31B8DD89" w14:textId="77777777" w:rsidR="00F84C93" w:rsidRPr="00CC5418" w:rsidRDefault="00F84C93" w:rsidP="00307F68">
      <w:pPr>
        <w:pStyle w:val="text0"/>
        <w:spacing w:before="0"/>
        <w:rPr>
          <w:b/>
          <w:sz w:val="22"/>
          <w:szCs w:val="22"/>
          <w:lang w:val="sk-SK"/>
        </w:rPr>
      </w:pPr>
      <w:bookmarkStart w:id="393" w:name="_Toc132078761"/>
    </w:p>
    <w:p w14:paraId="1C17B0E8" w14:textId="77777777" w:rsidR="00E65CA9" w:rsidRPr="00CC5418" w:rsidRDefault="00E65CA9" w:rsidP="00307F68">
      <w:pPr>
        <w:pStyle w:val="text0"/>
        <w:spacing w:before="0"/>
        <w:rPr>
          <w:b/>
          <w:sz w:val="22"/>
          <w:szCs w:val="22"/>
          <w:lang w:val="sk-SK"/>
        </w:rPr>
      </w:pPr>
      <w:r w:rsidRPr="00CC5418">
        <w:rPr>
          <w:b/>
          <w:sz w:val="22"/>
          <w:szCs w:val="22"/>
          <w:lang w:val="sk-SK"/>
        </w:rPr>
        <w:t>Opatrenia v oblasti ochrany zdravia</w:t>
      </w:r>
    </w:p>
    <w:p w14:paraId="53EA697B" w14:textId="77777777" w:rsidR="00E65CA9" w:rsidRPr="00CC5418" w:rsidRDefault="00E65CA9" w:rsidP="00947F2A">
      <w:pPr>
        <w:pStyle w:val="A-Text11"/>
      </w:pPr>
      <w:bookmarkStart w:id="394" w:name="_Toc205740727"/>
      <w:r w:rsidRPr="00CC5418">
        <w:t>Základným legislatívnym predpisom je zákon č. 355/2007 o ochrane, podpore a rozvoji verejného zdravia a o zmene a doplnení niektorých zákonov</w:t>
      </w:r>
    </w:p>
    <w:p w14:paraId="62DD6C2C" w14:textId="77777777" w:rsidR="00E65CA9" w:rsidRPr="00CC5418" w:rsidRDefault="00E65CA9" w:rsidP="00947F2A">
      <w:pPr>
        <w:pStyle w:val="A-Text11"/>
      </w:pPr>
      <w:r w:rsidRPr="00CC5418">
        <w:t>Zákon v §1 písm. h) ustanovuje povinnosti fyzických osôb a právnických osôb pri ochrane, podpore a rozvoji verejného zdravia.</w:t>
      </w:r>
    </w:p>
    <w:p w14:paraId="638BC1AD" w14:textId="77777777" w:rsidR="00E65CA9" w:rsidRPr="00CC5418" w:rsidRDefault="00E65CA9" w:rsidP="00947F2A">
      <w:pPr>
        <w:pStyle w:val="A-Text11"/>
      </w:pPr>
      <w:r w:rsidRPr="00CC5418">
        <w:t>Zákon v § 20  definuje požiadavky na vnútorné prostredie budov.</w:t>
      </w:r>
    </w:p>
    <w:p w14:paraId="0392070F" w14:textId="77777777" w:rsidR="00E65CA9" w:rsidRPr="00CC5418" w:rsidRDefault="00E65CA9" w:rsidP="00947F2A">
      <w:pPr>
        <w:pStyle w:val="A-Text11"/>
        <w:rPr>
          <w:szCs w:val="19"/>
        </w:rPr>
      </w:pPr>
      <w:r w:rsidRPr="00CC5418">
        <w:rPr>
          <w:szCs w:val="19"/>
        </w:rPr>
        <w:t>(1) Vnútorné prostredie budov musí spĺňať požiadavky na tepelno-vlhkostnú mikroklímu, vetranie a vykurovanie, požiadavky na osvetlenie, preslnenie a na iné druhy optického žiarenia.</w:t>
      </w:r>
    </w:p>
    <w:p w14:paraId="14256B92" w14:textId="77777777" w:rsidR="00E65CA9" w:rsidRPr="00CC5418" w:rsidRDefault="00E65CA9" w:rsidP="00947F2A">
      <w:pPr>
        <w:pStyle w:val="A-Text11"/>
        <w:rPr>
          <w:szCs w:val="19"/>
        </w:rPr>
      </w:pPr>
      <w:r w:rsidRPr="00CC5418">
        <w:rPr>
          <w:szCs w:val="19"/>
        </w:rPr>
        <w:t xml:space="preserve">(2) V novonavrhovaných budovách sa trvalé dopĺňanie denného osvetlenia svetlom zo zdrojov umelého osvetlenia nesmie zriaďovať </w:t>
      </w:r>
    </w:p>
    <w:p w14:paraId="7A9C7E73" w14:textId="77777777" w:rsidR="00E65CA9" w:rsidRPr="00CC5418" w:rsidRDefault="00E65CA9" w:rsidP="00947F2A">
      <w:pPr>
        <w:pStyle w:val="A-Text11"/>
        <w:rPr>
          <w:szCs w:val="19"/>
        </w:rPr>
      </w:pPr>
      <w:r w:rsidRPr="00CC5418">
        <w:rPr>
          <w:szCs w:val="19"/>
        </w:rPr>
        <w:t>a) v obytných miestnostiach bytov,</w:t>
      </w:r>
    </w:p>
    <w:p w14:paraId="60AC0DBE" w14:textId="77777777" w:rsidR="00E65CA9" w:rsidRPr="00CC5418" w:rsidRDefault="00E65CA9" w:rsidP="00947F2A">
      <w:pPr>
        <w:pStyle w:val="A-Text11"/>
      </w:pPr>
      <w:r w:rsidRPr="00CC5418">
        <w:t>Zákon v § 27 definuje požiadavky pre hluk, infrazvuk a vibrácie v životnom prostredí.</w:t>
      </w:r>
    </w:p>
    <w:p w14:paraId="4398178D" w14:textId="77777777" w:rsidR="00E65CA9" w:rsidRPr="00CC5418" w:rsidRDefault="00E65CA9" w:rsidP="00947F2A">
      <w:pPr>
        <w:pStyle w:val="A-Text11"/>
        <w:rPr>
          <w:szCs w:val="19"/>
        </w:rPr>
      </w:pPr>
      <w:r w:rsidRPr="00CC5418">
        <w:rPr>
          <w:szCs w:val="19"/>
        </w:rPr>
        <w:t xml:space="preserve"> (2) Pri návrhu, výstavbe alebo podstatnej rekonštrukcii dopravných stavieb a infraštruktúry hluk v súvisiacom vonkajšom alebo vnútornom prostredí nesmie prekročiť prípustné hodnoty pri predpokladanom dopravnom zaťažení.</w:t>
      </w:r>
    </w:p>
    <w:p w14:paraId="3CCC5AC8" w14:textId="77777777" w:rsidR="00E65CA9" w:rsidRPr="00CC5418" w:rsidRDefault="00E65CA9" w:rsidP="00947F2A">
      <w:pPr>
        <w:pStyle w:val="A-Text11"/>
      </w:pPr>
      <w:r w:rsidRPr="00CC5418">
        <w:rPr>
          <w:szCs w:val="19"/>
        </w:rPr>
        <w:t>(3) Pri návrhu, výstavbe alebo podstatnej rekonštrukcii budov je potrebné zabezpečiť ochranu vnútorného prostredia budov pred hlukom z vonkajšieho prostredia pri súčasnom zachovaní ostatných potrebných vlastností vnútorného prostredia</w:t>
      </w:r>
    </w:p>
    <w:p w14:paraId="06C38D57" w14:textId="77777777" w:rsidR="00E65CA9" w:rsidRPr="00CC5418" w:rsidRDefault="00E65CA9" w:rsidP="00947F2A">
      <w:pPr>
        <w:pStyle w:val="A-Text11"/>
      </w:pPr>
      <w:r w:rsidRPr="00CC5418">
        <w:rPr>
          <w:szCs w:val="19"/>
        </w:rPr>
        <w:t>(4) Obce sú oprávnené objektivizovať expozíciu obyvateľov a ich prostredia hluku a vibráciám v súlade s požiadavkami ustanovenými vykonávacím predpisom podľa § 62 písm. m). Objektivizáciu expozície obyvateľov a ich prostredia hluku a vibráciám môžu vykonávať len osoby odborne spôsobilé na činnosť podľa § 15 ods. 1 písm. a).</w:t>
      </w:r>
    </w:p>
    <w:p w14:paraId="1711FE8D" w14:textId="77777777" w:rsidR="00E65CA9" w:rsidRPr="00CC5418" w:rsidRDefault="00E65CA9" w:rsidP="00947F2A">
      <w:pPr>
        <w:pStyle w:val="A-Text11"/>
      </w:pPr>
      <w:r w:rsidRPr="00CC5418">
        <w:t xml:space="preserve">Zákon č. 355/2007 o ochrane, podpore a rozvoji verejného zdravia v III. hlave stanovuje podmienky ochrany zdravia pri práci </w:t>
      </w:r>
    </w:p>
    <w:p w14:paraId="285F26B0" w14:textId="77777777" w:rsidR="00E65CA9" w:rsidRPr="00CC5418" w:rsidRDefault="00E65CA9" w:rsidP="00947F2A">
      <w:pPr>
        <w:pStyle w:val="A-Text11"/>
        <w:rPr>
          <w:szCs w:val="19"/>
        </w:rPr>
      </w:pPr>
      <w:r w:rsidRPr="00CC5418">
        <w:rPr>
          <w:szCs w:val="19"/>
        </w:rPr>
        <w:t>Povinnosti pri ochrane zdravia pri práci určuje v §30.</w:t>
      </w:r>
    </w:p>
    <w:p w14:paraId="3BF0D2AE" w14:textId="77777777" w:rsidR="00394BB0" w:rsidRDefault="00394BB0" w:rsidP="00947F2A">
      <w:pPr>
        <w:pStyle w:val="A-Text11"/>
        <w:rPr>
          <w:szCs w:val="19"/>
        </w:rPr>
      </w:pPr>
    </w:p>
    <w:p w14:paraId="655C0201" w14:textId="364CD0BE" w:rsidR="00E65CA9" w:rsidRPr="00CC5418" w:rsidRDefault="00E65CA9" w:rsidP="00947F2A">
      <w:pPr>
        <w:pStyle w:val="A-Text11"/>
        <w:rPr>
          <w:szCs w:val="19"/>
        </w:rPr>
      </w:pPr>
      <w:r w:rsidRPr="00CC5418">
        <w:rPr>
          <w:szCs w:val="19"/>
        </w:rPr>
        <w:t xml:space="preserve">Bude  potrebné primerane aplikovať opatrenia, ktoré sú zamerané predovšetkým na </w:t>
      </w:r>
      <w:r w:rsidRPr="00CC5418">
        <w:rPr>
          <w:b/>
          <w:bCs/>
          <w:i/>
          <w:iCs/>
          <w:szCs w:val="19"/>
        </w:rPr>
        <w:t>ochranu zdravia pri práci</w:t>
      </w:r>
      <w:r w:rsidRPr="00CC5418">
        <w:rPr>
          <w:i/>
          <w:iCs/>
          <w:szCs w:val="19"/>
        </w:rPr>
        <w:t xml:space="preserve"> v platných predpisoch, napr.: </w:t>
      </w:r>
      <w:r w:rsidRPr="00CC5418">
        <w:rPr>
          <w:szCs w:val="19"/>
        </w:rPr>
        <w:t xml:space="preserve"> </w:t>
      </w:r>
    </w:p>
    <w:p w14:paraId="15C5D8ED" w14:textId="77777777" w:rsidR="00E65CA9" w:rsidRPr="00CC5418" w:rsidRDefault="00E65CA9" w:rsidP="00947F2A">
      <w:pPr>
        <w:pStyle w:val="A-Text11"/>
        <w:rPr>
          <w:szCs w:val="20"/>
        </w:rPr>
      </w:pPr>
      <w:r w:rsidRPr="00CC5418">
        <w:rPr>
          <w:bCs/>
          <w:i/>
          <w:iCs/>
        </w:rPr>
        <w:t>Nariadenie vlády SR č. 281/2006 Z.z.</w:t>
      </w:r>
      <w:r w:rsidRPr="00CC5418">
        <w:t xml:space="preserve"> o minimálnych bezpečnostných a zdravotných požiadavkách pri ručnej manipulácii s bremenami. </w:t>
      </w:r>
    </w:p>
    <w:p w14:paraId="621FB989" w14:textId="77777777" w:rsidR="00E65CA9" w:rsidRPr="00CC5418" w:rsidRDefault="00E65CA9" w:rsidP="00947F2A">
      <w:pPr>
        <w:pStyle w:val="A-Text11"/>
      </w:pPr>
      <w:r w:rsidRPr="00CC5418">
        <w:rPr>
          <w:i/>
          <w:iCs/>
        </w:rPr>
        <w:lastRenderedPageBreak/>
        <w:t>Nariadenie vlády SR č. 329/2006 Z.z.</w:t>
      </w:r>
      <w:r w:rsidRPr="00CC5418">
        <w:t xml:space="preserve"> o minimálnych zdravotných a bezpečnostných požiadavkách na ochranu zamestnancov pred rizikami súvisiacimi s expozíciou elektromagnetickému poľu.</w:t>
      </w:r>
    </w:p>
    <w:p w14:paraId="761DBADF" w14:textId="77777777" w:rsidR="00E65CA9" w:rsidRPr="00CC5418" w:rsidRDefault="00E65CA9" w:rsidP="00947F2A">
      <w:pPr>
        <w:pStyle w:val="A-Text11"/>
      </w:pPr>
      <w:r w:rsidRPr="00CC5418">
        <w:rPr>
          <w:bCs/>
          <w:i/>
          <w:iCs/>
        </w:rPr>
        <w:t>Nariadenie vlády SR č. 355/2006 Z.z</w:t>
      </w:r>
      <w:r w:rsidRPr="00CC5418">
        <w:t>. o ochrane zamestnancov pred rizikami súvisiacimi s expozíciou chemickým faktorom pri práci.</w:t>
      </w:r>
    </w:p>
    <w:p w14:paraId="6D96F1BF" w14:textId="77777777" w:rsidR="00E65CA9" w:rsidRPr="00CC5418" w:rsidRDefault="00E65CA9" w:rsidP="00947F2A">
      <w:pPr>
        <w:pStyle w:val="A-Text11"/>
      </w:pPr>
      <w:r w:rsidRPr="00CC5418">
        <w:rPr>
          <w:i/>
          <w:iCs/>
        </w:rPr>
        <w:t>Nariadenie vlády SR č. 387/2006 Z.z.</w:t>
      </w:r>
      <w:r w:rsidRPr="00CC5418">
        <w:t xml:space="preserve"> o požiadavkách na zaistenie bezpečnostného a zdravotného označenia pri práci.</w:t>
      </w:r>
    </w:p>
    <w:p w14:paraId="52C52C97" w14:textId="77777777" w:rsidR="00E65CA9" w:rsidRPr="00CC5418" w:rsidRDefault="00E65CA9" w:rsidP="00947F2A">
      <w:pPr>
        <w:pStyle w:val="A-Text11"/>
      </w:pPr>
      <w:r w:rsidRPr="00CC5418">
        <w:rPr>
          <w:bCs/>
          <w:i/>
          <w:iCs/>
        </w:rPr>
        <w:t>Nariadenie vlády SR č. 391/2006 Z.z</w:t>
      </w:r>
      <w:r w:rsidRPr="00CC5418">
        <w:t>. o minimálnych bezpečnostných a zdravotných požiadavkách na pracovisko.</w:t>
      </w:r>
    </w:p>
    <w:p w14:paraId="714C6E99" w14:textId="77777777" w:rsidR="00E65CA9" w:rsidRPr="00CC5418" w:rsidRDefault="00E65CA9" w:rsidP="00947F2A">
      <w:pPr>
        <w:pStyle w:val="A-Text11"/>
      </w:pPr>
      <w:r w:rsidRPr="00CC5418">
        <w:rPr>
          <w:i/>
          <w:iCs/>
        </w:rPr>
        <w:t>Nariadenie vlády SR č. 392/2006 Z.z</w:t>
      </w:r>
      <w:r w:rsidRPr="00CC5418">
        <w:rPr>
          <w:bCs/>
        </w:rPr>
        <w:t>.</w:t>
      </w:r>
      <w:r w:rsidRPr="00CC5418">
        <w:t xml:space="preserve"> o minimálnych bezpečnostných a zdravotných požiadavkách pri používaní pracovných prostriedkov</w:t>
      </w:r>
    </w:p>
    <w:p w14:paraId="1C3BEA4E" w14:textId="77777777" w:rsidR="00E65CA9" w:rsidRPr="00CC5418" w:rsidRDefault="00E65CA9" w:rsidP="00947F2A">
      <w:pPr>
        <w:pStyle w:val="A-Text11"/>
      </w:pPr>
      <w:r w:rsidRPr="00CC5418">
        <w:rPr>
          <w:i/>
          <w:iCs/>
        </w:rPr>
        <w:t>Nariadenie vlády SR č. 395/2006 Z.z.</w:t>
      </w:r>
      <w:r w:rsidRPr="00CC5418">
        <w:t xml:space="preserve"> o minimálnych požiadavkách na poskytovanie a používanie osobných ochranných pracovných prostriedkov</w:t>
      </w:r>
    </w:p>
    <w:p w14:paraId="41987C97" w14:textId="77777777" w:rsidR="00E65CA9" w:rsidRPr="00CC5418" w:rsidRDefault="00E65CA9" w:rsidP="00947F2A">
      <w:pPr>
        <w:pStyle w:val="A-Text11"/>
        <w:rPr>
          <w:szCs w:val="19"/>
        </w:rPr>
      </w:pPr>
      <w:r w:rsidRPr="00CC5418">
        <w:rPr>
          <w:szCs w:val="19"/>
        </w:rPr>
        <w:t>Osobný ochranný pracovný prostriedok zamestnávateľ poskytuje zamestnancovi, ak nebezpečenstvo nemožno vylúčiť ani obmedziť technickými prostriedkami, prostriedkami kolektívnej ochrany ani metódami a formami organizácie práce.</w:t>
      </w:r>
    </w:p>
    <w:p w14:paraId="11F086EC" w14:textId="77777777" w:rsidR="00E65CA9" w:rsidRPr="00CC5418" w:rsidRDefault="00E65CA9" w:rsidP="00947F2A">
      <w:pPr>
        <w:pStyle w:val="A-Text11"/>
      </w:pPr>
      <w:r w:rsidRPr="00CC5418">
        <w:rPr>
          <w:i/>
          <w:iCs/>
        </w:rPr>
        <w:t>Nariadenie vlády SR č. 410/2007 Z.z.</w:t>
      </w:r>
      <w:r w:rsidRPr="00CC5418">
        <w:t xml:space="preserve"> o minimálnych zdravotných a bezpečnostných požiadavkách na ochranu zamestnancov pred rizikami súvisiacimi s expozíciou umelému optickému žiareniu.</w:t>
      </w:r>
    </w:p>
    <w:p w14:paraId="5374CBF2" w14:textId="77777777" w:rsidR="00E65CA9" w:rsidRPr="00CC5418" w:rsidRDefault="00E65CA9" w:rsidP="00947F2A">
      <w:pPr>
        <w:pStyle w:val="A-Text11"/>
        <w:rPr>
          <w:bCs/>
        </w:rPr>
      </w:pPr>
      <w:r w:rsidRPr="00CC5418">
        <w:rPr>
          <w:i/>
          <w:iCs/>
        </w:rPr>
        <w:t>Nariadenie vlády SR č. 416/2006 Z.z.</w:t>
      </w:r>
      <w:r w:rsidRPr="00CC5418">
        <w:rPr>
          <w:bCs/>
        </w:rPr>
        <w:t xml:space="preserve"> o minimálnych zdravotných a bezpečnostných požiadavkách na ochranu zamestnancov pred rizikami súvisiacimi s expozíciou vibráciam. Limitné a akčné hodnoty expozície vibráciam sú uvedené v prílohe tohto NV.</w:t>
      </w:r>
    </w:p>
    <w:p w14:paraId="42C0F64E" w14:textId="77777777" w:rsidR="00E65CA9" w:rsidRPr="00CC5418" w:rsidRDefault="00E65CA9" w:rsidP="00947F2A">
      <w:pPr>
        <w:pStyle w:val="A-Text11"/>
      </w:pPr>
      <w:r w:rsidRPr="00CC5418">
        <w:rPr>
          <w:i/>
          <w:iCs/>
        </w:rPr>
        <w:t>Vyhláška MZ SR č. 448/2007 Z.z</w:t>
      </w:r>
      <w:r w:rsidRPr="00CC5418">
        <w:rPr>
          <w:bCs/>
        </w:rPr>
        <w:t>.</w:t>
      </w:r>
      <w:r w:rsidRPr="00CC5418">
        <w:t xml:space="preserve"> </w:t>
      </w:r>
      <w:r w:rsidRPr="00CC5418">
        <w:rPr>
          <w:szCs w:val="21"/>
        </w:rPr>
        <w:t>o podrobnostiach o faktoroch práce a pracovného prostredia vo vzťahu ku kategorizácii prác z hľadiska zdravotných rizík a o náležitostiach návrhu na zaradenie prác do kategórií.</w:t>
      </w:r>
    </w:p>
    <w:p w14:paraId="7FB5DDAE" w14:textId="77777777" w:rsidR="00E65CA9" w:rsidRPr="00CC5418" w:rsidRDefault="00E65CA9" w:rsidP="00947F2A">
      <w:pPr>
        <w:pStyle w:val="A-Text11"/>
      </w:pPr>
      <w:r w:rsidRPr="00CC5418">
        <w:rPr>
          <w:i/>
          <w:iCs/>
        </w:rPr>
        <w:t>Vyhláška MZ SR č. 534/2007 Z.z.</w:t>
      </w:r>
      <w:r w:rsidRPr="00CC5418">
        <w:t xml:space="preserve"> o podrobnostiach o požiadavkách na zdroje elektromagnetického žiarenia a na limity expozície obyvateľov elektromagnetickému žiareniu v životnom prostredí.</w:t>
      </w:r>
    </w:p>
    <w:p w14:paraId="7F066A1F" w14:textId="77777777" w:rsidR="00E65CA9" w:rsidRPr="00CC5418" w:rsidRDefault="00E65CA9" w:rsidP="00947F2A">
      <w:pPr>
        <w:pStyle w:val="A-Text11"/>
      </w:pPr>
      <w:r w:rsidRPr="00CC5418">
        <w:rPr>
          <w:i/>
          <w:iCs/>
        </w:rPr>
        <w:t>Vyhláška MZ SR č. 542/2007 Z.z</w:t>
      </w:r>
      <w:r w:rsidRPr="00CC5418">
        <w:rPr>
          <w:bCs/>
        </w:rPr>
        <w:t>.</w:t>
      </w:r>
      <w:r w:rsidRPr="00CC5418">
        <w:t xml:space="preserve"> o podrobnostiach o ochrane zdravia pred fyzickou, záťažou pri práci, psychickou pracovnou záťažou a senzorickou záťažou pri práci.</w:t>
      </w:r>
    </w:p>
    <w:p w14:paraId="342228AA" w14:textId="77777777" w:rsidR="00E65CA9" w:rsidRPr="00CC5418" w:rsidRDefault="00E65CA9" w:rsidP="00947F2A">
      <w:pPr>
        <w:pStyle w:val="A-Text11"/>
        <w:rPr>
          <w:rStyle w:val="textChar"/>
          <w:sz w:val="22"/>
        </w:rPr>
      </w:pPr>
      <w:r w:rsidRPr="00CC5418">
        <w:rPr>
          <w:i/>
          <w:iCs/>
        </w:rPr>
        <w:t>Vyhláška MZ SR č. 549/2007 Z.z.</w:t>
      </w:r>
      <w:r w:rsidRPr="00CC5418">
        <w:t xml:space="preserve"> ktorým sa ustanovujú podrobnosti o prípustných hodnotách </w:t>
      </w:r>
      <w:r w:rsidRPr="00CC5418">
        <w:rPr>
          <w:rStyle w:val="textChar"/>
          <w:sz w:val="22"/>
        </w:rPr>
        <w:t>hluku, infrazvuku a vibrácií v životnom prostredí.</w:t>
      </w:r>
    </w:p>
    <w:p w14:paraId="1D7ECFE9" w14:textId="77777777" w:rsidR="00E65CA9" w:rsidRPr="00CC5418" w:rsidRDefault="00E65CA9" w:rsidP="00307F68">
      <w:pPr>
        <w:pStyle w:val="text0"/>
        <w:rPr>
          <w:b/>
          <w:sz w:val="22"/>
          <w:szCs w:val="22"/>
          <w:lang w:val="sk-SK"/>
        </w:rPr>
      </w:pPr>
      <w:r w:rsidRPr="00CC5418">
        <w:rPr>
          <w:b/>
          <w:sz w:val="22"/>
          <w:szCs w:val="22"/>
          <w:lang w:val="sk-SK"/>
        </w:rPr>
        <w:t>Opatrenia na zníženie vplyvu znečistenia ovzdušia</w:t>
      </w:r>
      <w:bookmarkEnd w:id="393"/>
      <w:bookmarkEnd w:id="394"/>
    </w:p>
    <w:p w14:paraId="24FAE26E" w14:textId="28241E51" w:rsidR="00E65CA9" w:rsidRPr="00CC5418" w:rsidRDefault="00E65CA9" w:rsidP="00947F2A">
      <w:pPr>
        <w:pStyle w:val="A-Text11"/>
      </w:pPr>
      <w:r w:rsidRPr="00CC5418">
        <w:t xml:space="preserve">Podľa Prílohy č. 1 k vyhláške  Ministerstva  životného prostredia SR,  č. 410/2012 Z.z., ktorou sa vykonávajú  patria technologické celky  obsahujúce spaľovacie zariadenia   s nainštalovaným súhrnným menovitým tepelným príkonom od 0,3 MW medzi stredné zdroje  znečisťovania ovzdušia. V prípade realizácie podľa Variantu č. </w:t>
      </w:r>
      <w:r w:rsidR="00284487">
        <w:t>1</w:t>
      </w:r>
      <w:r w:rsidRPr="00CC5418">
        <w:t xml:space="preserve"> bude </w:t>
      </w:r>
      <w:r w:rsidR="005D1DB6" w:rsidRPr="00CC5418">
        <w:t>náhradný zdroj elektrickej energie</w:t>
      </w:r>
      <w:r w:rsidRPr="00CC5418">
        <w:t xml:space="preserve"> zdrojom znečisťovania ovzdušia. Z toho pohľadu bude v rámci prevádzky potrebné dodržiavať podmienky súhlasu na zriadenie zdroja v zmysle zákona. </w:t>
      </w:r>
    </w:p>
    <w:p w14:paraId="47CD660F" w14:textId="77777777" w:rsidR="00E65CA9" w:rsidRPr="00CC5418" w:rsidRDefault="00E65CA9" w:rsidP="00947F2A">
      <w:pPr>
        <w:pStyle w:val="A-Text11"/>
      </w:pPr>
      <w:r w:rsidRPr="00CC5418">
        <w:t xml:space="preserve">Možno predpokladať, že  uvedenie objektu do prevádzky  ovplyvní  hodnotu súčasného znečistenia ovzdušia len najbližšieho okolia. Najvyššie koncentrácie však neprekročia ani pri </w:t>
      </w:r>
      <w:r w:rsidRPr="00CC5418">
        <w:lastRenderedPageBreak/>
        <w:t>najnepriaznivejších prevádzkových a rozptylových podmienkach limitné hodnoty. Vo väzbe na tieto predpoklady nebude potrebné prijímať osobitné opatrenia nad rámec platnej legislatívy na zníženie vplyvu znečistenia ovzdušia.</w:t>
      </w:r>
    </w:p>
    <w:p w14:paraId="2DD12DF5" w14:textId="77777777" w:rsidR="00E65CA9" w:rsidRPr="00CC5418" w:rsidRDefault="00E65CA9" w:rsidP="00DC00C4">
      <w:pPr>
        <w:widowControl/>
        <w:spacing w:before="120"/>
        <w:jc w:val="both"/>
        <w:rPr>
          <w:rFonts w:ascii="Arial" w:hAnsi="Arial" w:cs="Arial"/>
          <w:b/>
          <w:i/>
          <w:sz w:val="22"/>
          <w:szCs w:val="22"/>
          <w:lang w:eastAsia="en-US"/>
        </w:rPr>
      </w:pPr>
      <w:bookmarkStart w:id="395" w:name="_Toc132078762"/>
      <w:bookmarkStart w:id="396" w:name="_Toc205740728"/>
      <w:r w:rsidRPr="00CC5418">
        <w:rPr>
          <w:rFonts w:ascii="Arial" w:hAnsi="Arial" w:cs="Arial"/>
          <w:b/>
          <w:i/>
          <w:sz w:val="22"/>
          <w:szCs w:val="22"/>
          <w:lang w:eastAsia="en-US"/>
        </w:rPr>
        <w:t>Opatrenia v oblasti vodného hospodárstva</w:t>
      </w:r>
      <w:bookmarkEnd w:id="395"/>
      <w:bookmarkEnd w:id="396"/>
    </w:p>
    <w:p w14:paraId="4CDCE80B" w14:textId="77777777" w:rsidR="00E65CA9" w:rsidRPr="00CC5418" w:rsidRDefault="00E65CA9" w:rsidP="00947F2A">
      <w:pPr>
        <w:pStyle w:val="A-Text11"/>
        <w:rPr>
          <w:szCs w:val="24"/>
        </w:rPr>
      </w:pPr>
      <w:r w:rsidRPr="00CC5418">
        <w:t xml:space="preserve">Vody z povrchového odtoku (dažďové vody) zo spevnených plôch budú odkanalizované do verejnej kanalizácie podľa podmienok správcu siete, resp. časť bude odvedená vsakom do podzemných vôd na základe výsledkom hydrogeologického posudku. </w:t>
      </w:r>
      <w:r w:rsidRPr="00CC5418">
        <w:rPr>
          <w:szCs w:val="24"/>
        </w:rPr>
        <w:t xml:space="preserve">Vypúšťanie odpadových vôd a osobitných vôd do podzemných vôd, alebo do verejnej kanalizácie upravuje zákon NR SR č. 364/2004 o vodách a podmienkami správcu kanalizačnej - Bratislavská vodárenská akciová spoločnosť, a. s. Tieto sú stanovené predovšetkým v zmysle zákona č. 230/2005 Z.z. o vodovodoch a kanalizáciách, ktorým sa mení a dopĺňa zákon č.  442/2002 Z.z. o verejných vodovodoch a verejných kanalizáciách a o zmene a doplnení zákona č. 276/2001 Z.z. o regulácii  v sieťových odvetviach a v znení neskorších predpisov  a o zmene a doplnení niektorých zákonov č. 442/2002 Z. z. o verejných vodovodoch a verejných kanalizáciách a prevádzkovým poriadkom v zmysle vyhlášky MŽP SR č. 55/2004 Z. z. </w:t>
      </w:r>
    </w:p>
    <w:p w14:paraId="51BED83E" w14:textId="77777777" w:rsidR="00E65CA9" w:rsidRPr="00CC5418" w:rsidRDefault="00E65CA9" w:rsidP="00947F2A">
      <w:pPr>
        <w:pStyle w:val="A-Text11"/>
      </w:pPr>
      <w:r w:rsidRPr="00CC5418">
        <w:t xml:space="preserve">Pri dodržiavaní legislatívnych podmienok vypúšťania odpadových vôd a podmienok prevádzkovateľa kanalizačnej siete nie je potrebné prijímať ďalšie opatrenia. </w:t>
      </w:r>
    </w:p>
    <w:p w14:paraId="217AB218" w14:textId="101E3CEA" w:rsidR="00E65CA9" w:rsidRPr="00CC5418" w:rsidRDefault="00E65CA9" w:rsidP="00EF208A">
      <w:pPr>
        <w:widowControl/>
        <w:spacing w:before="120"/>
        <w:jc w:val="both"/>
        <w:rPr>
          <w:rFonts w:ascii="Arial" w:hAnsi="Arial" w:cs="Arial"/>
          <w:b/>
          <w:i/>
          <w:sz w:val="22"/>
          <w:szCs w:val="22"/>
          <w:lang w:eastAsia="en-US"/>
        </w:rPr>
      </w:pPr>
      <w:bookmarkStart w:id="397" w:name="_Toc132078763"/>
      <w:bookmarkStart w:id="398" w:name="_Toc205740729"/>
      <w:r w:rsidRPr="00CC5418">
        <w:rPr>
          <w:rFonts w:ascii="Arial" w:hAnsi="Arial" w:cs="Arial"/>
          <w:b/>
          <w:i/>
          <w:sz w:val="22"/>
          <w:szCs w:val="22"/>
          <w:lang w:eastAsia="en-US"/>
        </w:rPr>
        <w:t>Opatrenia v oblasti zaťaženia hlukom</w:t>
      </w:r>
      <w:bookmarkEnd w:id="397"/>
      <w:bookmarkEnd w:id="398"/>
    </w:p>
    <w:p w14:paraId="7B0F07F3" w14:textId="77777777" w:rsidR="00E65CA9" w:rsidRPr="00CC5418" w:rsidRDefault="00E65CA9" w:rsidP="00947F2A">
      <w:pPr>
        <w:pStyle w:val="A-Text11"/>
      </w:pPr>
      <w:r w:rsidRPr="00CC5418">
        <w:t xml:space="preserve">Vlastná prevádzka objektov, vrátane garáží, nebude znamenať podstatnú zmenu v zaťažení hlukom. </w:t>
      </w:r>
    </w:p>
    <w:p w14:paraId="0AB0EF30" w14:textId="77777777" w:rsidR="00E65CA9" w:rsidRPr="00CC5418" w:rsidRDefault="00E65CA9" w:rsidP="00947F2A">
      <w:pPr>
        <w:pStyle w:val="A-Text11"/>
      </w:pPr>
      <w:r w:rsidRPr="00CC5418">
        <w:t>Úroveň hluku z prevádzky nesmie neprekročiť hygienickými predpismi stanovené hranice.</w:t>
      </w:r>
    </w:p>
    <w:p w14:paraId="40D4CC4B" w14:textId="77777777" w:rsidR="00E65CA9" w:rsidRPr="00CC5418" w:rsidRDefault="00E65CA9" w:rsidP="00947F2A">
      <w:pPr>
        <w:pStyle w:val="A-Text11"/>
      </w:pPr>
      <w:r w:rsidRPr="00CC5418">
        <w:t xml:space="preserve">Hlučné zariadenia v miestnostiach a v exteriéri budú pružne uložené, spojenie zdrojov vibrácií (napr. klimatizačné jednotky, čerpadlá) a naväzujúcich potrubí musí byť pružnými spojkami. Všetky stacionárne zdroje hluku, ktoré budú umiestnené vo vnútornom prostredí stavby budú navrhnuté tak, aby v najbližších miestnostiach neboli prekročené najvyššej prípustné maximálne hladiny hluku v zmysle Vyhlášky MZ SR č. 549/2007 Z.z. Tiež všetky stacionárne zdroje hluku, ktoré budú umiestnené vo vonkajšom prostredí stavby budú navrhnuté tak, aby pred oknami najbližších obytných miestností neboli prekročené najvyššie prípustné hladiny hluku podľa uvedenej vyhlášky. </w:t>
      </w:r>
    </w:p>
    <w:p w14:paraId="3EAE3A81" w14:textId="52EAE7E3" w:rsidR="00E65CA9" w:rsidRPr="00CC5418" w:rsidRDefault="00E65CA9" w:rsidP="00947F2A">
      <w:pPr>
        <w:pStyle w:val="A-Text11"/>
        <w:rPr>
          <w:szCs w:val="24"/>
        </w:rPr>
      </w:pPr>
      <w:r w:rsidRPr="00CC5418">
        <w:t>Akustická štúdia  navrh</w:t>
      </w:r>
      <w:r w:rsidR="00D01CDE" w:rsidRPr="00CC5418">
        <w:t>ne</w:t>
      </w:r>
      <w:r w:rsidRPr="00CC5418">
        <w:t xml:space="preserve"> opatrenia a v ďalších stupňoch prípravy tieto budú upresnené  a budú smerovať k zníženiu zaťaženia obyvateľov hlukom z dopravy. Cieľom týchto opatrení je zabezpečiť, aby  obyvatelia dotknutej oblasti neboli obťažovaní</w:t>
      </w:r>
      <w:r w:rsidRPr="00CC5418">
        <w:rPr>
          <w:szCs w:val="24"/>
        </w:rPr>
        <w:t xml:space="preserve"> hlukom nad mieru prípustnú  hygienickými limitmi. </w:t>
      </w:r>
    </w:p>
    <w:p w14:paraId="3D0737DC" w14:textId="77777777" w:rsidR="00E65CA9" w:rsidRPr="00CC5418" w:rsidRDefault="00E65CA9" w:rsidP="00DC00C4">
      <w:pPr>
        <w:widowControl/>
        <w:spacing w:before="120"/>
        <w:jc w:val="both"/>
        <w:rPr>
          <w:rFonts w:ascii="Arial" w:hAnsi="Arial" w:cs="Arial"/>
          <w:b/>
          <w:i/>
          <w:sz w:val="22"/>
          <w:szCs w:val="22"/>
          <w:lang w:eastAsia="en-US"/>
        </w:rPr>
      </w:pPr>
      <w:bookmarkStart w:id="399" w:name="_Toc132078764"/>
      <w:bookmarkStart w:id="400" w:name="_Toc205740730"/>
      <w:bookmarkStart w:id="401" w:name="_Toc395894122"/>
      <w:bookmarkStart w:id="402" w:name="_Toc403849714"/>
      <w:bookmarkStart w:id="403" w:name="_Toc417142391"/>
      <w:r w:rsidRPr="00CC5418">
        <w:rPr>
          <w:rFonts w:ascii="Arial" w:hAnsi="Arial" w:cs="Arial"/>
          <w:b/>
          <w:i/>
          <w:sz w:val="22"/>
          <w:szCs w:val="22"/>
          <w:lang w:eastAsia="en-US"/>
        </w:rPr>
        <w:t>Opatrenia v oblasti nakladania s odpadmi</w:t>
      </w:r>
      <w:bookmarkEnd w:id="399"/>
      <w:bookmarkEnd w:id="400"/>
      <w:bookmarkEnd w:id="401"/>
      <w:bookmarkEnd w:id="402"/>
      <w:bookmarkEnd w:id="403"/>
    </w:p>
    <w:p w14:paraId="58F6DA52" w14:textId="77777777" w:rsidR="00E65CA9" w:rsidRPr="00CC5418" w:rsidRDefault="00E65CA9" w:rsidP="00947F2A">
      <w:pPr>
        <w:pStyle w:val="A-Text11"/>
      </w:pPr>
      <w:r w:rsidRPr="00CC5418">
        <w:t>Odpad bude krátkodobo uskladňovaný v  smetných nádobách a ďalej zneškodňovaný organizovaným odvozom. Zhodnocovanie, resp. zneškodňovanie odpadov zabezpečí prevádzkovateľ objektu prostredníctvom zmlúv s prevádzkovateľmi zariadení na zhodnocovanie a zneškodňovanie odpadov.</w:t>
      </w:r>
    </w:p>
    <w:p w14:paraId="11226F1B" w14:textId="75EDB6BB" w:rsidR="00E65CA9" w:rsidRDefault="00E65CA9" w:rsidP="00947F2A">
      <w:pPr>
        <w:pStyle w:val="A-Text11"/>
      </w:pPr>
      <w:r w:rsidRPr="00CC5418">
        <w:t xml:space="preserve">Nakladanie s odpadmi sa bude riadiť platnou legislatívou, predovšetkým ustanoveniami zákona </w:t>
      </w:r>
      <w:r w:rsidRPr="00CC5418">
        <w:rPr>
          <w:szCs w:val="21"/>
        </w:rPr>
        <w:t>č. 79/2015 Z.z. o odpadoch účinným od 1.1.2016 a</w:t>
      </w:r>
      <w:r w:rsidRPr="00CC5418">
        <w:t> s ním súvisiacich predpisov a VZN obce. Z tohto pohľadu nebude potrebné prijímať ďalšie opatrenia.</w:t>
      </w:r>
    </w:p>
    <w:p w14:paraId="710D2730" w14:textId="5823ACD1" w:rsidR="00E65CA9" w:rsidRPr="004A7717" w:rsidRDefault="00E65CA9" w:rsidP="008C6F96">
      <w:pPr>
        <w:pStyle w:val="Nadpis2"/>
      </w:pPr>
      <w:r w:rsidRPr="00CC5418">
        <w:lastRenderedPageBreak/>
        <w:t xml:space="preserve">  </w:t>
      </w:r>
      <w:bookmarkStart w:id="404" w:name="_Toc495993000"/>
      <w:bookmarkStart w:id="405" w:name="_Toc93916859"/>
      <w:r w:rsidRPr="00CC5418">
        <w:t xml:space="preserve">Posúdenie očakávaného vývoja </w:t>
      </w:r>
      <w:r w:rsidRPr="004A7717">
        <w:t>územia, ak by sa činnosť   nerealizovala  -  nulový variant</w:t>
      </w:r>
      <w:bookmarkEnd w:id="392"/>
      <w:bookmarkEnd w:id="404"/>
      <w:bookmarkEnd w:id="405"/>
      <w:r w:rsidRPr="004A7717">
        <w:t xml:space="preserve"> </w:t>
      </w:r>
    </w:p>
    <w:p w14:paraId="20A5481D" w14:textId="1732E705" w:rsidR="00E65CA9" w:rsidRPr="00CA7498" w:rsidRDefault="00E65CA9" w:rsidP="00947F2A">
      <w:pPr>
        <w:pStyle w:val="A-Text11"/>
      </w:pPr>
      <w:r w:rsidRPr="00CA7498">
        <w:t xml:space="preserve">V nulovom variante, teda v prípade, keď by sa navrhovaná činnosť nerealizovala, zostala  by predmetná lokalita krátky čas naďalej  krátko využívaná ako </w:t>
      </w:r>
      <w:r w:rsidR="0039676A" w:rsidRPr="00CA7498">
        <w:t xml:space="preserve">je v súčasnosti – viď opis v kapitole II.8.1. </w:t>
      </w:r>
      <w:r w:rsidRPr="00CA7498">
        <w:t xml:space="preserve">  </w:t>
      </w:r>
    </w:p>
    <w:p w14:paraId="7FCC34C2" w14:textId="77777777" w:rsidR="00E65CA9" w:rsidRPr="00CA7498" w:rsidRDefault="00E65CA9" w:rsidP="00947F2A">
      <w:pPr>
        <w:pStyle w:val="A-Text11"/>
      </w:pPr>
      <w:r w:rsidRPr="00CA7498">
        <w:t xml:space="preserve">Je možné predpokladať, že aj v nulovom variante prejde lokalita podstatnými zmenami v súvislosti s atraktivitou lokality  a určením platnou územnoplánovacou dokumentáciou. </w:t>
      </w:r>
    </w:p>
    <w:p w14:paraId="2956C707" w14:textId="77777777" w:rsidR="00F37111" w:rsidRPr="002B71FE" w:rsidRDefault="00F37111" w:rsidP="00F37111">
      <w:pPr>
        <w:pStyle w:val="A-Text11"/>
      </w:pPr>
      <w:r>
        <w:t>„N</w:t>
      </w:r>
      <w:r w:rsidRPr="002B71FE">
        <w:t xml:space="preserve">ulový variant“ </w:t>
      </w:r>
      <w:r>
        <w:t xml:space="preserve">je </w:t>
      </w:r>
      <w:r w:rsidRPr="002B71FE">
        <w:t xml:space="preserve">variant stavu, ktorý by nastal, ak by sa navrhovaná činnosť nerealizovala. </w:t>
      </w:r>
    </w:p>
    <w:p w14:paraId="5810E778" w14:textId="005865C6" w:rsidR="00E65CA9" w:rsidRPr="00CA7498" w:rsidRDefault="00E65CA9" w:rsidP="00947F2A">
      <w:pPr>
        <w:pStyle w:val="A-Text11"/>
      </w:pPr>
      <w:r w:rsidRPr="00CA7498">
        <w:t xml:space="preserve">Nie je reálne predpokladať, že by sa  ďalší vývoj územia odvíjal od súčasného využitia. </w:t>
      </w:r>
    </w:p>
    <w:p w14:paraId="1B8CBD23" w14:textId="5343B83A" w:rsidR="00E65CA9" w:rsidRPr="00CA7498" w:rsidRDefault="00E65CA9" w:rsidP="00947F2A">
      <w:pPr>
        <w:pStyle w:val="A-Text11"/>
      </w:pPr>
      <w:r w:rsidRPr="00CA7498">
        <w:t xml:space="preserve">Ak by sa navrhovaná činnosť nerealizovala je reálny predpoklad zmeny územia v intenciách územného plánu. </w:t>
      </w:r>
    </w:p>
    <w:p w14:paraId="45E60E26" w14:textId="77777777" w:rsidR="001B2EF0" w:rsidRPr="004A7717" w:rsidRDefault="001B2EF0" w:rsidP="008C6F96">
      <w:pPr>
        <w:pStyle w:val="Nadpis2"/>
      </w:pPr>
      <w:r w:rsidRPr="004A7717">
        <w:t xml:space="preserve">  </w:t>
      </w:r>
      <w:bookmarkStart w:id="406" w:name="_Toc132078766"/>
      <w:bookmarkStart w:id="407" w:name="_Toc450406286"/>
      <w:bookmarkStart w:id="408" w:name="_Toc488344021"/>
      <w:bookmarkStart w:id="409" w:name="_Toc495993001"/>
      <w:bookmarkStart w:id="410" w:name="_Toc93916860"/>
      <w:r w:rsidRPr="004A7717">
        <w:t>Posúdenie súladu činnosti s územno-plánovacou dokumentáciou</w:t>
      </w:r>
      <w:bookmarkEnd w:id="406"/>
      <w:bookmarkEnd w:id="407"/>
      <w:r w:rsidRPr="004A7717">
        <w:t xml:space="preserve"> a ďalšími relevantnými strategickými dokumentmi</w:t>
      </w:r>
      <w:bookmarkEnd w:id="408"/>
      <w:bookmarkEnd w:id="409"/>
      <w:bookmarkEnd w:id="410"/>
    </w:p>
    <w:p w14:paraId="2D4D0E19" w14:textId="557FC8AF" w:rsidR="0041075A" w:rsidRPr="00D80716" w:rsidRDefault="0041075A" w:rsidP="00D66E61">
      <w:pPr>
        <w:pStyle w:val="A-Text11"/>
      </w:pPr>
      <w:bookmarkStart w:id="411" w:name="_Toc84850853"/>
      <w:r w:rsidRPr="00D80716">
        <w:t>Súlad sa posudzuje vo vzťahu k územnému plánu hlavného mesta SR Bratislavy v znení zmien a doplnkov. Na posúdenie súladu s územnom plánom sa použijú pozemky 17007/46 a 17007/47, na ktorých je umiestnený vlastný obytný dom. V ostatných plochách sa upravujú len verejné priestranstvá slúžiace okolitej zástavbe.</w:t>
      </w:r>
    </w:p>
    <w:p w14:paraId="5285A1C2" w14:textId="5D5CF7D9" w:rsidR="00D66E61" w:rsidRPr="00D80716" w:rsidRDefault="00D66E61" w:rsidP="00D66E61">
      <w:pPr>
        <w:pStyle w:val="A-Text11"/>
        <w:rPr>
          <w:b/>
          <w:bCs/>
        </w:rPr>
      </w:pPr>
      <w:r w:rsidRPr="00D80716">
        <w:rPr>
          <w:b/>
          <w:bCs/>
        </w:rPr>
        <w:t>Požiadavky územného plánu</w:t>
      </w:r>
      <w:bookmarkEnd w:id="411"/>
    </w:p>
    <w:p w14:paraId="631D611C" w14:textId="39FFA5DA" w:rsidR="00D66E61" w:rsidRPr="00D80716" w:rsidRDefault="0041075A" w:rsidP="00D66E61">
      <w:pPr>
        <w:pStyle w:val="A-Text11"/>
        <w:rPr>
          <w:i/>
          <w:iCs/>
        </w:rPr>
      </w:pPr>
      <w:r w:rsidRPr="00D80716">
        <w:t>Budova sa nachádza v zóne 102 - málopodlažná obytná zástavba. Podľa súčasného znenia územnoplánovacej dokumentácie sú požiadavky na územný rozvoj určené okolitým kontextom, plošné indexy nie sú rozhodujúce: “Meritom a limitom pre novú výstavbu v stabilizovanom území je najmä charakteristický obraz a proporcie konkrétneho územia, ktoré je nevyhnutné pri obstarávaní podrobnejších dokumentácií alebo pri hodnotení novej výstavby v stabilizovanom území akceptovať, chrániť a rozvíjať. Posudzovanie dostavieb, prestavieb, nadstavieb a novostavieb v rámci stabilizovaných území sa uskutočňuje na základe ukazovateľov intenzity využitia územia vo funkčnej ploche.”</w:t>
      </w:r>
    </w:p>
    <w:p w14:paraId="200537CB" w14:textId="6C759F77" w:rsidR="00D66E61" w:rsidRPr="00D80716" w:rsidRDefault="00D66E61" w:rsidP="00D66E61">
      <w:pPr>
        <w:pStyle w:val="A-Text11"/>
        <w:ind w:firstLine="0"/>
        <w:jc w:val="center"/>
        <w:rPr>
          <w:i/>
          <w:iCs/>
        </w:rPr>
      </w:pPr>
      <w:r w:rsidRPr="00D80716">
        <w:rPr>
          <w:noProof/>
          <w:lang w:val="cs-CZ"/>
        </w:rPr>
        <w:lastRenderedPageBreak/>
        <w:drawing>
          <wp:inline distT="0" distB="0" distL="0" distR="0" wp14:anchorId="6B53FD1A" wp14:editId="4C765D16">
            <wp:extent cx="3678363" cy="5127625"/>
            <wp:effectExtent l="19050" t="19050" r="17780" b="15875"/>
            <wp:docPr id="53" name="Obrázok 53" descr="Obráz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Obrázek"/>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682027" cy="5132733"/>
                    </a:xfrm>
                    <a:prstGeom prst="rect">
                      <a:avLst/>
                    </a:prstGeom>
                    <a:noFill/>
                    <a:ln w="12700">
                      <a:solidFill>
                        <a:schemeClr val="tx1"/>
                      </a:solidFill>
                    </a:ln>
                  </pic:spPr>
                </pic:pic>
              </a:graphicData>
            </a:graphic>
          </wp:inline>
        </w:drawing>
      </w:r>
    </w:p>
    <w:p w14:paraId="03FBE59D" w14:textId="7C0CD0EE" w:rsidR="00FF1C85" w:rsidRPr="00D80716" w:rsidRDefault="00FF1C85" w:rsidP="00FF1C85">
      <w:pPr>
        <w:pStyle w:val="A-Text11"/>
        <w:ind w:firstLine="0"/>
        <w:jc w:val="center"/>
        <w:rPr>
          <w:noProof/>
          <w:sz w:val="18"/>
          <w:szCs w:val="18"/>
        </w:rPr>
      </w:pPr>
      <w:r w:rsidRPr="00D80716">
        <w:rPr>
          <w:sz w:val="18"/>
          <w:szCs w:val="18"/>
        </w:rPr>
        <w:t xml:space="preserve">Obrázok </w:t>
      </w:r>
      <w:r w:rsidR="00F2114B" w:rsidRPr="00D80716">
        <w:rPr>
          <w:sz w:val="18"/>
          <w:szCs w:val="18"/>
        </w:rPr>
        <w:t>č</w:t>
      </w:r>
      <w:r w:rsidR="00D5060A" w:rsidRPr="00D80716">
        <w:rPr>
          <w:sz w:val="18"/>
          <w:szCs w:val="18"/>
        </w:rPr>
        <w:t>.</w:t>
      </w:r>
      <w:r w:rsidR="00947F2A" w:rsidRPr="00D80716">
        <w:rPr>
          <w:sz w:val="18"/>
          <w:szCs w:val="18"/>
        </w:rPr>
        <w:t xml:space="preserve"> </w:t>
      </w:r>
      <w:r w:rsidR="00D5060A" w:rsidRPr="00D80716">
        <w:rPr>
          <w:sz w:val="18"/>
          <w:szCs w:val="18"/>
        </w:rPr>
        <w:t>IV.12.1</w:t>
      </w:r>
      <w:r w:rsidRPr="00D80716">
        <w:rPr>
          <w:sz w:val="18"/>
          <w:szCs w:val="18"/>
        </w:rPr>
        <w:t xml:space="preserve"> Výrez textovej časti územného plánu: </w:t>
      </w:r>
      <w:r w:rsidR="008B6F99" w:rsidRPr="00D80716">
        <w:rPr>
          <w:sz w:val="18"/>
          <w:szCs w:val="18"/>
        </w:rPr>
        <w:t>Regulatívy zóny podľa UPD</w:t>
      </w:r>
    </w:p>
    <w:p w14:paraId="475D14FB" w14:textId="080A08AF" w:rsidR="00D66E61" w:rsidRPr="00D80716" w:rsidRDefault="00D66E61" w:rsidP="00D66E61"/>
    <w:p w14:paraId="58FAC12A" w14:textId="1AEDF98D" w:rsidR="00D66E61" w:rsidRPr="00D80716" w:rsidRDefault="004F36B3" w:rsidP="004F36B3">
      <w:pPr>
        <w:jc w:val="center"/>
      </w:pPr>
      <w:r w:rsidRPr="00D80716">
        <w:rPr>
          <w:noProof/>
          <w:lang w:val="cs-CZ"/>
        </w:rPr>
        <w:drawing>
          <wp:inline distT="0" distB="0" distL="0" distR="0" wp14:anchorId="6D1F7410" wp14:editId="3746FB85">
            <wp:extent cx="2164703" cy="2265045"/>
            <wp:effectExtent l="19050" t="19050" r="26670" b="20955"/>
            <wp:docPr id="52" name="Obrázo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66759" cy="2267196"/>
                    </a:xfrm>
                    <a:prstGeom prst="rect">
                      <a:avLst/>
                    </a:prstGeom>
                    <a:noFill/>
                    <a:ln w="12700">
                      <a:solidFill>
                        <a:schemeClr val="tx1"/>
                      </a:solidFill>
                    </a:ln>
                  </pic:spPr>
                </pic:pic>
              </a:graphicData>
            </a:graphic>
          </wp:inline>
        </w:drawing>
      </w:r>
    </w:p>
    <w:p w14:paraId="27838276" w14:textId="5C6814C6" w:rsidR="004F36B3" w:rsidRPr="00D80716" w:rsidRDefault="004F36B3" w:rsidP="00947F2A">
      <w:pPr>
        <w:pStyle w:val="A-Text11"/>
        <w:jc w:val="center"/>
        <w:rPr>
          <w:noProof/>
          <w:sz w:val="18"/>
          <w:szCs w:val="18"/>
        </w:rPr>
      </w:pPr>
      <w:r w:rsidRPr="00D80716">
        <w:rPr>
          <w:sz w:val="18"/>
          <w:szCs w:val="18"/>
        </w:rPr>
        <w:t xml:space="preserve">Obrázok </w:t>
      </w:r>
      <w:r w:rsidR="00BE7180" w:rsidRPr="00D80716">
        <w:rPr>
          <w:sz w:val="18"/>
          <w:szCs w:val="18"/>
        </w:rPr>
        <w:t>č.</w:t>
      </w:r>
      <w:r w:rsidR="00947F2A" w:rsidRPr="00D80716">
        <w:rPr>
          <w:sz w:val="18"/>
          <w:szCs w:val="18"/>
        </w:rPr>
        <w:t xml:space="preserve"> </w:t>
      </w:r>
      <w:r w:rsidR="00BE7180" w:rsidRPr="00D80716">
        <w:rPr>
          <w:sz w:val="18"/>
          <w:szCs w:val="18"/>
        </w:rPr>
        <w:t>IV.12.</w:t>
      </w:r>
      <w:r w:rsidR="00661237" w:rsidRPr="00D80716">
        <w:rPr>
          <w:sz w:val="18"/>
          <w:szCs w:val="18"/>
        </w:rPr>
        <w:t>2</w:t>
      </w:r>
      <w:r w:rsidR="00BE7180" w:rsidRPr="00D80716">
        <w:rPr>
          <w:sz w:val="18"/>
          <w:szCs w:val="18"/>
        </w:rPr>
        <w:t xml:space="preserve"> </w:t>
      </w:r>
      <w:r w:rsidRPr="00D80716">
        <w:rPr>
          <w:sz w:val="18"/>
          <w:szCs w:val="18"/>
        </w:rPr>
        <w:t>Výrez z priestorového usporiadania a funkčného využitia územného plánu:</w:t>
      </w:r>
      <w:r w:rsidRPr="00D80716">
        <w:rPr>
          <w:noProof/>
          <w:sz w:val="18"/>
          <w:szCs w:val="18"/>
        </w:rPr>
        <w:t xml:space="preserve"> </w:t>
      </w:r>
      <w:r w:rsidR="008B6F99" w:rsidRPr="00D80716">
        <w:rPr>
          <w:noProof/>
          <w:sz w:val="18"/>
          <w:szCs w:val="18"/>
        </w:rPr>
        <w:t>D</w:t>
      </w:r>
      <w:r w:rsidRPr="00D80716">
        <w:rPr>
          <w:noProof/>
          <w:sz w:val="18"/>
          <w:szCs w:val="18"/>
        </w:rPr>
        <w:t>ruh urbanistick</w:t>
      </w:r>
      <w:r w:rsidR="008B6F99" w:rsidRPr="00D80716">
        <w:rPr>
          <w:noProof/>
          <w:sz w:val="18"/>
          <w:szCs w:val="18"/>
        </w:rPr>
        <w:t>ej</w:t>
      </w:r>
      <w:r w:rsidRPr="00D80716">
        <w:rPr>
          <w:noProof/>
          <w:sz w:val="18"/>
          <w:szCs w:val="18"/>
        </w:rPr>
        <w:t xml:space="preserve"> funkc</w:t>
      </w:r>
      <w:r w:rsidR="008B6F99" w:rsidRPr="00D80716">
        <w:rPr>
          <w:noProof/>
          <w:sz w:val="18"/>
          <w:szCs w:val="18"/>
        </w:rPr>
        <w:t>ie</w:t>
      </w:r>
    </w:p>
    <w:p w14:paraId="45ED7D03" w14:textId="77777777" w:rsidR="00394BB0" w:rsidRDefault="00394BB0" w:rsidP="00DA6F65">
      <w:pPr>
        <w:pStyle w:val="A-Text11"/>
        <w:spacing w:line="240" w:lineRule="auto"/>
        <w:ind w:firstLine="0"/>
        <w:rPr>
          <w:b/>
          <w:bCs/>
        </w:rPr>
      </w:pPr>
      <w:bookmarkStart w:id="412" w:name="_Toc84850854"/>
      <w:bookmarkStart w:id="413" w:name="_Toc85415740"/>
    </w:p>
    <w:p w14:paraId="65AEB86B" w14:textId="77777777" w:rsidR="00394BB0" w:rsidRDefault="00394BB0" w:rsidP="00DA6F65">
      <w:pPr>
        <w:pStyle w:val="A-Text11"/>
        <w:spacing w:line="240" w:lineRule="auto"/>
        <w:ind w:firstLine="0"/>
        <w:rPr>
          <w:b/>
          <w:bCs/>
        </w:rPr>
      </w:pPr>
    </w:p>
    <w:p w14:paraId="26D15C40" w14:textId="42E1A61F" w:rsidR="00D66E61" w:rsidRPr="00D80716" w:rsidRDefault="00D66E61" w:rsidP="00DA6F65">
      <w:pPr>
        <w:pStyle w:val="A-Text11"/>
        <w:spacing w:line="240" w:lineRule="auto"/>
        <w:ind w:firstLine="0"/>
        <w:rPr>
          <w:b/>
          <w:bCs/>
        </w:rPr>
      </w:pPr>
      <w:r w:rsidRPr="00D80716">
        <w:rPr>
          <w:b/>
          <w:bCs/>
        </w:rPr>
        <w:lastRenderedPageBreak/>
        <w:t>Vyhodnotenie predpisov o intenzite využívania pôdy</w:t>
      </w:r>
      <w:bookmarkEnd w:id="412"/>
      <w:bookmarkEnd w:id="413"/>
    </w:p>
    <w:p w14:paraId="741E343F" w14:textId="32358B38" w:rsidR="00DC5129" w:rsidRPr="00D80716" w:rsidRDefault="00DC5129" w:rsidP="00CA7498">
      <w:pPr>
        <w:pStyle w:val="A-Text11"/>
        <w:spacing w:line="240" w:lineRule="auto"/>
      </w:pPr>
      <w:r w:rsidRPr="00D80716">
        <w:t>Podľa znenia regulatívov územného plánu pre stabilizované územia v platnom znení nie sú uvedené koeficienty záväzné.</w:t>
      </w:r>
    </w:p>
    <w:p w14:paraId="33A8EFF7" w14:textId="37DE29F0" w:rsidR="00D66E61" w:rsidRPr="00D80716" w:rsidRDefault="00D66E61" w:rsidP="00CA7498">
      <w:pPr>
        <w:pStyle w:val="A-Text11"/>
        <w:spacing w:line="240" w:lineRule="auto"/>
      </w:pPr>
      <w:r w:rsidRPr="00D80716">
        <w:t xml:space="preserve">Vyhodnotenie regulatívov intenzity využitia stabilizovaného územia (IPP, IZP, KZ) celej funkčnej plochy vrátane  pozemku navrhovaného investičného zámeru </w:t>
      </w:r>
      <w:r w:rsidR="004F36B3" w:rsidRPr="00D80716">
        <w:t xml:space="preserve"> </w:t>
      </w:r>
      <w:r w:rsidRPr="00D80716">
        <w:t>- súčasný stav.</w:t>
      </w:r>
    </w:p>
    <w:p w14:paraId="23C53068" w14:textId="26939E93" w:rsidR="00DA6F65" w:rsidRPr="00D80716" w:rsidRDefault="00DA6F65" w:rsidP="00D80716">
      <w:pPr>
        <w:pStyle w:val="A-Text11"/>
        <w:tabs>
          <w:tab w:val="right" w:pos="8789"/>
        </w:tabs>
        <w:spacing w:before="0" w:line="240" w:lineRule="auto"/>
        <w:ind w:firstLine="425"/>
      </w:pPr>
      <w:r w:rsidRPr="00D80716">
        <w:t xml:space="preserve">rozloha územia podľa katastrálnej mapy </w:t>
      </w:r>
      <w:r w:rsidRPr="00D80716">
        <w:tab/>
        <w:t>33 854 m</w:t>
      </w:r>
      <w:r w:rsidRPr="00A36769">
        <w:rPr>
          <w:vertAlign w:val="superscript"/>
        </w:rPr>
        <w:t>2</w:t>
      </w:r>
    </w:p>
    <w:p w14:paraId="5EDEBF2D" w14:textId="3A032F82" w:rsidR="00DA6F65" w:rsidRPr="00D80716" w:rsidRDefault="00DA6F65" w:rsidP="00D80716">
      <w:pPr>
        <w:pStyle w:val="A-Text11"/>
        <w:tabs>
          <w:tab w:val="right" w:pos="8789"/>
        </w:tabs>
        <w:spacing w:before="0" w:line="240" w:lineRule="auto"/>
        <w:ind w:firstLine="425"/>
      </w:pPr>
      <w:r w:rsidRPr="00D80716">
        <w:t>zastavaná plocha podľa katastrálnej mapy</w:t>
      </w:r>
      <w:r w:rsidRPr="00D80716">
        <w:tab/>
        <w:t>6 766 m</w:t>
      </w:r>
      <w:r w:rsidRPr="00A36769">
        <w:rPr>
          <w:vertAlign w:val="superscript"/>
        </w:rPr>
        <w:t>2</w:t>
      </w:r>
    </w:p>
    <w:p w14:paraId="2259006F" w14:textId="14B5C563" w:rsidR="00DA6F65" w:rsidRPr="00D80716" w:rsidRDefault="00DA6F65" w:rsidP="00D80716">
      <w:pPr>
        <w:pStyle w:val="A-Text11"/>
        <w:tabs>
          <w:tab w:val="right" w:pos="8789"/>
        </w:tabs>
        <w:spacing w:before="0" w:line="240" w:lineRule="auto"/>
        <w:ind w:firstLine="425"/>
      </w:pPr>
      <w:r w:rsidRPr="00D80716">
        <w:t>HPP podľa pod</w:t>
      </w:r>
      <w:r w:rsidR="006D2005">
        <w:t>ľ</w:t>
      </w:r>
      <w:r w:rsidRPr="00D80716">
        <w:t>a metodiky úz. plánu</w:t>
      </w:r>
      <w:r w:rsidRPr="00D80716">
        <w:tab/>
        <w:t>12 714 m</w:t>
      </w:r>
      <w:r w:rsidRPr="00A36769">
        <w:rPr>
          <w:vertAlign w:val="superscript"/>
        </w:rPr>
        <w:t>2</w:t>
      </w:r>
    </w:p>
    <w:p w14:paraId="4B72690E" w14:textId="7ACD1E7E" w:rsidR="00DA6F65" w:rsidRPr="00D80716" w:rsidRDefault="00DA6F65" w:rsidP="00D80716">
      <w:pPr>
        <w:pStyle w:val="A-Text11"/>
        <w:tabs>
          <w:tab w:val="right" w:pos="8789"/>
        </w:tabs>
        <w:spacing w:before="0" w:line="240" w:lineRule="auto"/>
        <w:ind w:firstLine="425"/>
      </w:pPr>
      <w:r w:rsidRPr="00D80716">
        <w:t>zeleň na r</w:t>
      </w:r>
      <w:r w:rsidR="003D324E" w:rsidRPr="00D80716">
        <w:t>a</w:t>
      </w:r>
      <w:r w:rsidRPr="00D80716">
        <w:t>st. terén</w:t>
      </w:r>
      <w:r w:rsidR="003D324E" w:rsidRPr="00D80716">
        <w:t>e</w:t>
      </w:r>
      <w:r w:rsidRPr="00D80716">
        <w:t xml:space="preserve">    </w:t>
      </w:r>
      <w:r w:rsidR="00115587" w:rsidRPr="00D80716">
        <w:tab/>
      </w:r>
      <w:r w:rsidRPr="00D80716">
        <w:t>15 056 + 4 698 =</w:t>
      </w:r>
      <w:r w:rsidR="00115587" w:rsidRPr="00D80716">
        <w:t xml:space="preserve"> </w:t>
      </w:r>
      <w:r w:rsidRPr="00D80716">
        <w:t>19 754 m</w:t>
      </w:r>
      <w:r w:rsidRPr="00A36769">
        <w:rPr>
          <w:vertAlign w:val="superscript"/>
        </w:rPr>
        <w:t>2</w:t>
      </w:r>
    </w:p>
    <w:p w14:paraId="359591BB" w14:textId="0741FBA5" w:rsidR="00DA6F65" w:rsidRPr="00D80716" w:rsidRDefault="00DA6F65" w:rsidP="00DA6F65">
      <w:pPr>
        <w:pStyle w:val="A-Text11"/>
      </w:pPr>
      <w:r w:rsidRPr="00D80716">
        <w:t>IPP = 12 714 / 33 854 = 0,38</w:t>
      </w:r>
    </w:p>
    <w:p w14:paraId="460494DD" w14:textId="77777777" w:rsidR="00DA6F65" w:rsidRPr="00D80716" w:rsidRDefault="00DA6F65" w:rsidP="00D80716">
      <w:pPr>
        <w:pStyle w:val="A-Text11"/>
        <w:spacing w:before="0" w:line="240" w:lineRule="auto"/>
        <w:ind w:firstLine="425"/>
      </w:pPr>
      <w:r w:rsidRPr="00D80716">
        <w:t>IZP = 6 766 / 33 854 = 0,20</w:t>
      </w:r>
    </w:p>
    <w:p w14:paraId="6269CF5E" w14:textId="77777777" w:rsidR="00DA6F65" w:rsidRPr="00D80716" w:rsidRDefault="00DA6F65" w:rsidP="00D80716">
      <w:pPr>
        <w:pStyle w:val="A-Text11"/>
        <w:spacing w:before="0" w:line="240" w:lineRule="auto"/>
        <w:ind w:firstLine="425"/>
      </w:pPr>
      <w:r w:rsidRPr="00D80716">
        <w:t>KZ = 19 754 / 33 854 = 0,58</w:t>
      </w:r>
    </w:p>
    <w:p w14:paraId="61CC072C" w14:textId="2AE55C0B" w:rsidR="001E5089" w:rsidRPr="00D80716" w:rsidRDefault="001E5089" w:rsidP="001E5089">
      <w:pPr>
        <w:pStyle w:val="A-Text11"/>
        <w:rPr>
          <w:rFonts w:eastAsia="Arial Unicode MS" w:cs="Arial Unicode MS"/>
        </w:rPr>
      </w:pPr>
      <w:r w:rsidRPr="00D80716">
        <w:rPr>
          <w:rFonts w:eastAsia="Arial Unicode MS" w:cs="Arial Unicode MS"/>
        </w:rPr>
        <w:t>Vyhodnotenie regulatívov intenzity využitia stabilizovaného územia (IPP, IZP, KZ) celej funkčnej plochy vrátane plochy pozemku navrhovaného investičného zámeru - navrhovaný stav.</w:t>
      </w:r>
      <w:r w:rsidRPr="00D80716">
        <w:rPr>
          <w:rFonts w:eastAsia="Arial Unicode MS" w:cs="Arial Unicode MS"/>
        </w:rPr>
        <w:tab/>
      </w:r>
    </w:p>
    <w:p w14:paraId="7CA31FAB" w14:textId="49A2EE4E"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 xml:space="preserve">rozloha územia podľa katastrálnej mapy </w:t>
      </w:r>
      <w:r w:rsidRPr="00D80716">
        <w:rPr>
          <w:rFonts w:eastAsia="Arial Unicode MS" w:cs="Arial Unicode MS"/>
        </w:rPr>
        <w:tab/>
        <w:t>33 854 m</w:t>
      </w:r>
      <w:r w:rsidRPr="00A36769">
        <w:rPr>
          <w:rFonts w:eastAsia="Arial Unicode MS" w:cs="Arial Unicode MS"/>
          <w:vertAlign w:val="superscript"/>
        </w:rPr>
        <w:t>2</w:t>
      </w:r>
    </w:p>
    <w:p w14:paraId="1902D457" w14:textId="77777777"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zastavaná plocha podľa katastrálnej mapy</w:t>
      </w:r>
      <w:r w:rsidRPr="00D80716">
        <w:rPr>
          <w:rFonts w:eastAsia="Arial Unicode MS" w:cs="Arial Unicode MS"/>
        </w:rPr>
        <w:tab/>
        <w:t xml:space="preserve">     6 766 + 2 166,4 = 8 932,4 m</w:t>
      </w:r>
      <w:r w:rsidRPr="00A36769">
        <w:rPr>
          <w:rFonts w:eastAsia="Arial Unicode MS" w:cs="Arial Unicode MS"/>
          <w:vertAlign w:val="superscript"/>
        </w:rPr>
        <w:t>2</w:t>
      </w:r>
    </w:p>
    <w:p w14:paraId="1C98D2C4" w14:textId="73DDE443"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 xml:space="preserve">HPP podľa metodiky úz. plánu     </w:t>
      </w:r>
      <w:r w:rsidRPr="00D80716">
        <w:rPr>
          <w:rFonts w:eastAsia="Arial Unicode MS" w:cs="Arial Unicode MS"/>
        </w:rPr>
        <w:tab/>
        <w:t xml:space="preserve">    12 714 + 6 816,1 = 19 530 m</w:t>
      </w:r>
      <w:r w:rsidRPr="00A36769">
        <w:rPr>
          <w:rFonts w:eastAsia="Arial Unicode MS" w:cs="Arial Unicode MS"/>
          <w:vertAlign w:val="superscript"/>
        </w:rPr>
        <w:t>2</w:t>
      </w:r>
    </w:p>
    <w:p w14:paraId="2DDA75C8" w14:textId="458B009B"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zeleň na r</w:t>
      </w:r>
      <w:r w:rsidR="003D324E" w:rsidRPr="00D80716">
        <w:rPr>
          <w:rFonts w:eastAsia="Arial Unicode MS" w:cs="Arial Unicode MS"/>
        </w:rPr>
        <w:t>a</w:t>
      </w:r>
      <w:r w:rsidRPr="00D80716">
        <w:rPr>
          <w:rFonts w:eastAsia="Arial Unicode MS" w:cs="Arial Unicode MS"/>
        </w:rPr>
        <w:t>st. terénu</w:t>
      </w:r>
      <w:r w:rsidRPr="00D80716">
        <w:rPr>
          <w:rFonts w:eastAsia="Arial Unicode MS" w:cs="Arial Unicode MS"/>
        </w:rPr>
        <w:tab/>
        <w:t xml:space="preserve">             15 056 + 223,8 + 675,1  = 15 954,9 m</w:t>
      </w:r>
      <w:r w:rsidRPr="00A36769">
        <w:rPr>
          <w:rFonts w:eastAsia="Arial Unicode MS" w:cs="Arial Unicode MS"/>
          <w:vertAlign w:val="superscript"/>
        </w:rPr>
        <w:t>2</w:t>
      </w:r>
    </w:p>
    <w:p w14:paraId="66AA58DC" w14:textId="77777777" w:rsidR="001E5089" w:rsidRPr="00D80716" w:rsidRDefault="001E5089" w:rsidP="001E5089">
      <w:pPr>
        <w:pStyle w:val="A-Text11"/>
        <w:rPr>
          <w:rFonts w:eastAsia="Arial Unicode MS" w:cs="Arial Unicode MS"/>
        </w:rPr>
      </w:pPr>
      <w:r w:rsidRPr="00D80716">
        <w:rPr>
          <w:rFonts w:eastAsia="Arial Unicode MS" w:cs="Arial Unicode MS"/>
        </w:rPr>
        <w:t>IPP = 19 530 / 33 854 = 0,58</w:t>
      </w:r>
    </w:p>
    <w:p w14:paraId="301FEEED" w14:textId="77777777" w:rsidR="001E5089" w:rsidRPr="00D80716" w:rsidRDefault="001E5089" w:rsidP="00D80716">
      <w:pPr>
        <w:pStyle w:val="A-Text11"/>
        <w:spacing w:before="0" w:line="240" w:lineRule="auto"/>
        <w:ind w:firstLine="425"/>
        <w:rPr>
          <w:rFonts w:eastAsia="Arial Unicode MS" w:cs="Arial Unicode MS"/>
        </w:rPr>
      </w:pPr>
      <w:r w:rsidRPr="00D80716">
        <w:rPr>
          <w:rFonts w:eastAsia="Arial Unicode MS" w:cs="Arial Unicode MS"/>
        </w:rPr>
        <w:t>IZP = 8 932,4 / 33 854 = 0,26</w:t>
      </w:r>
    </w:p>
    <w:p w14:paraId="541DCF5D" w14:textId="77777777" w:rsidR="001E5089" w:rsidRPr="00D80716" w:rsidRDefault="001E5089" w:rsidP="00D80716">
      <w:pPr>
        <w:pStyle w:val="A-Text11"/>
        <w:spacing w:before="0" w:line="240" w:lineRule="auto"/>
        <w:ind w:firstLine="425"/>
        <w:rPr>
          <w:rFonts w:eastAsia="Arial Unicode MS" w:cs="Arial Unicode MS"/>
        </w:rPr>
      </w:pPr>
      <w:r w:rsidRPr="00D80716">
        <w:rPr>
          <w:rFonts w:eastAsia="Arial Unicode MS" w:cs="Arial Unicode MS"/>
        </w:rPr>
        <w:t>KZ = 15 954,9 / 33 854 = 0,47</w:t>
      </w:r>
    </w:p>
    <w:p w14:paraId="6DF6C2EB" w14:textId="77777777" w:rsidR="001E5089" w:rsidRPr="00D80716" w:rsidRDefault="001E5089" w:rsidP="001E5089">
      <w:pPr>
        <w:pStyle w:val="A-Text11"/>
        <w:rPr>
          <w:rFonts w:eastAsia="Arial Unicode MS" w:cs="Arial Unicode MS"/>
        </w:rPr>
      </w:pPr>
      <w:r w:rsidRPr="00D80716">
        <w:rPr>
          <w:rFonts w:eastAsia="Arial Unicode MS" w:cs="Arial Unicode MS"/>
        </w:rPr>
        <w:t>Vyhodnotenie koeficientov pre špecifické územie v dotknutej funkčnej ploche č. 102 - Územie vymedzené ul. Rožňavská – Za tehelňou – Štiavnická (CORTEC s.r.o., ...):</w:t>
      </w:r>
    </w:p>
    <w:p w14:paraId="616258D8" w14:textId="43F731B3"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 xml:space="preserve">rozloha územia podľa katastrálnej mapy: </w:t>
      </w:r>
      <w:r w:rsidRPr="00D80716">
        <w:rPr>
          <w:rFonts w:eastAsia="Arial Unicode MS" w:cs="Arial Unicode MS"/>
        </w:rPr>
        <w:tab/>
        <w:t>853,54 m</w:t>
      </w:r>
      <w:r w:rsidRPr="00A36769">
        <w:rPr>
          <w:rFonts w:eastAsia="Arial Unicode MS" w:cs="Arial Unicode MS"/>
          <w:vertAlign w:val="superscript"/>
        </w:rPr>
        <w:t>2</w:t>
      </w:r>
    </w:p>
    <w:p w14:paraId="14F73B07" w14:textId="61393D53"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zeleň na r</w:t>
      </w:r>
      <w:r w:rsidR="003D324E" w:rsidRPr="00D80716">
        <w:rPr>
          <w:rFonts w:eastAsia="Arial Unicode MS" w:cs="Arial Unicode MS"/>
        </w:rPr>
        <w:t>a</w:t>
      </w:r>
      <w:r w:rsidRPr="00D80716">
        <w:rPr>
          <w:rFonts w:eastAsia="Arial Unicode MS" w:cs="Arial Unicode MS"/>
        </w:rPr>
        <w:t>st. terén</w:t>
      </w:r>
      <w:r w:rsidR="003D324E" w:rsidRPr="00D80716">
        <w:rPr>
          <w:rFonts w:eastAsia="Arial Unicode MS" w:cs="Arial Unicode MS"/>
        </w:rPr>
        <w:t>e</w:t>
      </w:r>
      <w:r w:rsidRPr="00D80716">
        <w:rPr>
          <w:rFonts w:eastAsia="Arial Unicode MS" w:cs="Arial Unicode MS"/>
        </w:rPr>
        <w:t xml:space="preserve">: </w:t>
      </w:r>
      <w:r w:rsidRPr="00D80716">
        <w:rPr>
          <w:rFonts w:eastAsia="Arial Unicode MS" w:cs="Arial Unicode MS"/>
        </w:rPr>
        <w:tab/>
        <w:t>132,48 m</w:t>
      </w:r>
      <w:r w:rsidRPr="00A36769">
        <w:rPr>
          <w:rFonts w:eastAsia="Arial Unicode MS" w:cs="Arial Unicode MS"/>
          <w:vertAlign w:val="superscript"/>
        </w:rPr>
        <w:t>2</w:t>
      </w:r>
    </w:p>
    <w:p w14:paraId="6BA025E0" w14:textId="5B3DA4C0"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 xml:space="preserve">zastavaná plocha podľa katastrálnej mapy: </w:t>
      </w:r>
      <w:r w:rsidRPr="00D80716">
        <w:rPr>
          <w:rFonts w:eastAsia="Arial Unicode MS" w:cs="Arial Unicode MS"/>
        </w:rPr>
        <w:tab/>
        <w:t>445,01 m</w:t>
      </w:r>
      <w:r w:rsidRPr="00A36769">
        <w:rPr>
          <w:rFonts w:eastAsia="Arial Unicode MS" w:cs="Arial Unicode MS"/>
          <w:vertAlign w:val="superscript"/>
        </w:rPr>
        <w:t>2</w:t>
      </w:r>
    </w:p>
    <w:p w14:paraId="79D9F443" w14:textId="66E644AC"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 xml:space="preserve">HPP podľa podľa metodiky úz. plánu: </w:t>
      </w:r>
      <w:r w:rsidRPr="00D80716">
        <w:rPr>
          <w:rFonts w:eastAsia="Arial Unicode MS" w:cs="Arial Unicode MS"/>
        </w:rPr>
        <w:tab/>
        <w:t>1675,09 m</w:t>
      </w:r>
      <w:r w:rsidRPr="00A36769">
        <w:rPr>
          <w:rFonts w:eastAsia="Arial Unicode MS" w:cs="Arial Unicode MS"/>
          <w:vertAlign w:val="superscript"/>
        </w:rPr>
        <w:t>2</w:t>
      </w:r>
    </w:p>
    <w:p w14:paraId="397CB224" w14:textId="77777777" w:rsidR="001E5089" w:rsidRPr="00D80716" w:rsidRDefault="001E5089" w:rsidP="00D80716">
      <w:pPr>
        <w:pStyle w:val="A-Text11"/>
        <w:spacing w:before="0" w:line="240" w:lineRule="auto"/>
        <w:ind w:firstLine="425"/>
        <w:rPr>
          <w:rFonts w:eastAsia="Arial Unicode MS" w:cs="Arial Unicode MS"/>
        </w:rPr>
      </w:pPr>
    </w:p>
    <w:p w14:paraId="7FCAD608" w14:textId="77777777" w:rsidR="001E5089" w:rsidRPr="00D80716" w:rsidRDefault="001E5089" w:rsidP="00D80716">
      <w:pPr>
        <w:pStyle w:val="A-Text11"/>
        <w:spacing w:before="0" w:line="240" w:lineRule="auto"/>
        <w:ind w:firstLine="425"/>
        <w:rPr>
          <w:rFonts w:eastAsia="Arial Unicode MS" w:cs="Arial Unicode MS"/>
        </w:rPr>
      </w:pPr>
      <w:r w:rsidRPr="00D80716">
        <w:rPr>
          <w:rFonts w:eastAsia="Arial Unicode MS" w:cs="Arial Unicode MS"/>
        </w:rPr>
        <w:t xml:space="preserve">IPP: 1675,09 / 853,54 = 1,96 </w:t>
      </w:r>
    </w:p>
    <w:p w14:paraId="2381F1A3" w14:textId="77777777" w:rsidR="001E5089" w:rsidRPr="00D80716" w:rsidRDefault="001E5089" w:rsidP="00D80716">
      <w:pPr>
        <w:pStyle w:val="A-Text11"/>
        <w:spacing w:before="0" w:line="240" w:lineRule="auto"/>
        <w:ind w:firstLine="425"/>
        <w:rPr>
          <w:rFonts w:eastAsia="Arial Unicode MS" w:cs="Arial Unicode MS"/>
        </w:rPr>
      </w:pPr>
      <w:r w:rsidRPr="00D80716">
        <w:rPr>
          <w:rFonts w:eastAsia="Arial Unicode MS" w:cs="Arial Unicode MS"/>
        </w:rPr>
        <w:t xml:space="preserve">IZP: 445,01 / 853,54 = 0,52 </w:t>
      </w:r>
    </w:p>
    <w:p w14:paraId="4B1FB017" w14:textId="77777777" w:rsidR="001E5089" w:rsidRPr="00D80716" w:rsidRDefault="001E5089" w:rsidP="00D80716">
      <w:pPr>
        <w:pStyle w:val="A-Text11"/>
        <w:spacing w:before="0" w:line="240" w:lineRule="auto"/>
        <w:ind w:firstLine="425"/>
        <w:rPr>
          <w:rFonts w:eastAsia="Arial Unicode MS" w:cs="Arial Unicode MS"/>
        </w:rPr>
      </w:pPr>
      <w:r w:rsidRPr="00D80716">
        <w:rPr>
          <w:rFonts w:eastAsia="Arial Unicode MS" w:cs="Arial Unicode MS"/>
        </w:rPr>
        <w:t>KZ: 132,48 / 853,54 = 0,16</w:t>
      </w:r>
    </w:p>
    <w:p w14:paraId="6BEAEE8B" w14:textId="1D8D7878" w:rsidR="001E5089" w:rsidRPr="00D80716" w:rsidRDefault="00D80716" w:rsidP="001E5089">
      <w:pPr>
        <w:pStyle w:val="A-Text11"/>
        <w:rPr>
          <w:rFonts w:eastAsia="Arial Unicode MS" w:cs="Arial Unicode MS"/>
        </w:rPr>
      </w:pPr>
      <w:r>
        <w:rPr>
          <w:rFonts w:eastAsia="Arial Unicode MS" w:cs="Arial Unicode MS"/>
        </w:rPr>
        <w:t>V</w:t>
      </w:r>
      <w:r w:rsidR="001E5089" w:rsidRPr="00D80716">
        <w:rPr>
          <w:rFonts w:eastAsia="Arial Unicode MS" w:cs="Arial Unicode MS"/>
        </w:rPr>
        <w:t>yhodnotenie koeficientov pre špecifické územie v dotknutej funkčnej ploche č. 102 - Územie vymedzené ul. Rožňavská – Rádiová (areál Motelu Kotva):</w:t>
      </w:r>
    </w:p>
    <w:p w14:paraId="39541AF3" w14:textId="11123278"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 xml:space="preserve">rozloha územia podľa katastrálnej mapy: </w:t>
      </w:r>
      <w:r w:rsidRPr="00D80716">
        <w:rPr>
          <w:rFonts w:eastAsia="Arial Unicode MS" w:cs="Arial Unicode MS"/>
        </w:rPr>
        <w:tab/>
        <w:t>1348,26 m</w:t>
      </w:r>
      <w:r w:rsidRPr="00A36769">
        <w:rPr>
          <w:rFonts w:eastAsia="Arial Unicode MS" w:cs="Arial Unicode MS"/>
          <w:vertAlign w:val="superscript"/>
        </w:rPr>
        <w:t>2</w:t>
      </w:r>
    </w:p>
    <w:p w14:paraId="6A9AB357" w14:textId="10515D39"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zeleň na r</w:t>
      </w:r>
      <w:r w:rsidR="003D324E" w:rsidRPr="00D80716">
        <w:rPr>
          <w:rFonts w:eastAsia="Arial Unicode MS" w:cs="Arial Unicode MS"/>
        </w:rPr>
        <w:t>a</w:t>
      </w:r>
      <w:r w:rsidRPr="00D80716">
        <w:rPr>
          <w:rFonts w:eastAsia="Arial Unicode MS" w:cs="Arial Unicode MS"/>
        </w:rPr>
        <w:t>st. terén</w:t>
      </w:r>
      <w:r w:rsidR="003D324E" w:rsidRPr="00D80716">
        <w:rPr>
          <w:rFonts w:eastAsia="Arial Unicode MS" w:cs="Arial Unicode MS"/>
        </w:rPr>
        <w:t>e</w:t>
      </w:r>
      <w:r w:rsidRPr="00D80716">
        <w:rPr>
          <w:rFonts w:eastAsia="Arial Unicode MS" w:cs="Arial Unicode MS"/>
        </w:rPr>
        <w:t xml:space="preserve">: </w:t>
      </w:r>
      <w:r w:rsidRPr="00D80716">
        <w:rPr>
          <w:rFonts w:eastAsia="Arial Unicode MS" w:cs="Arial Unicode MS"/>
        </w:rPr>
        <w:tab/>
        <w:t>0 m</w:t>
      </w:r>
      <w:r w:rsidRPr="00A36769">
        <w:rPr>
          <w:rFonts w:eastAsia="Arial Unicode MS" w:cs="Arial Unicode MS"/>
          <w:vertAlign w:val="superscript"/>
        </w:rPr>
        <w:t>2</w:t>
      </w:r>
    </w:p>
    <w:p w14:paraId="4BDF135B" w14:textId="12A660CE"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 xml:space="preserve">zastavaná plocha podľa katastrálnej mapy: </w:t>
      </w:r>
      <w:r w:rsidRPr="00D80716">
        <w:rPr>
          <w:rFonts w:eastAsia="Arial Unicode MS" w:cs="Arial Unicode MS"/>
        </w:rPr>
        <w:tab/>
        <w:t>341,73 m</w:t>
      </w:r>
      <w:r w:rsidRPr="00A36769">
        <w:rPr>
          <w:rFonts w:eastAsia="Arial Unicode MS" w:cs="Arial Unicode MS"/>
          <w:vertAlign w:val="superscript"/>
        </w:rPr>
        <w:t>2</w:t>
      </w:r>
    </w:p>
    <w:p w14:paraId="47F66279" w14:textId="13DC8678"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 xml:space="preserve">HPP podľa podľa metodiky úz. plánu: </w:t>
      </w:r>
      <w:r w:rsidRPr="00D80716">
        <w:rPr>
          <w:rFonts w:eastAsia="Arial Unicode MS" w:cs="Arial Unicode MS"/>
        </w:rPr>
        <w:tab/>
        <w:t>2050,38 m</w:t>
      </w:r>
      <w:r w:rsidRPr="00A36769">
        <w:rPr>
          <w:rFonts w:eastAsia="Arial Unicode MS" w:cs="Arial Unicode MS"/>
          <w:vertAlign w:val="superscript"/>
        </w:rPr>
        <w:t>2</w:t>
      </w:r>
    </w:p>
    <w:p w14:paraId="522CA2AF" w14:textId="77777777" w:rsidR="001E5089" w:rsidRPr="00D80716" w:rsidRDefault="001E5089" w:rsidP="00D80716">
      <w:pPr>
        <w:pStyle w:val="A-Text11"/>
        <w:spacing w:before="0" w:line="240" w:lineRule="auto"/>
        <w:ind w:firstLine="425"/>
        <w:rPr>
          <w:rFonts w:eastAsia="Arial Unicode MS" w:cs="Arial Unicode MS"/>
        </w:rPr>
      </w:pPr>
    </w:p>
    <w:p w14:paraId="1569EE8A" w14:textId="77777777" w:rsidR="001E5089" w:rsidRPr="00D80716" w:rsidRDefault="001E5089" w:rsidP="00D80716">
      <w:pPr>
        <w:pStyle w:val="A-Text11"/>
        <w:spacing w:before="0" w:line="240" w:lineRule="auto"/>
        <w:ind w:firstLine="425"/>
        <w:rPr>
          <w:rFonts w:eastAsia="Arial Unicode MS" w:cs="Arial Unicode MS"/>
        </w:rPr>
      </w:pPr>
      <w:r w:rsidRPr="00D80716">
        <w:rPr>
          <w:rFonts w:eastAsia="Arial Unicode MS" w:cs="Arial Unicode MS"/>
        </w:rPr>
        <w:t xml:space="preserve">IPP: 2050,38 / 1348,26 = 1,52 </w:t>
      </w:r>
    </w:p>
    <w:p w14:paraId="1BF0EB3E" w14:textId="77777777" w:rsidR="001E5089" w:rsidRPr="00D80716" w:rsidRDefault="001E5089" w:rsidP="00D80716">
      <w:pPr>
        <w:pStyle w:val="A-Text11"/>
        <w:spacing w:before="0" w:line="240" w:lineRule="auto"/>
        <w:ind w:firstLine="425"/>
        <w:rPr>
          <w:rFonts w:eastAsia="Arial Unicode MS" w:cs="Arial Unicode MS"/>
        </w:rPr>
      </w:pPr>
      <w:r w:rsidRPr="00D80716">
        <w:rPr>
          <w:rFonts w:eastAsia="Arial Unicode MS" w:cs="Arial Unicode MS"/>
        </w:rPr>
        <w:t>IZP: 341,73 / 1348,26 = 0,25</w:t>
      </w:r>
    </w:p>
    <w:p w14:paraId="047D6B77" w14:textId="77777777" w:rsidR="001E5089" w:rsidRPr="00D80716" w:rsidRDefault="001E5089" w:rsidP="00D80716">
      <w:pPr>
        <w:pStyle w:val="A-Text11"/>
        <w:spacing w:before="0" w:line="240" w:lineRule="auto"/>
        <w:ind w:firstLine="425"/>
        <w:rPr>
          <w:rFonts w:eastAsia="Arial Unicode MS" w:cs="Arial Unicode MS"/>
        </w:rPr>
      </w:pPr>
      <w:r w:rsidRPr="00D80716">
        <w:rPr>
          <w:rFonts w:eastAsia="Arial Unicode MS" w:cs="Arial Unicode MS"/>
        </w:rPr>
        <w:t>KZ: 0 / 1348,26 = 0</w:t>
      </w:r>
    </w:p>
    <w:p w14:paraId="574422DB" w14:textId="3A4AC240" w:rsidR="001E5089" w:rsidRPr="00D80716" w:rsidRDefault="001E5089" w:rsidP="001E5089">
      <w:pPr>
        <w:pStyle w:val="A-Text11"/>
        <w:rPr>
          <w:rFonts w:eastAsia="Arial Unicode MS" w:cs="Arial Unicode MS"/>
        </w:rPr>
      </w:pPr>
      <w:r w:rsidRPr="00D80716">
        <w:rPr>
          <w:rFonts w:eastAsia="Arial Unicode MS" w:cs="Arial Unicode MS"/>
        </w:rPr>
        <w:t>Vyhodnotenie regulatívov intenzity využitia (IPP , IZP , KZ) na ploche  záujmových pozemkov (časť funkčnej plochy, resp. stavebný pozemok)</w:t>
      </w:r>
      <w:r w:rsidR="000F7836" w:rsidRPr="00D80716">
        <w:rPr>
          <w:rFonts w:eastAsia="Arial Unicode MS" w:cs="Arial Unicode MS"/>
        </w:rPr>
        <w:t xml:space="preserve"> </w:t>
      </w:r>
      <w:r w:rsidRPr="00D80716">
        <w:rPr>
          <w:rFonts w:eastAsia="Arial Unicode MS" w:cs="Arial Unicode MS"/>
        </w:rPr>
        <w:t>- súčasný stav.</w:t>
      </w:r>
    </w:p>
    <w:p w14:paraId="614FF208" w14:textId="7C429381"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 xml:space="preserve">rozloha územia podľa katastrálnej mapy </w:t>
      </w:r>
      <w:r w:rsidRPr="00D80716">
        <w:rPr>
          <w:rFonts w:eastAsia="Arial Unicode MS" w:cs="Arial Unicode MS"/>
        </w:rPr>
        <w:tab/>
        <w:t>5 365 m</w:t>
      </w:r>
      <w:r w:rsidRPr="00A36769">
        <w:rPr>
          <w:rFonts w:eastAsia="Arial Unicode MS" w:cs="Arial Unicode MS"/>
          <w:vertAlign w:val="superscript"/>
        </w:rPr>
        <w:t>2</w:t>
      </w:r>
    </w:p>
    <w:p w14:paraId="5304F58C" w14:textId="30E0104E"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zastavaná plocha podľa katastrálnej mapy</w:t>
      </w:r>
      <w:r w:rsidRPr="00D80716">
        <w:rPr>
          <w:rFonts w:eastAsia="Arial Unicode MS" w:cs="Arial Unicode MS"/>
        </w:rPr>
        <w:tab/>
        <w:t>0 m</w:t>
      </w:r>
      <w:r w:rsidRPr="00A36769">
        <w:rPr>
          <w:rFonts w:eastAsia="Arial Unicode MS" w:cs="Arial Unicode MS"/>
          <w:vertAlign w:val="superscript"/>
        </w:rPr>
        <w:t>2</w:t>
      </w:r>
    </w:p>
    <w:p w14:paraId="004CD122" w14:textId="527B6A6D"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 xml:space="preserve">HPP podľa podľa metodiky úz. plánu    </w:t>
      </w:r>
      <w:r w:rsidRPr="00D80716">
        <w:rPr>
          <w:rFonts w:eastAsia="Arial Unicode MS" w:cs="Arial Unicode MS"/>
        </w:rPr>
        <w:tab/>
        <w:t>0 m</w:t>
      </w:r>
      <w:r w:rsidRPr="00A36769">
        <w:rPr>
          <w:rFonts w:eastAsia="Arial Unicode MS" w:cs="Arial Unicode MS"/>
          <w:vertAlign w:val="superscript"/>
        </w:rPr>
        <w:t>2</w:t>
      </w:r>
    </w:p>
    <w:p w14:paraId="1DFFAD97" w14:textId="1704972C"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zeleň na rost. terén</w:t>
      </w:r>
      <w:r w:rsidR="003D324E" w:rsidRPr="00D80716">
        <w:rPr>
          <w:rFonts w:eastAsia="Arial Unicode MS" w:cs="Arial Unicode MS"/>
        </w:rPr>
        <w:t>e</w:t>
      </w:r>
      <w:r w:rsidRPr="00D80716">
        <w:rPr>
          <w:rFonts w:eastAsia="Arial Unicode MS" w:cs="Arial Unicode MS"/>
        </w:rPr>
        <w:tab/>
        <w:t>4 698 m</w:t>
      </w:r>
      <w:r w:rsidRPr="00A36769">
        <w:rPr>
          <w:rFonts w:eastAsia="Arial Unicode MS" w:cs="Arial Unicode MS"/>
          <w:vertAlign w:val="superscript"/>
        </w:rPr>
        <w:t>2</w:t>
      </w:r>
    </w:p>
    <w:p w14:paraId="74B34216" w14:textId="77777777" w:rsidR="001E5089" w:rsidRPr="00D80716" w:rsidRDefault="001E5089" w:rsidP="00D80716">
      <w:pPr>
        <w:pStyle w:val="A-Text11"/>
        <w:spacing w:before="0" w:line="240" w:lineRule="auto"/>
        <w:ind w:firstLine="425"/>
        <w:rPr>
          <w:rFonts w:eastAsia="Arial Unicode MS" w:cs="Arial Unicode MS"/>
        </w:rPr>
      </w:pPr>
    </w:p>
    <w:p w14:paraId="1BFB321E" w14:textId="77777777" w:rsidR="001E5089" w:rsidRPr="00D80716" w:rsidRDefault="001E5089" w:rsidP="00D80716">
      <w:pPr>
        <w:pStyle w:val="A-Text11"/>
        <w:spacing w:before="0" w:line="240" w:lineRule="auto"/>
        <w:ind w:firstLine="425"/>
        <w:rPr>
          <w:rFonts w:eastAsia="Arial Unicode MS" w:cs="Arial Unicode MS"/>
        </w:rPr>
      </w:pPr>
      <w:r w:rsidRPr="00D80716">
        <w:rPr>
          <w:rFonts w:eastAsia="Arial Unicode MS" w:cs="Arial Unicode MS"/>
        </w:rPr>
        <w:t>IPP = 0 / 5 365 = 0,00</w:t>
      </w:r>
    </w:p>
    <w:p w14:paraId="0EBE6093" w14:textId="77777777" w:rsidR="001E5089" w:rsidRPr="00D80716" w:rsidRDefault="001E5089" w:rsidP="00D80716">
      <w:pPr>
        <w:pStyle w:val="A-Text11"/>
        <w:spacing w:before="0" w:line="240" w:lineRule="auto"/>
        <w:ind w:firstLine="425"/>
        <w:rPr>
          <w:rFonts w:eastAsia="Arial Unicode MS" w:cs="Arial Unicode MS"/>
        </w:rPr>
      </w:pPr>
      <w:r w:rsidRPr="00D80716">
        <w:rPr>
          <w:rFonts w:eastAsia="Arial Unicode MS" w:cs="Arial Unicode MS"/>
        </w:rPr>
        <w:t>IZP = 0 / 5 365 = 0,00</w:t>
      </w:r>
    </w:p>
    <w:p w14:paraId="388B994E" w14:textId="77777777" w:rsidR="001E5089" w:rsidRPr="00D80716" w:rsidRDefault="001E5089" w:rsidP="00D80716">
      <w:pPr>
        <w:pStyle w:val="A-Text11"/>
        <w:spacing w:before="0" w:line="240" w:lineRule="auto"/>
        <w:ind w:firstLine="425"/>
        <w:rPr>
          <w:rFonts w:eastAsia="Arial Unicode MS" w:cs="Arial Unicode MS"/>
        </w:rPr>
      </w:pPr>
      <w:r w:rsidRPr="00D80716">
        <w:rPr>
          <w:rFonts w:eastAsia="Arial Unicode MS" w:cs="Arial Unicode MS"/>
        </w:rPr>
        <w:t>KZ = 4 698 / 5 365 = 0,88</w:t>
      </w:r>
    </w:p>
    <w:p w14:paraId="4982F4B7" w14:textId="7DEAD757" w:rsidR="001E5089" w:rsidRPr="00D80716" w:rsidRDefault="001E5089" w:rsidP="001E5089">
      <w:pPr>
        <w:pStyle w:val="A-Text11"/>
        <w:rPr>
          <w:rFonts w:eastAsia="Arial Unicode MS" w:cs="Arial Unicode MS"/>
        </w:rPr>
      </w:pPr>
      <w:r w:rsidRPr="00D80716">
        <w:rPr>
          <w:rFonts w:eastAsia="Arial Unicode MS" w:cs="Arial Unicode MS"/>
        </w:rPr>
        <w:t>Vyhodnotenie regulatívov intenzity využitia (IPP , IZP , KZ) na ploche záujmových pozemkov (časť funkčnej plochy, resp. stavebný pozemok)</w:t>
      </w:r>
      <w:r w:rsidR="000F7836" w:rsidRPr="00D80716">
        <w:rPr>
          <w:rFonts w:eastAsia="Arial Unicode MS" w:cs="Arial Unicode MS"/>
        </w:rPr>
        <w:t xml:space="preserve"> </w:t>
      </w:r>
      <w:r w:rsidRPr="00D80716">
        <w:rPr>
          <w:rFonts w:eastAsia="Arial Unicode MS" w:cs="Arial Unicode MS"/>
        </w:rPr>
        <w:t xml:space="preserve">- navrhovaný stav. </w:t>
      </w:r>
    </w:p>
    <w:p w14:paraId="66B7CA94" w14:textId="3554170F"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rozloha územia podľa katastrálnej mapy</w:t>
      </w:r>
      <w:r w:rsidRPr="00D80716">
        <w:rPr>
          <w:rFonts w:eastAsia="Arial Unicode MS" w:cs="Arial Unicode MS"/>
        </w:rPr>
        <w:tab/>
        <w:t>5 365 m</w:t>
      </w:r>
      <w:r w:rsidRPr="00A36769">
        <w:rPr>
          <w:rFonts w:eastAsia="Arial Unicode MS" w:cs="Arial Unicode MS"/>
          <w:vertAlign w:val="superscript"/>
        </w:rPr>
        <w:t>2</w:t>
      </w:r>
    </w:p>
    <w:p w14:paraId="33E3754B" w14:textId="6F916C95"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 xml:space="preserve">zastavaná plocha podľa katastrálnej mapy  </w:t>
      </w:r>
      <w:r w:rsidRPr="00D80716">
        <w:rPr>
          <w:rFonts w:eastAsia="Arial Unicode MS" w:cs="Arial Unicode MS"/>
        </w:rPr>
        <w:tab/>
        <w:t>2 166,4 m</w:t>
      </w:r>
      <w:r w:rsidRPr="00A36769">
        <w:rPr>
          <w:rFonts w:eastAsia="Arial Unicode MS" w:cs="Arial Unicode MS"/>
          <w:vertAlign w:val="superscript"/>
        </w:rPr>
        <w:t>2</w:t>
      </w:r>
    </w:p>
    <w:p w14:paraId="38179CCE" w14:textId="2A17D40A"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HPP podľa metodiky úz. plánu</w:t>
      </w:r>
      <w:r w:rsidRPr="00D80716">
        <w:rPr>
          <w:rFonts w:eastAsia="Arial Unicode MS" w:cs="Arial Unicode MS"/>
        </w:rPr>
        <w:tab/>
        <w:t>6 816,1 m</w:t>
      </w:r>
      <w:r w:rsidRPr="00A36769">
        <w:rPr>
          <w:rFonts w:eastAsia="Arial Unicode MS" w:cs="Arial Unicode MS"/>
          <w:vertAlign w:val="superscript"/>
        </w:rPr>
        <w:t>2</w:t>
      </w:r>
    </w:p>
    <w:p w14:paraId="7CE76D83" w14:textId="60F2BA8F"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zeleň na rost. terén</w:t>
      </w:r>
      <w:r w:rsidR="003D324E" w:rsidRPr="00D80716">
        <w:rPr>
          <w:rFonts w:eastAsia="Arial Unicode MS" w:cs="Arial Unicode MS"/>
        </w:rPr>
        <w:t>e</w:t>
      </w:r>
      <w:r w:rsidRPr="00D80716">
        <w:rPr>
          <w:rFonts w:eastAsia="Arial Unicode MS" w:cs="Arial Unicode MS"/>
        </w:rPr>
        <w:tab/>
        <w:t>675,1 m</w:t>
      </w:r>
      <w:r w:rsidRPr="00A36769">
        <w:rPr>
          <w:rFonts w:eastAsia="Arial Unicode MS" w:cs="Arial Unicode MS"/>
          <w:vertAlign w:val="superscript"/>
        </w:rPr>
        <w:t>2</w:t>
      </w:r>
    </w:p>
    <w:p w14:paraId="55614342" w14:textId="12F04257" w:rsidR="001E5089" w:rsidRPr="00D80716" w:rsidRDefault="001E5089" w:rsidP="00D80716">
      <w:pPr>
        <w:pStyle w:val="A-Text11"/>
        <w:tabs>
          <w:tab w:val="right" w:pos="8789"/>
        </w:tabs>
        <w:spacing w:before="0" w:line="240" w:lineRule="auto"/>
        <w:ind w:firstLine="425"/>
        <w:rPr>
          <w:rFonts w:eastAsia="Arial Unicode MS" w:cs="Arial Unicode MS"/>
        </w:rPr>
      </w:pPr>
      <w:r w:rsidRPr="00D80716">
        <w:rPr>
          <w:rFonts w:eastAsia="Arial Unicode MS" w:cs="Arial Unicode MS"/>
        </w:rPr>
        <w:t xml:space="preserve">zeleň na úrovni ter. nad konstr.    </w:t>
      </w:r>
      <w:r w:rsidRPr="00D80716">
        <w:rPr>
          <w:rFonts w:eastAsia="Arial Unicode MS" w:cs="Arial Unicode MS"/>
        </w:rPr>
        <w:tab/>
        <w:t>746,1 x 0,3 = 223,8 m</w:t>
      </w:r>
      <w:r w:rsidRPr="00A36769">
        <w:rPr>
          <w:rFonts w:eastAsia="Arial Unicode MS" w:cs="Arial Unicode MS"/>
          <w:vertAlign w:val="superscript"/>
        </w:rPr>
        <w:t>2</w:t>
      </w:r>
    </w:p>
    <w:p w14:paraId="6502607A" w14:textId="77777777" w:rsidR="001E5089" w:rsidRPr="00D80716" w:rsidRDefault="001E5089" w:rsidP="00D80716">
      <w:pPr>
        <w:pStyle w:val="A-Text11"/>
        <w:spacing w:before="0" w:line="240" w:lineRule="auto"/>
        <w:ind w:firstLine="425"/>
        <w:rPr>
          <w:rFonts w:eastAsia="Arial Unicode MS" w:cs="Arial Unicode MS"/>
        </w:rPr>
      </w:pPr>
      <w:r w:rsidRPr="00D80716">
        <w:rPr>
          <w:rFonts w:eastAsia="Arial Unicode MS" w:cs="Arial Unicode MS"/>
        </w:rPr>
        <w:t>IPP = 6 816,1 / 5 365 = 1,27</w:t>
      </w:r>
      <w:r w:rsidRPr="00D80716">
        <w:rPr>
          <w:rFonts w:eastAsia="Arial Unicode MS" w:cs="Arial Unicode MS"/>
        </w:rPr>
        <w:tab/>
      </w:r>
    </w:p>
    <w:p w14:paraId="273C0C20" w14:textId="77777777" w:rsidR="001E5089" w:rsidRPr="00D80716" w:rsidRDefault="001E5089" w:rsidP="00D80716">
      <w:pPr>
        <w:pStyle w:val="A-Text11"/>
        <w:spacing w:before="0" w:line="240" w:lineRule="auto"/>
        <w:ind w:firstLine="425"/>
        <w:rPr>
          <w:rFonts w:eastAsia="Arial Unicode MS" w:cs="Arial Unicode MS"/>
        </w:rPr>
      </w:pPr>
      <w:r w:rsidRPr="00D80716">
        <w:rPr>
          <w:rFonts w:eastAsia="Arial Unicode MS" w:cs="Arial Unicode MS"/>
        </w:rPr>
        <w:t>IZP = 2 166,4 / 5 365 = 0,40</w:t>
      </w:r>
    </w:p>
    <w:p w14:paraId="45A9FF5E" w14:textId="77777777" w:rsidR="001E5089" w:rsidRPr="00D80716" w:rsidRDefault="001E5089" w:rsidP="00D80716">
      <w:pPr>
        <w:pStyle w:val="A-Text11"/>
        <w:spacing w:before="0" w:line="240" w:lineRule="auto"/>
        <w:ind w:firstLine="425"/>
        <w:rPr>
          <w:rFonts w:eastAsia="Arial Unicode MS" w:cs="Arial Unicode MS"/>
        </w:rPr>
      </w:pPr>
      <w:r w:rsidRPr="00D80716">
        <w:rPr>
          <w:rFonts w:eastAsia="Arial Unicode MS" w:cs="Arial Unicode MS"/>
        </w:rPr>
        <w:t>KZ = 898,9 / 5 365 = 0,17</w:t>
      </w:r>
    </w:p>
    <w:p w14:paraId="2ADFFEEB" w14:textId="77777777" w:rsidR="00D66E61" w:rsidRPr="00D80716" w:rsidRDefault="00D66E61" w:rsidP="000F7836">
      <w:pPr>
        <w:pStyle w:val="A-Text11"/>
        <w:ind w:firstLine="0"/>
        <w:rPr>
          <w:b/>
          <w:bCs/>
        </w:rPr>
      </w:pPr>
      <w:bookmarkStart w:id="414" w:name="_Toc84850855"/>
      <w:bookmarkStart w:id="415" w:name="_Toc85415741"/>
      <w:r w:rsidRPr="00D80716">
        <w:rPr>
          <w:b/>
          <w:bCs/>
        </w:rPr>
        <w:t>Vyhodnotenie súladu so znením územného plánu</w:t>
      </w:r>
      <w:bookmarkEnd w:id="414"/>
      <w:bookmarkEnd w:id="415"/>
    </w:p>
    <w:p w14:paraId="25172322" w14:textId="77777777" w:rsidR="000F7836" w:rsidRPr="00D80716" w:rsidRDefault="000F7836" w:rsidP="000F7836">
      <w:pPr>
        <w:pStyle w:val="A-Text11"/>
      </w:pPr>
      <w:r w:rsidRPr="00D80716">
        <w:t xml:space="preserve">Stavebný pozemok je trojuholníkového tvaru, z každej strany trojuholníka susedí so zástavbou odlišného charakteru. Na východnej strane je Galvaniho ulica, rušná mestská trieda, voči ktorej sa súbor vymedzuje pozdĺžnou hmotou pavlačového objektu s výškou štyroch podlaží. Z južnej strany susedí s existujúcim sídliskom so 4 až 7 podlažiami. Na západe susedí s nízkopodlažnou zástavbou individuálnych rodinných domov a podnikov. Na tejto strane sa nachádzajú bodové objekty s nižšou výškou troch podlaží. Návrh kompozície hmôt predstavuje prirodzený prechod z vyšších do nižších podlaží, čím spĺňa požiadavky znenia územného plánu z hľadiska kontextu územia. Z analýzy zastavanosti rôznych častí zóny 102 vyplýva, že návrh nevybočuje z rozptylu intenzity zástavby, ktorý sa v zóne nachádza. </w:t>
      </w:r>
    </w:p>
    <w:p w14:paraId="03AB8946" w14:textId="77777777" w:rsidR="000F7836" w:rsidRPr="00D80716" w:rsidRDefault="000F7836" w:rsidP="000F7836">
      <w:pPr>
        <w:pStyle w:val="A-Text11"/>
      </w:pPr>
      <w:r w:rsidRPr="00D80716">
        <w:t>Pokiaľ ide o výšku podlažia, návrh nepresahuje štyri podlažia, a preto je v súlade s územným plánom.</w:t>
      </w:r>
    </w:p>
    <w:p w14:paraId="66BE0590" w14:textId="77777777" w:rsidR="000F7836" w:rsidRPr="00D80716" w:rsidRDefault="000F7836" w:rsidP="000F7836">
      <w:pPr>
        <w:pStyle w:val="A-Text11"/>
      </w:pPr>
      <w:r w:rsidRPr="00D80716">
        <w:t>Pokiaľ ide o prevládajúcu funkciu, 93 % podlahovej plochy je plocha bytov, a preto spĺňa požiadavku územného plánu (70 %).</w:t>
      </w:r>
    </w:p>
    <w:p w14:paraId="692D7FA0" w14:textId="034162D3" w:rsidR="00D66E61" w:rsidRPr="00D80716" w:rsidRDefault="000F7836" w:rsidP="000F7836">
      <w:pPr>
        <w:pStyle w:val="A-Text11"/>
      </w:pPr>
      <w:r w:rsidRPr="00D80716">
        <w:t>Záverom možno konštatovať, že návrh spĺňa požiadavky územného plánu.</w:t>
      </w:r>
    </w:p>
    <w:p w14:paraId="409E8948" w14:textId="77777777" w:rsidR="00E65CA9" w:rsidRPr="000F7C88" w:rsidRDefault="00E65CA9" w:rsidP="008C6F96">
      <w:pPr>
        <w:pStyle w:val="Nadpis2"/>
      </w:pPr>
      <w:r w:rsidRPr="004A7717">
        <w:t xml:space="preserve">  </w:t>
      </w:r>
      <w:bookmarkStart w:id="416" w:name="_Toc132078767"/>
      <w:bookmarkStart w:id="417" w:name="_Toc495993002"/>
      <w:bookmarkStart w:id="418" w:name="_Toc93916861"/>
      <w:r w:rsidRPr="004A7717">
        <w:t xml:space="preserve">Ďalší postup hodnotenia vplyvov s uvedením najzávažnejších  </w:t>
      </w:r>
      <w:r w:rsidRPr="000F7C88">
        <w:t>okruhov problémov</w:t>
      </w:r>
      <w:bookmarkEnd w:id="416"/>
      <w:bookmarkEnd w:id="417"/>
      <w:bookmarkEnd w:id="418"/>
    </w:p>
    <w:p w14:paraId="1D056F97" w14:textId="67A0D123" w:rsidR="00E65CA9" w:rsidRPr="000F7C88" w:rsidRDefault="00E65CA9" w:rsidP="00947F2A">
      <w:pPr>
        <w:pStyle w:val="A-Text11"/>
      </w:pPr>
      <w:r w:rsidRPr="000F7C88">
        <w:t xml:space="preserve">Predkladaný zámer podáva základnú charakteristiku navrhovanej činnosti, základné údaje o súčasnom stave životného prostredia, základné údaje o predpokladaných vplyvoch na životné prostredie. Obsahuje tiež prvotné porovnanie variantov a návrh opatrení na vylúčenie alebo zníženie možných negatívnych vplyvov. Tieto predpoklady </w:t>
      </w:r>
      <w:r w:rsidR="000F7C88">
        <w:t>boli</w:t>
      </w:r>
      <w:r w:rsidRPr="000F7C88">
        <w:t xml:space="preserve">  overené expertíznymi posudkami – štúdiami a v rámci nich </w:t>
      </w:r>
      <w:r w:rsidR="000F7C88">
        <w:t>boli</w:t>
      </w:r>
      <w:r w:rsidRPr="000F7C88">
        <w:t xml:space="preserve"> navrhnuté  opatrenia, ktoré  budú spresnené v ďalších stupňoch prípravy.      </w:t>
      </w:r>
    </w:p>
    <w:p w14:paraId="7496C4ED" w14:textId="023E7FB8" w:rsidR="00E65CA9" w:rsidRPr="000F7C88" w:rsidRDefault="00E65CA9" w:rsidP="00947F2A">
      <w:pPr>
        <w:pStyle w:val="A-Text11"/>
        <w:rPr>
          <w:szCs w:val="24"/>
        </w:rPr>
      </w:pPr>
      <w:r w:rsidRPr="000F7C88">
        <w:rPr>
          <w:szCs w:val="24"/>
        </w:rPr>
        <w:t>Vychádzajúc z doterajších výsledkov hodnotenia vplyvov na životné prostredie za najzávažnejšie problémové okruhy posudzované v predkladanom Zámere  možno považovať:</w:t>
      </w:r>
    </w:p>
    <w:p w14:paraId="570DA677" w14:textId="77777777" w:rsidR="00E65CA9" w:rsidRPr="000F7C88" w:rsidRDefault="00E65CA9" w:rsidP="00E476FE">
      <w:pPr>
        <w:widowControl/>
        <w:spacing w:before="120"/>
        <w:jc w:val="both"/>
        <w:rPr>
          <w:rFonts w:ascii="Arial" w:hAnsi="Arial" w:cs="Arial"/>
          <w:b/>
          <w:bCs/>
          <w:i/>
          <w:iCs/>
          <w:sz w:val="22"/>
          <w:szCs w:val="24"/>
          <w:lang w:eastAsia="en-US"/>
        </w:rPr>
      </w:pPr>
      <w:r w:rsidRPr="000F7C88">
        <w:rPr>
          <w:rFonts w:ascii="Arial" w:hAnsi="Arial" w:cs="Arial"/>
          <w:b/>
          <w:bCs/>
          <w:i/>
          <w:iCs/>
          <w:sz w:val="22"/>
          <w:szCs w:val="24"/>
          <w:lang w:eastAsia="en-US"/>
        </w:rPr>
        <w:t xml:space="preserve">V etape výstavby </w:t>
      </w:r>
    </w:p>
    <w:p w14:paraId="41B81280" w14:textId="77777777" w:rsidR="00E65CA9" w:rsidRPr="000F7C88" w:rsidRDefault="00E65CA9" w:rsidP="00947F2A">
      <w:pPr>
        <w:pStyle w:val="A-Text11"/>
      </w:pPr>
      <w:r w:rsidRPr="000F7C88">
        <w:t xml:space="preserve">Realizácia  zámeru  zvýši zaťaženie  hlukom, prašnosťou a znečistením ovzdušia spôsobené pohybom stavebných mechanizmov. Tento vplyv by bol však obmedzený na hodnotenú lokalitu a časovo obmedzený na dobou stavebných prác. Priame vplyvy  a zdravotné riziká by znášali len pracovníci zúčastnení na stavebných prácach. Nepriamo, </w:t>
      </w:r>
      <w:r w:rsidRPr="000F7C88">
        <w:lastRenderedPageBreak/>
        <w:t xml:space="preserve">zvýšenou hlučnosťou, resp. zvýšeným znečistením  ovzdušia spôsobené stavebnými mechanizmami, by boli ovplyvnení  aj obyvatelia najbližšieho okolia. </w:t>
      </w:r>
    </w:p>
    <w:p w14:paraId="4DAA8839" w14:textId="77777777" w:rsidR="00E65CA9" w:rsidRPr="000F7C88" w:rsidRDefault="00E65CA9" w:rsidP="00E476FE">
      <w:pPr>
        <w:pStyle w:val="Hlavika"/>
        <w:tabs>
          <w:tab w:val="clear" w:pos="4703"/>
          <w:tab w:val="clear" w:pos="9406"/>
        </w:tabs>
        <w:spacing w:before="120"/>
        <w:rPr>
          <w:rFonts w:ascii="Arial" w:hAnsi="Arial" w:cs="Arial"/>
          <w:b/>
          <w:bCs/>
          <w:i/>
          <w:iCs/>
          <w:sz w:val="22"/>
          <w:lang w:val="sk-SK"/>
        </w:rPr>
      </w:pPr>
      <w:r w:rsidRPr="000F7C88">
        <w:rPr>
          <w:rFonts w:ascii="Arial" w:hAnsi="Arial" w:cs="Arial"/>
          <w:b/>
          <w:bCs/>
          <w:i/>
          <w:iCs/>
          <w:sz w:val="22"/>
          <w:lang w:val="sk-SK"/>
        </w:rPr>
        <w:t>V etape prevádzky</w:t>
      </w:r>
    </w:p>
    <w:p w14:paraId="2238D6BD" w14:textId="77777777" w:rsidR="00E65CA9" w:rsidRPr="000F7C88" w:rsidRDefault="00E65CA9" w:rsidP="00947F2A">
      <w:pPr>
        <w:pStyle w:val="A-Text11"/>
      </w:pPr>
      <w:r w:rsidRPr="000F7C88">
        <w:t>Predpokladané vplyvy počas prevádzky boli v zámere hodnotené s ohľadom na obyvateľstvo vrátane zdravia a na prírodné prostredie. Vplyvy na prírodné prostredie boli hodnotené v týchto oblastiach:</w:t>
      </w:r>
    </w:p>
    <w:p w14:paraId="7992D6F1" w14:textId="77777777" w:rsidR="00E65CA9" w:rsidRPr="000F7C88" w:rsidRDefault="00E65CA9" w:rsidP="00DE561A">
      <w:pPr>
        <w:pStyle w:val="Hlavika"/>
        <w:numPr>
          <w:ilvl w:val="0"/>
          <w:numId w:val="5"/>
        </w:numPr>
        <w:tabs>
          <w:tab w:val="clear" w:pos="4703"/>
          <w:tab w:val="clear" w:pos="9406"/>
        </w:tabs>
        <w:ind w:left="714" w:hanging="357"/>
        <w:rPr>
          <w:rFonts w:ascii="Arial" w:hAnsi="Arial" w:cs="Arial"/>
          <w:sz w:val="22"/>
          <w:lang w:val="sk-SK"/>
        </w:rPr>
      </w:pPr>
      <w:r w:rsidRPr="000F7C88">
        <w:rPr>
          <w:rFonts w:ascii="Arial" w:hAnsi="Arial" w:cs="Arial"/>
          <w:sz w:val="22"/>
          <w:lang w:val="sk-SK"/>
        </w:rPr>
        <w:t>vplyvy na ovzdušie a miestnu klímu</w:t>
      </w:r>
    </w:p>
    <w:p w14:paraId="114CC3EE" w14:textId="77777777" w:rsidR="00E65CA9" w:rsidRPr="000F7C88" w:rsidRDefault="00E65CA9" w:rsidP="00DE561A">
      <w:pPr>
        <w:pStyle w:val="Hlavika"/>
        <w:numPr>
          <w:ilvl w:val="0"/>
          <w:numId w:val="5"/>
        </w:numPr>
        <w:tabs>
          <w:tab w:val="clear" w:pos="4703"/>
          <w:tab w:val="clear" w:pos="9406"/>
        </w:tabs>
        <w:ind w:left="714" w:hanging="357"/>
        <w:rPr>
          <w:rFonts w:ascii="Arial" w:hAnsi="Arial" w:cs="Arial"/>
          <w:sz w:val="22"/>
          <w:lang w:val="sk-SK"/>
        </w:rPr>
      </w:pPr>
      <w:r w:rsidRPr="000F7C88">
        <w:rPr>
          <w:rFonts w:ascii="Arial" w:hAnsi="Arial" w:cs="Arial"/>
          <w:sz w:val="22"/>
          <w:lang w:val="sk-SK"/>
        </w:rPr>
        <w:t>vplyvy na povrchové a podzemné vody</w:t>
      </w:r>
    </w:p>
    <w:p w14:paraId="490535FC" w14:textId="77777777" w:rsidR="00E65CA9" w:rsidRPr="000F7C88" w:rsidRDefault="00E65CA9" w:rsidP="00DE561A">
      <w:pPr>
        <w:pStyle w:val="Hlavika"/>
        <w:numPr>
          <w:ilvl w:val="0"/>
          <w:numId w:val="5"/>
        </w:numPr>
        <w:tabs>
          <w:tab w:val="clear" w:pos="4703"/>
          <w:tab w:val="clear" w:pos="9406"/>
        </w:tabs>
        <w:ind w:left="714" w:hanging="357"/>
        <w:rPr>
          <w:rFonts w:ascii="Arial" w:hAnsi="Arial" w:cs="Arial"/>
          <w:sz w:val="22"/>
          <w:lang w:val="sk-SK"/>
        </w:rPr>
      </w:pPr>
      <w:r w:rsidRPr="000F7C88">
        <w:rPr>
          <w:rFonts w:ascii="Arial" w:hAnsi="Arial" w:cs="Arial"/>
          <w:sz w:val="22"/>
          <w:lang w:val="sk-SK"/>
        </w:rPr>
        <w:t>vplyvy na pôdu</w:t>
      </w:r>
    </w:p>
    <w:p w14:paraId="67F4EB0C" w14:textId="77777777" w:rsidR="00E65CA9" w:rsidRPr="000F7C88" w:rsidRDefault="00E65CA9" w:rsidP="00DE561A">
      <w:pPr>
        <w:pStyle w:val="Hlavika"/>
        <w:numPr>
          <w:ilvl w:val="0"/>
          <w:numId w:val="5"/>
        </w:numPr>
        <w:tabs>
          <w:tab w:val="clear" w:pos="4703"/>
          <w:tab w:val="clear" w:pos="9406"/>
        </w:tabs>
        <w:ind w:left="714" w:hanging="357"/>
        <w:rPr>
          <w:rFonts w:ascii="Arial" w:hAnsi="Arial" w:cs="Arial"/>
          <w:sz w:val="22"/>
          <w:lang w:val="sk-SK"/>
        </w:rPr>
      </w:pPr>
      <w:r w:rsidRPr="000F7C88">
        <w:rPr>
          <w:rFonts w:ascii="Arial" w:hAnsi="Arial" w:cs="Arial"/>
          <w:sz w:val="22"/>
          <w:lang w:val="sk-SK"/>
        </w:rPr>
        <w:t>vplyvy na genofond a biodiverzitu</w:t>
      </w:r>
    </w:p>
    <w:p w14:paraId="39EA17C8" w14:textId="77777777" w:rsidR="00E65CA9" w:rsidRPr="000F7C88" w:rsidRDefault="00E65CA9" w:rsidP="00DE561A">
      <w:pPr>
        <w:pStyle w:val="Hlavika"/>
        <w:numPr>
          <w:ilvl w:val="0"/>
          <w:numId w:val="5"/>
        </w:numPr>
        <w:tabs>
          <w:tab w:val="clear" w:pos="4703"/>
          <w:tab w:val="clear" w:pos="9406"/>
        </w:tabs>
        <w:ind w:left="714" w:hanging="357"/>
        <w:rPr>
          <w:rFonts w:ascii="Arial" w:hAnsi="Arial" w:cs="Arial"/>
          <w:sz w:val="22"/>
          <w:lang w:val="sk-SK"/>
        </w:rPr>
      </w:pPr>
      <w:r w:rsidRPr="000F7C88">
        <w:rPr>
          <w:rFonts w:ascii="Arial" w:hAnsi="Arial" w:cs="Arial"/>
          <w:sz w:val="22"/>
          <w:lang w:val="sk-SK"/>
        </w:rPr>
        <w:t>vplyvy na krajinu</w:t>
      </w:r>
    </w:p>
    <w:p w14:paraId="649F2720" w14:textId="77777777" w:rsidR="00E65CA9" w:rsidRPr="000F7C88" w:rsidRDefault="00E65CA9" w:rsidP="00DE561A">
      <w:pPr>
        <w:pStyle w:val="Hlavika"/>
        <w:numPr>
          <w:ilvl w:val="0"/>
          <w:numId w:val="5"/>
        </w:numPr>
        <w:tabs>
          <w:tab w:val="clear" w:pos="4703"/>
          <w:tab w:val="clear" w:pos="9406"/>
        </w:tabs>
        <w:ind w:left="714" w:hanging="357"/>
        <w:rPr>
          <w:rFonts w:ascii="Arial" w:hAnsi="Arial" w:cs="Arial"/>
          <w:sz w:val="22"/>
          <w:lang w:val="sk-SK"/>
        </w:rPr>
      </w:pPr>
      <w:r w:rsidRPr="000F7C88">
        <w:rPr>
          <w:rFonts w:ascii="Arial" w:hAnsi="Arial" w:cs="Arial"/>
          <w:sz w:val="22"/>
          <w:lang w:val="sk-SK"/>
        </w:rPr>
        <w:t>vplyvy na chránené územia prírody</w:t>
      </w:r>
    </w:p>
    <w:p w14:paraId="169FAEC0" w14:textId="483B8BE5" w:rsidR="00AD0549" w:rsidRPr="00CA7498" w:rsidRDefault="00AD0549" w:rsidP="00947F2A">
      <w:pPr>
        <w:pStyle w:val="A-Text11"/>
      </w:pPr>
      <w:r w:rsidRPr="00CA7498">
        <w:t>Predpokladané vplyvy počas prevádzky b</w:t>
      </w:r>
      <w:r w:rsidR="000F7C88" w:rsidRPr="00CA7498">
        <w:t>oli</w:t>
      </w:r>
      <w:r w:rsidRPr="00CA7498">
        <w:t xml:space="preserve"> overené samostatnými štúdiami, </w:t>
      </w:r>
      <w:r w:rsidRPr="00CA7498">
        <w:rPr>
          <w:bCs/>
          <w:i/>
          <w:iCs/>
        </w:rPr>
        <w:t>svetlotechnické posúdenie, akustická a rozptylová štúdia.</w:t>
      </w:r>
    </w:p>
    <w:p w14:paraId="2AC5DFE2" w14:textId="77777777" w:rsidR="00E65CA9" w:rsidRPr="000F7C88" w:rsidRDefault="00E65CA9" w:rsidP="00947F2A">
      <w:pPr>
        <w:pStyle w:val="A-Text11"/>
      </w:pPr>
      <w:r w:rsidRPr="00CA7498">
        <w:t xml:space="preserve">Predkladaný zámer výstavby súboru pozemných stavieb identifikoval ako možné problémové okruhy </w:t>
      </w:r>
      <w:r w:rsidRPr="000F7C88">
        <w:t xml:space="preserve">tie, ktoré sú spojené s nebezpečenstvom znečisťovania ovzdušia, znečisťovania vôd, záťaže hlukom a nakladaním s odpadmi. </w:t>
      </w:r>
    </w:p>
    <w:p w14:paraId="042AB5D9" w14:textId="77777777" w:rsidR="00E65CA9" w:rsidRPr="000F7C88" w:rsidRDefault="00E65CA9" w:rsidP="00947F2A">
      <w:pPr>
        <w:pStyle w:val="A-Text11"/>
      </w:pPr>
      <w:r w:rsidRPr="000F7C88">
        <w:t xml:space="preserve">Pri dodržaní podmienok legislatívy v oblasti ochrany ovzdušia pred znečisťujúcimi látkami, možno predpokladať, že  najvyššie hodnoty koncentrácie znečisťujúcich látok v okolí budú nižšie ako sú príslušné imisné limity. Nie je preto reálny predpoklad, že by prevádzka objektu ovplyvnila znečistenie ovzdušia jeho okolia nad prípustnú mieru. </w:t>
      </w:r>
    </w:p>
    <w:p w14:paraId="758F0A04" w14:textId="77777777" w:rsidR="00E65CA9" w:rsidRPr="000F7C88" w:rsidRDefault="00E65CA9" w:rsidP="00947F2A">
      <w:pPr>
        <w:pStyle w:val="A-Text11"/>
      </w:pPr>
      <w:r w:rsidRPr="000F7C88">
        <w:t>Splaškové  vody budú odvádzané do splaškovej kanalizácie, ktorá je zaústená do verejnej kanalizácie. Splaškové vody a vody z povrchového odtoku budú do kanalizácie vypúšťané len v súlade s podmienkami zákona NR SR č. 364/2004 Z.z. o vodách a podmienkami správcu kanalizačnej siete. Tým ovplyvnia kvalitatívne a kvantitatívne parametre povrchového toku len sprostredkovane. Do recipientu sa nedostanú priamo, ale ako časť vôd prečistených v  čistiarni odpadových vôd.</w:t>
      </w:r>
    </w:p>
    <w:p w14:paraId="0B802089" w14:textId="769B1778" w:rsidR="00E65CA9" w:rsidRPr="000F7C88" w:rsidRDefault="00E65CA9" w:rsidP="00947F2A">
      <w:pPr>
        <w:pStyle w:val="A-Text11"/>
      </w:pPr>
      <w:r w:rsidRPr="000F7C88">
        <w:t>Ďalšie významné vplyvy v etape výstavby komunikácií, technickej  infraštruktúry a  objektu sú v súvislosti s dopravou. Osobitnou problematikou je hluk z dopravy. Z posúdenia vplyvu dopravného hluku  na projektovaný objekt vyplyn</w:t>
      </w:r>
      <w:r w:rsidR="000F7C88">
        <w:t>uli</w:t>
      </w:r>
      <w:r w:rsidRPr="000F7C88">
        <w:t xml:space="preserve"> hygienické požiadavky a tiež požiadavky na obvodový plášť, vetranie vnútorných priestorov a na zvukovú izoláciu vnútorných konštrukcií.</w:t>
      </w:r>
    </w:p>
    <w:p w14:paraId="4D6CDC98" w14:textId="55EAA772" w:rsidR="00E65CA9" w:rsidRPr="000F7C88" w:rsidRDefault="00E65CA9" w:rsidP="00947F2A">
      <w:pPr>
        <w:pStyle w:val="A-Text11"/>
      </w:pPr>
      <w:r w:rsidRPr="000F7C88">
        <w:t>Požadované parametre obvodového plášťa, výplňových konštrukčných otvorov, medzibytové priečky, stropné konštrukcie budú určené v  zmysle STN 73 0532. Všetky stacionárne zdroje hluku umiestnené vo vnútornom prostredí b</w:t>
      </w:r>
      <w:r w:rsidR="000F7C88" w:rsidRPr="000F7C88">
        <w:t>oli</w:t>
      </w:r>
      <w:r w:rsidRPr="000F7C88">
        <w:t xml:space="preserve">  navrhnuté tak, aby v najbližších miestnostiach neboli prekročené najvyššej prípustné maximálne hladiny hluku v zmysle Vyhlášky MZ SR č. 549/2007 Z.z. Všetky stacionárne zdroje hluku umiestnené vo vonkajšom prostredí stavby budú tiež  navrhnuté tak, aby pred oknami najbližších obytných miestností neboli prekročené najvyššie prípustné hladiny hluku podľa uvedenej vyhlášky. </w:t>
      </w:r>
    </w:p>
    <w:p w14:paraId="64578F3B" w14:textId="77777777" w:rsidR="00E65CA9" w:rsidRPr="000F7C88" w:rsidRDefault="00E65CA9" w:rsidP="00947F2A">
      <w:pPr>
        <w:pStyle w:val="A-Text11"/>
      </w:pPr>
      <w:r w:rsidRPr="000F7C88">
        <w:t xml:space="preserve">V etape výstavby aj v etape prevádzky sa budú všetky zainteresované subjekty riadiť platnou legislatívou v oblasti nakladania s odpadmi. Stavebná organizácia aj prevádzkovateľ objektu budú v oblasti nakladania s odpadmi rešpektovať podmienky zákona o odpadoch a s ním súvisiacich predpisov a Programu odpadového hospodárstva (POH) obce. V prípade </w:t>
      </w:r>
      <w:r w:rsidRPr="000F7C88">
        <w:lastRenderedPageBreak/>
        <w:t xml:space="preserve">dodržania všetkých legislatívnych podmienok v oblasti nakladania s odpadmi budú vplyvy v tejto oblasti v akceptovateľnej  úrovni.  </w:t>
      </w:r>
    </w:p>
    <w:p w14:paraId="0E1EA660" w14:textId="2EA1932D" w:rsidR="00D86BDC" w:rsidRPr="006506B7" w:rsidRDefault="00D86BDC" w:rsidP="00E476FE">
      <w:pPr>
        <w:widowControl/>
        <w:spacing w:before="120"/>
        <w:jc w:val="both"/>
        <w:rPr>
          <w:rFonts w:ascii="Arial" w:hAnsi="Arial" w:cs="Arial"/>
          <w:b/>
          <w:bCs/>
          <w:i/>
          <w:iCs/>
          <w:sz w:val="22"/>
          <w:szCs w:val="22"/>
          <w:lang w:eastAsia="en-US"/>
        </w:rPr>
      </w:pPr>
      <w:r w:rsidRPr="006506B7">
        <w:rPr>
          <w:rFonts w:ascii="Arial" w:hAnsi="Arial" w:cs="Arial"/>
          <w:b/>
          <w:bCs/>
          <w:i/>
          <w:iCs/>
          <w:sz w:val="22"/>
          <w:szCs w:val="22"/>
          <w:lang w:eastAsia="en-US"/>
        </w:rPr>
        <w:t>ZÁVERY:</w:t>
      </w:r>
    </w:p>
    <w:p w14:paraId="48E15F7B" w14:textId="77777777" w:rsidR="00D86BDC" w:rsidRPr="007A5B59" w:rsidRDefault="00D86BDC" w:rsidP="007A5B59">
      <w:pPr>
        <w:pStyle w:val="A-Text11"/>
        <w:rPr>
          <w:b/>
          <w:bCs/>
          <w:i/>
          <w:iCs/>
        </w:rPr>
      </w:pPr>
      <w:r w:rsidRPr="007A5B59">
        <w:rPr>
          <w:b/>
          <w:bCs/>
          <w:i/>
          <w:iCs/>
        </w:rPr>
        <w:t xml:space="preserve">V rámci opisu navrhovanej činnosti, a hodnotenia predpokladaných vplyvov boli uvedené technické a legislatívne podmienky realizácie stavby a následnej prevádzky. Pri splnení týchto podmienok nie je potrebné stanovovať osobitné podmienky nad rámec týchto predpisov. V konkrétnej podobe budú určené v podmienkach  v rámci povoľovacích konaní v zmysle osobitných predpisov.  </w:t>
      </w:r>
    </w:p>
    <w:p w14:paraId="0918CAC7" w14:textId="09954660" w:rsidR="00B375BA" w:rsidRPr="007A5B59" w:rsidRDefault="00E65CA9" w:rsidP="007A5B59">
      <w:pPr>
        <w:pStyle w:val="A-Text11"/>
        <w:rPr>
          <w:b/>
          <w:bCs/>
          <w:i/>
          <w:iCs/>
        </w:rPr>
      </w:pPr>
      <w:r w:rsidRPr="007A5B59">
        <w:rPr>
          <w:b/>
          <w:bCs/>
          <w:i/>
          <w:iCs/>
        </w:rPr>
        <w:t xml:space="preserve">Z celkového posúdenia predpokladaných vplyvov realizácie objektu  na životné prostredie, možno konštatovať, že navrhovaná činnosť je realizovateľná podľa obidvoch navrhovaných variantov za akceptovateľných vplyvov na životné prostredie. </w:t>
      </w:r>
    </w:p>
    <w:p w14:paraId="1727E6A6" w14:textId="77777777" w:rsidR="00E65CA9" w:rsidRPr="00104B33" w:rsidRDefault="00E65CA9" w:rsidP="00E476FE">
      <w:pPr>
        <w:pStyle w:val="Nadpis1"/>
        <w:shd w:val="clear" w:color="auto" w:fill="auto"/>
        <w:ind w:left="720" w:hanging="720"/>
        <w:rPr>
          <w:lang w:val="sk-SK"/>
        </w:rPr>
      </w:pPr>
      <w:bookmarkStart w:id="419" w:name="_Toc132078768"/>
      <w:bookmarkStart w:id="420" w:name="_Toc450406288"/>
      <w:bookmarkStart w:id="421" w:name="_Toc488344023"/>
      <w:bookmarkStart w:id="422" w:name="_Toc495993003"/>
      <w:bookmarkStart w:id="423" w:name="_Toc93916862"/>
      <w:bookmarkStart w:id="424" w:name="_Toc126326697"/>
      <w:bookmarkStart w:id="425" w:name="_Toc129949221"/>
      <w:bookmarkStart w:id="426" w:name="_Toc132078769"/>
      <w:r w:rsidRPr="00104B33">
        <w:rPr>
          <w:lang w:val="sk-SK"/>
        </w:rPr>
        <w:t>Porovnanie variantov navrhovanej činnosti a návrh optimálneho variantu</w:t>
      </w:r>
      <w:bookmarkEnd w:id="419"/>
      <w:bookmarkEnd w:id="420"/>
      <w:r w:rsidRPr="00104B33">
        <w:rPr>
          <w:lang w:val="sk-SK"/>
        </w:rPr>
        <w:t xml:space="preserve"> s prihliadnutím na vplyvy na životné prostredie</w:t>
      </w:r>
      <w:bookmarkEnd w:id="421"/>
      <w:bookmarkEnd w:id="422"/>
      <w:bookmarkEnd w:id="423"/>
    </w:p>
    <w:p w14:paraId="70C8242D" w14:textId="77777777" w:rsidR="00E65CA9" w:rsidRPr="004A7717" w:rsidRDefault="00E65CA9" w:rsidP="008C6F96">
      <w:pPr>
        <w:pStyle w:val="Nadpis2"/>
      </w:pPr>
      <w:bookmarkStart w:id="427" w:name="_Toc495993004"/>
      <w:bookmarkStart w:id="428" w:name="_Toc93916863"/>
      <w:r w:rsidRPr="00104B33">
        <w:t xml:space="preserve">Tvorba súboru kritérií </w:t>
      </w:r>
      <w:r w:rsidRPr="004A7717">
        <w:t>a určenie ich dôležitosti na výber optimálneho variantu</w:t>
      </w:r>
      <w:bookmarkEnd w:id="424"/>
      <w:bookmarkEnd w:id="425"/>
      <w:bookmarkEnd w:id="426"/>
      <w:bookmarkEnd w:id="427"/>
      <w:bookmarkEnd w:id="428"/>
    </w:p>
    <w:p w14:paraId="4920C330" w14:textId="77777777" w:rsidR="00E65CA9" w:rsidRPr="00104B33" w:rsidRDefault="00E65CA9" w:rsidP="00E476FE">
      <w:pPr>
        <w:widowControl/>
        <w:spacing w:before="120"/>
        <w:jc w:val="both"/>
        <w:rPr>
          <w:rFonts w:ascii="Arial" w:hAnsi="Arial" w:cs="Arial"/>
          <w:sz w:val="22"/>
          <w:szCs w:val="22"/>
          <w:lang w:eastAsia="en-US"/>
        </w:rPr>
      </w:pPr>
      <w:bookmarkStart w:id="429" w:name="_Toc126326698"/>
      <w:bookmarkStart w:id="430" w:name="_Toc129949222"/>
      <w:bookmarkStart w:id="431" w:name="_Toc132078770"/>
      <w:r w:rsidRPr="00104B33">
        <w:rPr>
          <w:rFonts w:ascii="Arial" w:hAnsi="Arial" w:cs="Arial"/>
          <w:sz w:val="22"/>
          <w:szCs w:val="22"/>
          <w:lang w:eastAsia="en-US"/>
        </w:rPr>
        <w:t>Zákon č. 24/2006 Z.z.  v prílohe č. 10 uvádza tieto kritériá pre zisťovacie konanie:</w:t>
      </w:r>
    </w:p>
    <w:p w14:paraId="08ECF78F" w14:textId="77777777" w:rsidR="00E65CA9" w:rsidRPr="00104B33" w:rsidRDefault="00E65CA9" w:rsidP="00E476FE">
      <w:pPr>
        <w:widowControl/>
        <w:spacing w:before="120"/>
        <w:ind w:left="714" w:hanging="357"/>
        <w:jc w:val="both"/>
        <w:rPr>
          <w:rFonts w:ascii="Arial" w:hAnsi="Arial" w:cs="Arial"/>
          <w:sz w:val="22"/>
          <w:szCs w:val="22"/>
          <w:lang w:eastAsia="en-US"/>
        </w:rPr>
      </w:pPr>
      <w:r w:rsidRPr="00104B33">
        <w:rPr>
          <w:rFonts w:ascii="Arial" w:hAnsi="Arial" w:cs="Arial"/>
          <w:sz w:val="22"/>
          <w:szCs w:val="22"/>
          <w:lang w:eastAsia="en-US"/>
        </w:rPr>
        <w:t xml:space="preserve">I. </w:t>
      </w:r>
      <w:r w:rsidRPr="00104B33">
        <w:rPr>
          <w:rFonts w:ascii="Arial" w:hAnsi="Arial" w:cs="Arial"/>
          <w:sz w:val="22"/>
          <w:szCs w:val="22"/>
          <w:lang w:eastAsia="en-US"/>
        </w:rPr>
        <w:tab/>
        <w:t>povaha a rozsah navrhovanej činnosti</w:t>
      </w:r>
    </w:p>
    <w:p w14:paraId="05E1EABD" w14:textId="77777777" w:rsidR="00E65CA9" w:rsidRPr="00104B33" w:rsidRDefault="00E65CA9" w:rsidP="0095439F">
      <w:pPr>
        <w:widowControl/>
        <w:numPr>
          <w:ilvl w:val="0"/>
          <w:numId w:val="11"/>
        </w:numPr>
        <w:jc w:val="both"/>
        <w:rPr>
          <w:rFonts w:ascii="Arial" w:hAnsi="Arial" w:cs="Arial"/>
          <w:sz w:val="22"/>
          <w:szCs w:val="22"/>
          <w:lang w:eastAsia="en-US"/>
        </w:rPr>
      </w:pPr>
      <w:r w:rsidRPr="00104B33">
        <w:rPr>
          <w:rFonts w:ascii="Arial" w:hAnsi="Arial" w:cs="Arial"/>
          <w:sz w:val="22"/>
          <w:szCs w:val="22"/>
          <w:lang w:eastAsia="en-US"/>
        </w:rPr>
        <w:t>Rozsah navrhovanej činnosti (vyjadrený v technických jednotkách)</w:t>
      </w:r>
    </w:p>
    <w:p w14:paraId="46F71A91" w14:textId="77777777" w:rsidR="00E65CA9" w:rsidRPr="00104B33" w:rsidRDefault="00E65CA9" w:rsidP="0095439F">
      <w:pPr>
        <w:widowControl/>
        <w:numPr>
          <w:ilvl w:val="0"/>
          <w:numId w:val="11"/>
        </w:numPr>
        <w:jc w:val="both"/>
        <w:rPr>
          <w:rFonts w:ascii="Arial" w:hAnsi="Arial" w:cs="Arial"/>
          <w:sz w:val="22"/>
          <w:szCs w:val="22"/>
          <w:lang w:eastAsia="en-US"/>
        </w:rPr>
      </w:pPr>
      <w:r w:rsidRPr="00104B33">
        <w:rPr>
          <w:rFonts w:ascii="Arial" w:hAnsi="Arial" w:cs="Arial"/>
          <w:sz w:val="22"/>
          <w:szCs w:val="22"/>
          <w:lang w:eastAsia="en-US"/>
        </w:rPr>
        <w:t>Súvislosť s inými činnosťami (jestvujúcimi, prípadne plánovanými)</w:t>
      </w:r>
    </w:p>
    <w:p w14:paraId="10C31893" w14:textId="77777777" w:rsidR="00E65CA9" w:rsidRPr="00104B33" w:rsidRDefault="00E65CA9" w:rsidP="0095439F">
      <w:pPr>
        <w:widowControl/>
        <w:numPr>
          <w:ilvl w:val="0"/>
          <w:numId w:val="11"/>
        </w:numPr>
        <w:jc w:val="both"/>
        <w:rPr>
          <w:rFonts w:ascii="Arial" w:hAnsi="Arial" w:cs="Arial"/>
          <w:sz w:val="22"/>
          <w:szCs w:val="22"/>
          <w:lang w:eastAsia="en-US"/>
        </w:rPr>
      </w:pPr>
      <w:r w:rsidRPr="00104B33">
        <w:rPr>
          <w:rFonts w:ascii="Arial" w:hAnsi="Arial" w:cs="Arial"/>
          <w:sz w:val="22"/>
          <w:szCs w:val="22"/>
          <w:lang w:eastAsia="en-US"/>
        </w:rPr>
        <w:t xml:space="preserve">Požiadavky na vstupy </w:t>
      </w:r>
    </w:p>
    <w:p w14:paraId="27928876" w14:textId="77777777" w:rsidR="00E65CA9" w:rsidRPr="00104B33" w:rsidRDefault="00E65CA9" w:rsidP="0095439F">
      <w:pPr>
        <w:widowControl/>
        <w:numPr>
          <w:ilvl w:val="0"/>
          <w:numId w:val="11"/>
        </w:numPr>
        <w:jc w:val="both"/>
        <w:rPr>
          <w:rFonts w:ascii="Arial" w:hAnsi="Arial" w:cs="Arial"/>
          <w:sz w:val="22"/>
          <w:szCs w:val="22"/>
          <w:lang w:eastAsia="en-US"/>
        </w:rPr>
      </w:pPr>
      <w:r w:rsidRPr="00104B33">
        <w:rPr>
          <w:rFonts w:ascii="Arial" w:hAnsi="Arial" w:cs="Arial"/>
          <w:sz w:val="22"/>
          <w:szCs w:val="22"/>
          <w:lang w:eastAsia="en-US"/>
        </w:rPr>
        <w:t xml:space="preserve">Údaje o výstupoch </w:t>
      </w:r>
    </w:p>
    <w:p w14:paraId="3B89CE2A" w14:textId="77777777" w:rsidR="00E65CA9" w:rsidRPr="00104B33" w:rsidRDefault="00E65CA9" w:rsidP="0095439F">
      <w:pPr>
        <w:widowControl/>
        <w:numPr>
          <w:ilvl w:val="0"/>
          <w:numId w:val="11"/>
        </w:numPr>
        <w:jc w:val="both"/>
        <w:rPr>
          <w:rFonts w:ascii="Arial" w:hAnsi="Arial" w:cs="Arial"/>
          <w:sz w:val="22"/>
          <w:szCs w:val="22"/>
          <w:lang w:eastAsia="en-US"/>
        </w:rPr>
      </w:pPr>
      <w:r w:rsidRPr="00104B33">
        <w:rPr>
          <w:rFonts w:ascii="Arial" w:hAnsi="Arial" w:cs="Arial"/>
          <w:sz w:val="22"/>
          <w:szCs w:val="22"/>
          <w:lang w:eastAsia="en-US"/>
        </w:rPr>
        <w:t>Pravdepodobnosť účinkov na zdravie obyvateľstva</w:t>
      </w:r>
    </w:p>
    <w:p w14:paraId="30B6FD0C" w14:textId="77777777" w:rsidR="00E65CA9" w:rsidRPr="00104B33" w:rsidRDefault="00E65CA9" w:rsidP="0095439F">
      <w:pPr>
        <w:widowControl/>
        <w:numPr>
          <w:ilvl w:val="0"/>
          <w:numId w:val="11"/>
        </w:numPr>
        <w:jc w:val="both"/>
        <w:rPr>
          <w:rFonts w:ascii="Arial" w:hAnsi="Arial" w:cs="Arial"/>
          <w:sz w:val="22"/>
          <w:szCs w:val="22"/>
          <w:lang w:eastAsia="en-US"/>
        </w:rPr>
      </w:pPr>
      <w:r w:rsidRPr="00104B33">
        <w:rPr>
          <w:rFonts w:ascii="Arial" w:hAnsi="Arial" w:cs="Arial"/>
          <w:sz w:val="22"/>
          <w:szCs w:val="22"/>
          <w:lang w:eastAsia="en-US"/>
        </w:rPr>
        <w:t>Ovplyvňovanie pohody života</w:t>
      </w:r>
    </w:p>
    <w:p w14:paraId="77167C63" w14:textId="77777777" w:rsidR="00E65CA9" w:rsidRPr="00104B33" w:rsidRDefault="00E65CA9" w:rsidP="0095439F">
      <w:pPr>
        <w:widowControl/>
        <w:numPr>
          <w:ilvl w:val="0"/>
          <w:numId w:val="11"/>
        </w:numPr>
        <w:jc w:val="both"/>
        <w:rPr>
          <w:rFonts w:ascii="Arial" w:hAnsi="Arial" w:cs="Arial"/>
          <w:sz w:val="22"/>
          <w:szCs w:val="22"/>
          <w:lang w:eastAsia="en-US"/>
        </w:rPr>
      </w:pPr>
      <w:r w:rsidRPr="00104B33">
        <w:rPr>
          <w:rFonts w:ascii="Arial" w:hAnsi="Arial" w:cs="Arial"/>
          <w:sz w:val="22"/>
          <w:szCs w:val="22"/>
          <w:lang w:eastAsia="en-US"/>
        </w:rPr>
        <w:t>Celkové znečisťovanie alebo zhodnocovanie prostredia</w:t>
      </w:r>
    </w:p>
    <w:p w14:paraId="34AEE9A9" w14:textId="1DB3B9EA" w:rsidR="00E65CA9" w:rsidRDefault="00E65CA9" w:rsidP="0095439F">
      <w:pPr>
        <w:widowControl/>
        <w:numPr>
          <w:ilvl w:val="0"/>
          <w:numId w:val="11"/>
        </w:numPr>
        <w:jc w:val="both"/>
        <w:rPr>
          <w:rFonts w:ascii="Arial" w:hAnsi="Arial" w:cs="Arial"/>
          <w:sz w:val="22"/>
          <w:szCs w:val="22"/>
          <w:lang w:eastAsia="en-US"/>
        </w:rPr>
      </w:pPr>
      <w:r w:rsidRPr="00104B33">
        <w:rPr>
          <w:rFonts w:ascii="Arial" w:hAnsi="Arial" w:cs="Arial"/>
          <w:sz w:val="22"/>
          <w:szCs w:val="22"/>
          <w:lang w:eastAsia="en-US"/>
        </w:rPr>
        <w:t>Riziko nehôd s prihliadnutím najmä na použité látky a</w:t>
      </w:r>
      <w:r w:rsidR="0029466C">
        <w:rPr>
          <w:rFonts w:ascii="Arial" w:hAnsi="Arial" w:cs="Arial"/>
          <w:sz w:val="22"/>
          <w:szCs w:val="22"/>
          <w:lang w:eastAsia="en-US"/>
        </w:rPr>
        <w:t> </w:t>
      </w:r>
      <w:r w:rsidRPr="00104B33">
        <w:rPr>
          <w:rFonts w:ascii="Arial" w:hAnsi="Arial" w:cs="Arial"/>
          <w:sz w:val="22"/>
          <w:szCs w:val="22"/>
          <w:lang w:eastAsia="en-US"/>
        </w:rPr>
        <w:t>technológie</w:t>
      </w:r>
    </w:p>
    <w:p w14:paraId="087774F1" w14:textId="77777777" w:rsidR="0029466C" w:rsidRPr="00104B33" w:rsidRDefault="0029466C" w:rsidP="0029466C">
      <w:pPr>
        <w:widowControl/>
        <w:jc w:val="both"/>
        <w:rPr>
          <w:rFonts w:ascii="Arial" w:hAnsi="Arial" w:cs="Arial"/>
          <w:sz w:val="22"/>
          <w:szCs w:val="22"/>
          <w:lang w:eastAsia="en-US"/>
        </w:rPr>
      </w:pPr>
    </w:p>
    <w:p w14:paraId="3546D070" w14:textId="77777777" w:rsidR="00E65CA9" w:rsidRPr="00104B33" w:rsidRDefault="00E65CA9" w:rsidP="00E476FE">
      <w:pPr>
        <w:widowControl/>
        <w:spacing w:before="120"/>
        <w:ind w:left="714" w:hanging="357"/>
        <w:jc w:val="both"/>
        <w:rPr>
          <w:rFonts w:ascii="Arial" w:hAnsi="Arial" w:cs="Arial"/>
          <w:sz w:val="22"/>
          <w:szCs w:val="22"/>
          <w:lang w:eastAsia="en-US"/>
        </w:rPr>
      </w:pPr>
      <w:r w:rsidRPr="00104B33">
        <w:rPr>
          <w:rFonts w:ascii="Arial" w:hAnsi="Arial" w:cs="Arial"/>
          <w:sz w:val="22"/>
          <w:szCs w:val="22"/>
          <w:lang w:eastAsia="en-US"/>
        </w:rPr>
        <w:t xml:space="preserve">II. </w:t>
      </w:r>
      <w:r w:rsidRPr="00104B33">
        <w:rPr>
          <w:rFonts w:ascii="Arial" w:hAnsi="Arial" w:cs="Arial"/>
          <w:sz w:val="22"/>
          <w:szCs w:val="22"/>
          <w:lang w:eastAsia="en-US"/>
        </w:rPr>
        <w:tab/>
        <w:t>Miesto vykonávania navrhovanej činnosti</w:t>
      </w:r>
    </w:p>
    <w:p w14:paraId="78B71C92" w14:textId="77777777" w:rsidR="00E65CA9" w:rsidRPr="00104B33" w:rsidRDefault="00E65CA9" w:rsidP="00E476FE">
      <w:pPr>
        <w:widowControl/>
        <w:ind w:left="720"/>
        <w:jc w:val="both"/>
        <w:rPr>
          <w:rFonts w:ascii="Arial" w:hAnsi="Arial" w:cs="Arial"/>
          <w:sz w:val="22"/>
          <w:szCs w:val="22"/>
          <w:lang w:eastAsia="en-US"/>
        </w:rPr>
      </w:pPr>
      <w:r w:rsidRPr="00104B33">
        <w:rPr>
          <w:rFonts w:ascii="Arial" w:hAnsi="Arial" w:cs="Arial"/>
          <w:sz w:val="22"/>
          <w:szCs w:val="22"/>
          <w:lang w:eastAsia="en-US"/>
        </w:rPr>
        <w:t>1.</w:t>
      </w:r>
      <w:r w:rsidRPr="00104B33">
        <w:rPr>
          <w:rFonts w:ascii="Arial" w:hAnsi="Arial" w:cs="Arial"/>
          <w:sz w:val="22"/>
          <w:szCs w:val="22"/>
          <w:lang w:eastAsia="en-US"/>
        </w:rPr>
        <w:tab/>
        <w:t>Súčasný stav využitia územia</w:t>
      </w:r>
    </w:p>
    <w:p w14:paraId="23CFFC9C" w14:textId="77777777" w:rsidR="00E65CA9" w:rsidRPr="00DD530F" w:rsidRDefault="00E65CA9" w:rsidP="00E476FE">
      <w:pPr>
        <w:widowControl/>
        <w:ind w:left="720"/>
        <w:jc w:val="both"/>
        <w:rPr>
          <w:rFonts w:ascii="Arial" w:hAnsi="Arial" w:cs="Arial"/>
          <w:sz w:val="22"/>
          <w:szCs w:val="22"/>
          <w:lang w:eastAsia="en-US"/>
        </w:rPr>
      </w:pPr>
      <w:r w:rsidRPr="00DD530F">
        <w:rPr>
          <w:rFonts w:ascii="Arial" w:hAnsi="Arial" w:cs="Arial"/>
          <w:sz w:val="22"/>
          <w:szCs w:val="22"/>
          <w:lang w:eastAsia="en-US"/>
        </w:rPr>
        <w:t>2.</w:t>
      </w:r>
      <w:r w:rsidRPr="00DD530F">
        <w:rPr>
          <w:rFonts w:ascii="Arial" w:hAnsi="Arial" w:cs="Arial"/>
          <w:sz w:val="22"/>
          <w:szCs w:val="22"/>
          <w:lang w:eastAsia="en-US"/>
        </w:rPr>
        <w:tab/>
        <w:t>Súlad navrhovanej činnosti s platnou územnoplánovacou dokumentáciou</w:t>
      </w:r>
    </w:p>
    <w:p w14:paraId="7D1AB1FA" w14:textId="77777777" w:rsidR="00E65CA9" w:rsidRPr="00DD530F" w:rsidRDefault="00E65CA9" w:rsidP="00E476FE">
      <w:pPr>
        <w:widowControl/>
        <w:ind w:left="1440" w:hanging="720"/>
        <w:jc w:val="both"/>
        <w:rPr>
          <w:rFonts w:ascii="Arial" w:hAnsi="Arial" w:cs="Arial"/>
          <w:sz w:val="22"/>
          <w:szCs w:val="22"/>
          <w:lang w:eastAsia="en-US"/>
        </w:rPr>
      </w:pPr>
      <w:r w:rsidRPr="00DD530F">
        <w:rPr>
          <w:rFonts w:ascii="Arial" w:hAnsi="Arial" w:cs="Arial"/>
          <w:sz w:val="22"/>
          <w:szCs w:val="22"/>
          <w:lang w:eastAsia="en-US"/>
        </w:rPr>
        <w:t>3.</w:t>
      </w:r>
      <w:r w:rsidRPr="00DD530F">
        <w:rPr>
          <w:rFonts w:ascii="Arial" w:hAnsi="Arial" w:cs="Arial"/>
          <w:sz w:val="22"/>
          <w:szCs w:val="22"/>
          <w:lang w:eastAsia="en-US"/>
        </w:rPr>
        <w:tab/>
        <w:t>Relatívny dostatok, kvalita a regeneračné schopnosti prírodných zdrojov v dotknutej oblasti</w:t>
      </w:r>
    </w:p>
    <w:p w14:paraId="042AC4B3" w14:textId="77777777" w:rsidR="00E65CA9" w:rsidRPr="00DD530F" w:rsidRDefault="00E65CA9" w:rsidP="00E476FE">
      <w:pPr>
        <w:widowControl/>
        <w:ind w:left="720"/>
        <w:jc w:val="both"/>
        <w:rPr>
          <w:rFonts w:ascii="Arial" w:hAnsi="Arial" w:cs="Arial"/>
          <w:sz w:val="22"/>
          <w:szCs w:val="22"/>
          <w:lang w:eastAsia="en-US"/>
        </w:rPr>
      </w:pPr>
      <w:r w:rsidRPr="00DD530F">
        <w:rPr>
          <w:rFonts w:ascii="Arial" w:hAnsi="Arial" w:cs="Arial"/>
          <w:sz w:val="22"/>
          <w:szCs w:val="22"/>
          <w:lang w:eastAsia="en-US"/>
        </w:rPr>
        <w:t>4.</w:t>
      </w:r>
      <w:r w:rsidRPr="00DD530F">
        <w:rPr>
          <w:rFonts w:ascii="Arial" w:hAnsi="Arial" w:cs="Arial"/>
          <w:sz w:val="22"/>
          <w:szCs w:val="22"/>
          <w:lang w:eastAsia="en-US"/>
        </w:rPr>
        <w:tab/>
        <w:t>Únosnosť prírodného prostredia</w:t>
      </w:r>
    </w:p>
    <w:p w14:paraId="77C8CAAF" w14:textId="77777777" w:rsidR="00E65CA9" w:rsidRPr="00DD530F" w:rsidRDefault="00E65CA9" w:rsidP="00E476FE">
      <w:pPr>
        <w:widowControl/>
        <w:spacing w:before="120"/>
        <w:ind w:left="714" w:hanging="357"/>
        <w:jc w:val="both"/>
        <w:rPr>
          <w:rFonts w:ascii="Arial" w:hAnsi="Arial" w:cs="Arial"/>
          <w:sz w:val="22"/>
          <w:szCs w:val="22"/>
          <w:lang w:eastAsia="en-US"/>
        </w:rPr>
      </w:pPr>
      <w:r w:rsidRPr="00DD530F">
        <w:rPr>
          <w:rFonts w:ascii="Arial" w:hAnsi="Arial" w:cs="Arial"/>
          <w:sz w:val="22"/>
          <w:szCs w:val="22"/>
          <w:lang w:eastAsia="en-US"/>
        </w:rPr>
        <w:t xml:space="preserve">III. </w:t>
      </w:r>
      <w:r w:rsidRPr="00DD530F">
        <w:rPr>
          <w:rFonts w:ascii="Arial" w:hAnsi="Arial" w:cs="Arial"/>
          <w:sz w:val="22"/>
          <w:szCs w:val="22"/>
          <w:lang w:eastAsia="en-US"/>
        </w:rPr>
        <w:tab/>
        <w:t>Význam očakávaných vplyvov</w:t>
      </w:r>
    </w:p>
    <w:p w14:paraId="6D149C99" w14:textId="77777777" w:rsidR="00E65CA9" w:rsidRPr="00DD530F" w:rsidRDefault="00E65CA9" w:rsidP="0095439F">
      <w:pPr>
        <w:widowControl/>
        <w:numPr>
          <w:ilvl w:val="0"/>
          <w:numId w:val="12"/>
        </w:numPr>
        <w:ind w:left="1412" w:hanging="692"/>
        <w:jc w:val="both"/>
        <w:rPr>
          <w:rFonts w:ascii="Arial" w:hAnsi="Arial" w:cs="Arial"/>
          <w:sz w:val="22"/>
          <w:szCs w:val="22"/>
          <w:lang w:eastAsia="en-US"/>
        </w:rPr>
      </w:pPr>
      <w:r w:rsidRPr="00DD530F">
        <w:rPr>
          <w:rFonts w:ascii="Arial" w:hAnsi="Arial" w:cs="Arial"/>
          <w:sz w:val="22"/>
          <w:szCs w:val="22"/>
          <w:lang w:eastAsia="en-US"/>
        </w:rPr>
        <w:t>Pravdepodobnosť vplyvu</w:t>
      </w:r>
    </w:p>
    <w:p w14:paraId="4AC891B1" w14:textId="77777777" w:rsidR="00E65CA9" w:rsidRPr="00DD530F" w:rsidRDefault="00E65CA9" w:rsidP="0095439F">
      <w:pPr>
        <w:widowControl/>
        <w:numPr>
          <w:ilvl w:val="0"/>
          <w:numId w:val="12"/>
        </w:numPr>
        <w:ind w:left="1412" w:hanging="692"/>
        <w:jc w:val="both"/>
        <w:rPr>
          <w:rFonts w:ascii="Arial" w:hAnsi="Arial" w:cs="Arial"/>
          <w:sz w:val="22"/>
          <w:szCs w:val="22"/>
          <w:lang w:eastAsia="en-US"/>
        </w:rPr>
      </w:pPr>
      <w:r w:rsidRPr="00DD530F">
        <w:rPr>
          <w:rFonts w:ascii="Arial" w:hAnsi="Arial" w:cs="Arial"/>
          <w:sz w:val="22"/>
          <w:szCs w:val="22"/>
          <w:lang w:eastAsia="en-US"/>
        </w:rPr>
        <w:t>Rozsah vplyvu</w:t>
      </w:r>
    </w:p>
    <w:p w14:paraId="0B8A13BD" w14:textId="77777777" w:rsidR="00E65CA9" w:rsidRPr="00DD530F" w:rsidRDefault="00E65CA9" w:rsidP="0095439F">
      <w:pPr>
        <w:widowControl/>
        <w:numPr>
          <w:ilvl w:val="0"/>
          <w:numId w:val="12"/>
        </w:numPr>
        <w:ind w:left="1412" w:hanging="692"/>
        <w:jc w:val="both"/>
        <w:rPr>
          <w:rFonts w:ascii="Arial" w:hAnsi="Arial" w:cs="Arial"/>
          <w:sz w:val="22"/>
          <w:szCs w:val="22"/>
          <w:lang w:eastAsia="en-US"/>
        </w:rPr>
      </w:pPr>
      <w:r w:rsidRPr="00DD530F">
        <w:rPr>
          <w:rFonts w:ascii="Arial" w:hAnsi="Arial" w:cs="Arial"/>
          <w:sz w:val="22"/>
          <w:szCs w:val="22"/>
          <w:lang w:eastAsia="en-US"/>
        </w:rPr>
        <w:t>Pravdepodobnosť vplyvu presahujúca štátne hranice</w:t>
      </w:r>
    </w:p>
    <w:p w14:paraId="4B23E45E" w14:textId="77777777" w:rsidR="00E65CA9" w:rsidRPr="00DD530F" w:rsidRDefault="00E65CA9" w:rsidP="0095439F">
      <w:pPr>
        <w:widowControl/>
        <w:numPr>
          <w:ilvl w:val="0"/>
          <w:numId w:val="12"/>
        </w:numPr>
        <w:ind w:left="1412" w:hanging="692"/>
        <w:jc w:val="both"/>
        <w:rPr>
          <w:rFonts w:ascii="Arial" w:hAnsi="Arial" w:cs="Arial"/>
          <w:sz w:val="22"/>
          <w:szCs w:val="22"/>
          <w:lang w:eastAsia="en-US"/>
        </w:rPr>
      </w:pPr>
      <w:r w:rsidRPr="00DD530F">
        <w:rPr>
          <w:rFonts w:ascii="Arial" w:hAnsi="Arial" w:cs="Arial"/>
          <w:sz w:val="22"/>
          <w:szCs w:val="22"/>
          <w:lang w:eastAsia="en-US"/>
        </w:rPr>
        <w:t xml:space="preserve">Veľkosť a komplexnosť vplyvu </w:t>
      </w:r>
    </w:p>
    <w:p w14:paraId="3AFCD885" w14:textId="77777777" w:rsidR="00E65CA9" w:rsidRPr="00DD530F" w:rsidRDefault="00E65CA9" w:rsidP="0095439F">
      <w:pPr>
        <w:widowControl/>
        <w:numPr>
          <w:ilvl w:val="0"/>
          <w:numId w:val="12"/>
        </w:numPr>
        <w:ind w:left="1412" w:hanging="692"/>
        <w:jc w:val="both"/>
        <w:rPr>
          <w:rFonts w:ascii="Arial" w:hAnsi="Arial" w:cs="Arial"/>
          <w:sz w:val="22"/>
          <w:szCs w:val="22"/>
          <w:lang w:eastAsia="en-US"/>
        </w:rPr>
      </w:pPr>
      <w:r w:rsidRPr="00DD530F">
        <w:rPr>
          <w:rFonts w:ascii="Arial" w:hAnsi="Arial" w:cs="Arial"/>
          <w:sz w:val="22"/>
          <w:szCs w:val="22"/>
          <w:lang w:eastAsia="en-US"/>
        </w:rPr>
        <w:t>Predpokladaný začiatok, trvanie, frekvencia a reverzibilita vplyvu</w:t>
      </w:r>
    </w:p>
    <w:p w14:paraId="110B2F26" w14:textId="77777777" w:rsidR="00E65CA9" w:rsidRPr="00DD530F" w:rsidRDefault="00E65CA9" w:rsidP="0095439F">
      <w:pPr>
        <w:widowControl/>
        <w:numPr>
          <w:ilvl w:val="0"/>
          <w:numId w:val="12"/>
        </w:numPr>
        <w:ind w:left="1412" w:hanging="692"/>
        <w:jc w:val="both"/>
        <w:rPr>
          <w:rFonts w:ascii="Arial" w:hAnsi="Arial" w:cs="Arial"/>
          <w:sz w:val="22"/>
          <w:szCs w:val="22"/>
          <w:lang w:eastAsia="en-US"/>
        </w:rPr>
      </w:pPr>
      <w:r w:rsidRPr="00DD530F">
        <w:rPr>
          <w:rFonts w:ascii="Arial" w:hAnsi="Arial" w:cs="Arial"/>
          <w:sz w:val="22"/>
          <w:szCs w:val="22"/>
          <w:lang w:eastAsia="en-US"/>
        </w:rPr>
        <w:t>Povaha vplyvu</w:t>
      </w:r>
    </w:p>
    <w:p w14:paraId="751C8D8F" w14:textId="77777777" w:rsidR="00E65CA9" w:rsidRPr="00DD530F" w:rsidRDefault="00E65CA9" w:rsidP="0095439F">
      <w:pPr>
        <w:widowControl/>
        <w:numPr>
          <w:ilvl w:val="0"/>
          <w:numId w:val="12"/>
        </w:numPr>
        <w:ind w:left="1412" w:hanging="692"/>
        <w:jc w:val="both"/>
        <w:rPr>
          <w:rFonts w:ascii="Arial" w:hAnsi="Arial" w:cs="Arial"/>
          <w:sz w:val="22"/>
          <w:szCs w:val="22"/>
          <w:lang w:eastAsia="en-US"/>
        </w:rPr>
      </w:pPr>
      <w:r w:rsidRPr="00DD530F">
        <w:rPr>
          <w:rFonts w:ascii="Arial" w:hAnsi="Arial" w:cs="Arial"/>
          <w:sz w:val="22"/>
          <w:szCs w:val="22"/>
          <w:lang w:eastAsia="en-US"/>
        </w:rPr>
        <w:t>Kumulácia vplyvu s vplyvom iných existujúcich alebo schválených činností</w:t>
      </w:r>
    </w:p>
    <w:p w14:paraId="636F8F19" w14:textId="77777777" w:rsidR="00E65CA9" w:rsidRPr="00DD530F" w:rsidRDefault="00E65CA9" w:rsidP="0095439F">
      <w:pPr>
        <w:widowControl/>
        <w:numPr>
          <w:ilvl w:val="0"/>
          <w:numId w:val="12"/>
        </w:numPr>
        <w:ind w:left="1412" w:hanging="692"/>
        <w:jc w:val="both"/>
        <w:rPr>
          <w:rFonts w:ascii="Arial" w:hAnsi="Arial" w:cs="Arial"/>
          <w:sz w:val="22"/>
          <w:szCs w:val="22"/>
          <w:lang w:eastAsia="en-US"/>
        </w:rPr>
      </w:pPr>
      <w:r w:rsidRPr="00DD530F">
        <w:rPr>
          <w:rFonts w:ascii="Arial" w:hAnsi="Arial" w:cs="Arial"/>
          <w:sz w:val="22"/>
          <w:szCs w:val="22"/>
          <w:lang w:eastAsia="en-US"/>
        </w:rPr>
        <w:t xml:space="preserve">Možnosť účinného zmiernenia vplyvu </w:t>
      </w:r>
    </w:p>
    <w:p w14:paraId="7D780DE1" w14:textId="77777777" w:rsidR="009B23C7" w:rsidRDefault="009B23C7" w:rsidP="00E476FE">
      <w:pPr>
        <w:widowControl/>
        <w:jc w:val="both"/>
        <w:rPr>
          <w:rFonts w:ascii="Arial" w:hAnsi="Arial" w:cs="Arial"/>
          <w:b/>
          <w:i/>
          <w:sz w:val="22"/>
          <w:szCs w:val="22"/>
          <w:lang w:eastAsia="en-US"/>
        </w:rPr>
      </w:pPr>
    </w:p>
    <w:p w14:paraId="5DFB9E77" w14:textId="77777777" w:rsidR="00394BB0" w:rsidRDefault="00394BB0" w:rsidP="00E476FE">
      <w:pPr>
        <w:widowControl/>
        <w:jc w:val="both"/>
        <w:rPr>
          <w:rFonts w:ascii="Arial" w:hAnsi="Arial" w:cs="Arial"/>
          <w:b/>
          <w:i/>
          <w:sz w:val="22"/>
          <w:szCs w:val="22"/>
          <w:lang w:eastAsia="en-US"/>
        </w:rPr>
      </w:pPr>
    </w:p>
    <w:p w14:paraId="7369E4F3" w14:textId="77777777" w:rsidR="00394BB0" w:rsidRDefault="00394BB0" w:rsidP="00E476FE">
      <w:pPr>
        <w:widowControl/>
        <w:jc w:val="both"/>
        <w:rPr>
          <w:rFonts w:ascii="Arial" w:hAnsi="Arial" w:cs="Arial"/>
          <w:b/>
          <w:i/>
          <w:sz w:val="22"/>
          <w:szCs w:val="22"/>
          <w:lang w:eastAsia="en-US"/>
        </w:rPr>
      </w:pPr>
    </w:p>
    <w:p w14:paraId="37F9556F" w14:textId="77777777" w:rsidR="00394BB0" w:rsidRDefault="00394BB0" w:rsidP="00E476FE">
      <w:pPr>
        <w:widowControl/>
        <w:jc w:val="both"/>
        <w:rPr>
          <w:rFonts w:ascii="Arial" w:hAnsi="Arial" w:cs="Arial"/>
          <w:b/>
          <w:i/>
          <w:sz w:val="22"/>
          <w:szCs w:val="22"/>
          <w:lang w:eastAsia="en-US"/>
        </w:rPr>
      </w:pPr>
    </w:p>
    <w:p w14:paraId="40949F49" w14:textId="408135CA" w:rsidR="00E65CA9" w:rsidRPr="00DD530F" w:rsidRDefault="00E65CA9" w:rsidP="00E476FE">
      <w:pPr>
        <w:widowControl/>
        <w:jc w:val="both"/>
        <w:rPr>
          <w:rFonts w:ascii="Arial" w:hAnsi="Arial" w:cs="Arial"/>
          <w:b/>
          <w:i/>
          <w:sz w:val="22"/>
          <w:szCs w:val="22"/>
          <w:lang w:eastAsia="en-US"/>
        </w:rPr>
      </w:pPr>
      <w:r w:rsidRPr="00DD530F">
        <w:rPr>
          <w:rFonts w:ascii="Arial" w:hAnsi="Arial" w:cs="Arial"/>
          <w:b/>
          <w:i/>
          <w:sz w:val="22"/>
          <w:szCs w:val="22"/>
          <w:lang w:eastAsia="en-US"/>
        </w:rPr>
        <w:lastRenderedPageBreak/>
        <w:t xml:space="preserve">Komentár k jednotlivým kritériám  Prílohy č. 10 k zákonu: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1"/>
        <w:gridCol w:w="7961"/>
      </w:tblGrid>
      <w:tr w:rsidR="00DD530F" w:rsidRPr="00DD530F" w14:paraId="7BED81B4" w14:textId="77777777" w:rsidTr="00853DA6">
        <w:tc>
          <w:tcPr>
            <w:tcW w:w="1101" w:type="dxa"/>
          </w:tcPr>
          <w:p w14:paraId="20AF989A"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Kritérium</w:t>
            </w:r>
          </w:p>
        </w:tc>
        <w:tc>
          <w:tcPr>
            <w:tcW w:w="7961" w:type="dxa"/>
          </w:tcPr>
          <w:p w14:paraId="0B7E00B3"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Komentár</w:t>
            </w:r>
          </w:p>
        </w:tc>
      </w:tr>
      <w:tr w:rsidR="00DD530F" w:rsidRPr="00DD530F" w14:paraId="3B54012E" w14:textId="77777777" w:rsidTr="00853DA6">
        <w:tc>
          <w:tcPr>
            <w:tcW w:w="1101" w:type="dxa"/>
          </w:tcPr>
          <w:p w14:paraId="6195DCCF"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I.1</w:t>
            </w:r>
          </w:p>
        </w:tc>
        <w:tc>
          <w:tcPr>
            <w:tcW w:w="7961" w:type="dxa"/>
          </w:tcPr>
          <w:p w14:paraId="682A56E2" w14:textId="60FCFA03" w:rsidR="00E65CA9" w:rsidRPr="00DD530F" w:rsidRDefault="00E65CA9" w:rsidP="00C30DDB">
            <w:pPr>
              <w:widowControl/>
              <w:jc w:val="both"/>
              <w:rPr>
                <w:rFonts w:ascii="Arial" w:hAnsi="Arial" w:cs="Arial"/>
                <w:sz w:val="22"/>
                <w:szCs w:val="24"/>
                <w:lang w:eastAsia="en-US"/>
              </w:rPr>
            </w:pPr>
            <w:r w:rsidRPr="00DD530F">
              <w:rPr>
                <w:rFonts w:ascii="Arial" w:hAnsi="Arial" w:cs="Arial"/>
                <w:sz w:val="22"/>
                <w:szCs w:val="22"/>
                <w:lang w:eastAsia="en-US"/>
              </w:rPr>
              <w:t xml:space="preserve">Súčasný stav nevyužíva potenciál územia. Predkladaný návrh znamená využitie územia v rozsahu stanovenom územným plánom mesta. </w:t>
            </w:r>
          </w:p>
        </w:tc>
      </w:tr>
      <w:tr w:rsidR="00DD530F" w:rsidRPr="00DD530F" w14:paraId="074F4FBA" w14:textId="77777777" w:rsidTr="00853DA6">
        <w:tc>
          <w:tcPr>
            <w:tcW w:w="1101" w:type="dxa"/>
          </w:tcPr>
          <w:p w14:paraId="20BE1CD3"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I.2</w:t>
            </w:r>
          </w:p>
        </w:tc>
        <w:tc>
          <w:tcPr>
            <w:tcW w:w="7961" w:type="dxa"/>
          </w:tcPr>
          <w:p w14:paraId="38649FB2" w14:textId="262828EF" w:rsidR="00E65CA9" w:rsidRPr="00DD530F" w:rsidRDefault="00784B51" w:rsidP="00CF6787">
            <w:pPr>
              <w:widowControl/>
              <w:spacing w:before="120"/>
              <w:jc w:val="both"/>
              <w:rPr>
                <w:rFonts w:ascii="Arial" w:hAnsi="Arial" w:cs="Arial"/>
                <w:sz w:val="22"/>
                <w:szCs w:val="24"/>
                <w:lang w:eastAsia="en-US"/>
              </w:rPr>
            </w:pPr>
            <w:r w:rsidRPr="00DD530F">
              <w:rPr>
                <w:rFonts w:ascii="Arial" w:hAnsi="Arial" w:cs="Arial"/>
                <w:sz w:val="22"/>
                <w:szCs w:val="22"/>
                <w:lang w:eastAsia="en-US"/>
              </w:rPr>
              <w:t>N</w:t>
            </w:r>
            <w:r w:rsidR="003A55F2" w:rsidRPr="00DD530F">
              <w:rPr>
                <w:rFonts w:ascii="Arial" w:hAnsi="Arial" w:cs="Arial"/>
                <w:sz w:val="22"/>
                <w:szCs w:val="22"/>
                <w:lang w:eastAsia="en-US"/>
              </w:rPr>
              <w:t xml:space="preserve">avrhovaná činnosť </w:t>
            </w:r>
            <w:r w:rsidRPr="00DD530F">
              <w:rPr>
                <w:rFonts w:ascii="Arial" w:hAnsi="Arial" w:cs="Arial"/>
                <w:sz w:val="22"/>
                <w:szCs w:val="22"/>
                <w:lang w:eastAsia="en-US"/>
              </w:rPr>
              <w:t xml:space="preserve">bude </w:t>
            </w:r>
            <w:r w:rsidR="003A55F2" w:rsidRPr="00DD530F">
              <w:rPr>
                <w:rFonts w:ascii="Arial" w:hAnsi="Arial" w:cs="Arial"/>
                <w:sz w:val="22"/>
                <w:szCs w:val="22"/>
                <w:lang w:eastAsia="en-US"/>
              </w:rPr>
              <w:t>poz</w:t>
            </w:r>
            <w:r w:rsidR="003D324E">
              <w:rPr>
                <w:rFonts w:ascii="Arial" w:hAnsi="Arial" w:cs="Arial"/>
                <w:sz w:val="22"/>
                <w:szCs w:val="22"/>
                <w:lang w:eastAsia="en-US"/>
              </w:rPr>
              <w:t>i</w:t>
            </w:r>
            <w:r w:rsidR="003A55F2" w:rsidRPr="00DD530F">
              <w:rPr>
                <w:rFonts w:ascii="Arial" w:hAnsi="Arial" w:cs="Arial"/>
                <w:sz w:val="22"/>
                <w:szCs w:val="22"/>
                <w:lang w:eastAsia="en-US"/>
              </w:rPr>
              <w:t xml:space="preserve">tívnym prínosom v mestskom  v prostredí.  </w:t>
            </w:r>
          </w:p>
        </w:tc>
      </w:tr>
      <w:tr w:rsidR="00DD530F" w:rsidRPr="00DD530F" w14:paraId="0B936EAB" w14:textId="77777777" w:rsidTr="00853DA6">
        <w:tc>
          <w:tcPr>
            <w:tcW w:w="1101" w:type="dxa"/>
          </w:tcPr>
          <w:p w14:paraId="08B240CE"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I.3</w:t>
            </w:r>
          </w:p>
        </w:tc>
        <w:tc>
          <w:tcPr>
            <w:tcW w:w="7961" w:type="dxa"/>
          </w:tcPr>
          <w:p w14:paraId="396CD516"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 xml:space="preserve">Nie je potrebný záber poľnohospodárskej pôdy ani lesných pozemkov. </w:t>
            </w:r>
          </w:p>
          <w:p w14:paraId="1F3773F4"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 xml:space="preserve">Pre výstavbu objektov bude potrebné zabezpečiť stavebný materiál rôzneho druhu (kamenivo, štrk, piesok, cement, betónové dlažby, betónové konštrukčné prvky, keramické výrobky, železo, strešné krytiny, izolácie, drevo, plastové výrobky, sklo, elektrické vedenia a káble a iné stavebné hmoty a materiály). </w:t>
            </w:r>
          </w:p>
          <w:p w14:paraId="2D680BA4"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Prevádzka si nevyžaduje prísun špecifických vstupov.</w:t>
            </w:r>
          </w:p>
        </w:tc>
      </w:tr>
      <w:tr w:rsidR="00DD530F" w:rsidRPr="00DD530F" w14:paraId="302BBF55" w14:textId="77777777" w:rsidTr="00853DA6">
        <w:tc>
          <w:tcPr>
            <w:tcW w:w="1101" w:type="dxa"/>
          </w:tcPr>
          <w:p w14:paraId="320952AA"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I.4</w:t>
            </w:r>
          </w:p>
        </w:tc>
        <w:tc>
          <w:tcPr>
            <w:tcW w:w="7961" w:type="dxa"/>
          </w:tcPr>
          <w:p w14:paraId="2AB5149B"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Počas výstavby činnosti sa zvýši prašnosť a hluková hladina spôsobená pohybom stavebných a dopravných mechanizmov.</w:t>
            </w:r>
          </w:p>
          <w:p w14:paraId="7FE457C5" w14:textId="77777777" w:rsidR="00E65CA9" w:rsidRPr="009A349B"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 xml:space="preserve">Prevádzka nepredstavuje významné zdroje znečisťovania, hluku  ani iných </w:t>
            </w:r>
            <w:r w:rsidRPr="009A349B">
              <w:rPr>
                <w:rFonts w:ascii="Arial" w:hAnsi="Arial" w:cs="Arial"/>
                <w:sz w:val="22"/>
                <w:szCs w:val="22"/>
                <w:lang w:eastAsia="en-US"/>
              </w:rPr>
              <w:t xml:space="preserve">fyzikálnych polí, ktoré by mohli mať nadmerný negatívny vplyv na obyvateľstvo. </w:t>
            </w:r>
          </w:p>
          <w:p w14:paraId="76081C1F" w14:textId="1E097F59" w:rsidR="00E65CA9" w:rsidRPr="00DD530F" w:rsidRDefault="0034458F" w:rsidP="00CF6787">
            <w:pPr>
              <w:widowControl/>
              <w:jc w:val="both"/>
              <w:rPr>
                <w:rFonts w:ascii="Arial" w:hAnsi="Arial" w:cs="Arial"/>
                <w:sz w:val="22"/>
                <w:szCs w:val="24"/>
                <w:lang w:eastAsia="en-US"/>
              </w:rPr>
            </w:pPr>
            <w:r w:rsidRPr="009A349B">
              <w:rPr>
                <w:rFonts w:ascii="Arial" w:hAnsi="Arial" w:cs="Arial"/>
                <w:sz w:val="22"/>
                <w:szCs w:val="22"/>
                <w:lang w:eastAsia="en-US"/>
              </w:rPr>
              <w:t xml:space="preserve">Zabezpečenie tepla je </w:t>
            </w:r>
            <w:r w:rsidR="009A349B" w:rsidRPr="009A349B">
              <w:rPr>
                <w:rFonts w:ascii="Arial" w:hAnsi="Arial" w:cs="Arial"/>
                <w:sz w:val="22"/>
                <w:szCs w:val="22"/>
                <w:lang w:eastAsia="en-US"/>
              </w:rPr>
              <w:t>plynovou kotolňou.</w:t>
            </w:r>
            <w:r w:rsidRPr="009A349B">
              <w:rPr>
                <w:rFonts w:ascii="Arial" w:hAnsi="Arial" w:cs="Arial"/>
                <w:sz w:val="22"/>
                <w:szCs w:val="22"/>
                <w:lang w:eastAsia="en-US"/>
              </w:rPr>
              <w:t xml:space="preserve">  Náhradný zdroj elektrickej energie /dieselagregát/</w:t>
            </w:r>
            <w:r w:rsidRPr="00DD530F">
              <w:rPr>
                <w:rFonts w:ascii="Arial" w:hAnsi="Arial" w:cs="Arial"/>
                <w:sz w:val="22"/>
                <w:szCs w:val="22"/>
                <w:lang w:eastAsia="en-US"/>
              </w:rPr>
              <w:t xml:space="preserve"> bude vo Variante č. 1 zdrojom znečisťovania ovzdušia.  </w:t>
            </w:r>
          </w:p>
        </w:tc>
      </w:tr>
      <w:tr w:rsidR="00DD530F" w:rsidRPr="00DD530F" w14:paraId="6701EAC1" w14:textId="77777777" w:rsidTr="00853DA6">
        <w:tc>
          <w:tcPr>
            <w:tcW w:w="1101" w:type="dxa"/>
          </w:tcPr>
          <w:p w14:paraId="1957F347"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I.5</w:t>
            </w:r>
          </w:p>
        </w:tc>
        <w:tc>
          <w:tcPr>
            <w:tcW w:w="7961" w:type="dxa"/>
          </w:tcPr>
          <w:p w14:paraId="5E1CA4A3"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 xml:space="preserve">Realizácia stavebného objektu má priamy vplyv z hľadiska bezpečnosti a ochrany zdravia obyvateľov. Riziká pracovného úrazu znášajú len pracovníci priamo zúčastnení na výstavbe, údržbe alebo prevádzke zariadení. Tieto riziká môžu byť eliminované len dôsledným dodržiavaním podmienok bezpečnosti pri práci. </w:t>
            </w:r>
          </w:p>
          <w:p w14:paraId="0BE4E3C0"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 xml:space="preserve">Počas prevádzky sú možné riziká eliminované technickými opatreniami hlavne v oblasti prevádzky zariadení, protipožiarnej ochrany a civilnej ochrany obyvateľstva. </w:t>
            </w:r>
          </w:p>
        </w:tc>
      </w:tr>
      <w:tr w:rsidR="00DD530F" w:rsidRPr="00DD530F" w14:paraId="23EF5DEF" w14:textId="77777777" w:rsidTr="00853DA6">
        <w:tc>
          <w:tcPr>
            <w:tcW w:w="1101" w:type="dxa"/>
          </w:tcPr>
          <w:p w14:paraId="4F97DC2F"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I.6</w:t>
            </w:r>
          </w:p>
        </w:tc>
        <w:tc>
          <w:tcPr>
            <w:tcW w:w="7961" w:type="dxa"/>
          </w:tcPr>
          <w:p w14:paraId="0FE6CA66" w14:textId="76C7891B" w:rsidR="00E65CA9" w:rsidRPr="00DD530F" w:rsidRDefault="00E65CA9" w:rsidP="00CF6787">
            <w:pPr>
              <w:widowControl/>
              <w:jc w:val="both"/>
              <w:rPr>
                <w:rFonts w:ascii="Arial" w:hAnsi="Arial" w:cs="Arial"/>
                <w:sz w:val="22"/>
                <w:szCs w:val="24"/>
                <w:lang w:eastAsia="en-US"/>
              </w:rPr>
            </w:pPr>
            <w:r w:rsidRPr="00DD530F">
              <w:rPr>
                <w:rFonts w:ascii="Arial" w:hAnsi="Arial" w:cs="Arial"/>
                <w:iCs/>
                <w:sz w:val="22"/>
                <w:szCs w:val="22"/>
                <w:lang w:eastAsia="en-US"/>
              </w:rPr>
              <w:t xml:space="preserve">Realizácia navrhovanej činnosti bude mať priamy vplyv na pohodu obyvateľstva. Stavba </w:t>
            </w:r>
            <w:r w:rsidR="002B69DE" w:rsidRPr="00DD530F">
              <w:rPr>
                <w:rFonts w:ascii="Arial" w:hAnsi="Arial" w:cs="Arial"/>
                <w:iCs/>
                <w:sz w:val="22"/>
                <w:szCs w:val="22"/>
                <w:lang w:eastAsia="en-US"/>
              </w:rPr>
              <w:t>bytového domu</w:t>
            </w:r>
            <w:r w:rsidRPr="00DD530F">
              <w:rPr>
                <w:rFonts w:ascii="Arial" w:hAnsi="Arial" w:cs="Arial"/>
                <w:iCs/>
                <w:sz w:val="22"/>
                <w:szCs w:val="22"/>
                <w:lang w:eastAsia="en-US"/>
              </w:rPr>
              <w:t xml:space="preserve"> pon</w:t>
            </w:r>
            <w:r w:rsidR="00E32D9B" w:rsidRPr="00DD530F">
              <w:rPr>
                <w:rFonts w:ascii="Arial" w:hAnsi="Arial" w:cs="Arial"/>
                <w:iCs/>
                <w:sz w:val="22"/>
                <w:szCs w:val="22"/>
                <w:lang w:eastAsia="en-US"/>
              </w:rPr>
              <w:t>úka</w:t>
            </w:r>
            <w:r w:rsidRPr="00DD530F">
              <w:rPr>
                <w:rFonts w:ascii="Arial" w:hAnsi="Arial" w:cs="Arial"/>
                <w:iCs/>
                <w:sz w:val="22"/>
                <w:szCs w:val="22"/>
                <w:lang w:eastAsia="en-US"/>
              </w:rPr>
              <w:t xml:space="preserve"> zamestnania, služb</w:t>
            </w:r>
            <w:r w:rsidR="00E32D9B" w:rsidRPr="00DD530F">
              <w:rPr>
                <w:rFonts w:ascii="Arial" w:hAnsi="Arial" w:cs="Arial"/>
                <w:iCs/>
                <w:sz w:val="22"/>
                <w:szCs w:val="22"/>
                <w:lang w:eastAsia="en-US"/>
              </w:rPr>
              <w:t>y</w:t>
            </w:r>
            <w:r w:rsidRPr="00DD530F">
              <w:rPr>
                <w:rFonts w:ascii="Arial" w:hAnsi="Arial" w:cs="Arial"/>
                <w:iCs/>
                <w:sz w:val="22"/>
                <w:szCs w:val="22"/>
                <w:lang w:eastAsia="en-US"/>
              </w:rPr>
              <w:t xml:space="preserve"> a</w:t>
            </w:r>
            <w:r w:rsidR="00E32D9B" w:rsidRPr="00DD530F">
              <w:rPr>
                <w:rFonts w:ascii="Arial" w:hAnsi="Arial" w:cs="Arial"/>
                <w:iCs/>
                <w:sz w:val="22"/>
                <w:szCs w:val="22"/>
                <w:lang w:eastAsia="en-US"/>
              </w:rPr>
              <w:t xml:space="preserve"> nové </w:t>
            </w:r>
            <w:r w:rsidRPr="00DD530F">
              <w:rPr>
                <w:rFonts w:ascii="Arial" w:hAnsi="Arial" w:cs="Arial"/>
                <w:iCs/>
                <w:sz w:val="22"/>
                <w:szCs w:val="22"/>
                <w:lang w:eastAsia="en-US"/>
              </w:rPr>
              <w:t>bývani</w:t>
            </w:r>
            <w:r w:rsidR="00E32D9B" w:rsidRPr="00DD530F">
              <w:rPr>
                <w:rFonts w:ascii="Arial" w:hAnsi="Arial" w:cs="Arial"/>
                <w:iCs/>
                <w:sz w:val="22"/>
                <w:szCs w:val="22"/>
                <w:lang w:eastAsia="en-US"/>
              </w:rPr>
              <w:t>e</w:t>
            </w:r>
            <w:r w:rsidRPr="00DD530F">
              <w:rPr>
                <w:rFonts w:ascii="Arial" w:hAnsi="Arial" w:cs="Arial"/>
                <w:iCs/>
                <w:sz w:val="22"/>
                <w:szCs w:val="22"/>
                <w:lang w:eastAsia="en-US"/>
              </w:rPr>
              <w:t xml:space="preserve">. Parková úprava prispeje k pohode obyvateľov a návštevníkov.  </w:t>
            </w:r>
          </w:p>
        </w:tc>
      </w:tr>
      <w:tr w:rsidR="00DD530F" w:rsidRPr="00DD530F" w14:paraId="3B69D2A3" w14:textId="77777777" w:rsidTr="00853DA6">
        <w:tc>
          <w:tcPr>
            <w:tcW w:w="1101" w:type="dxa"/>
          </w:tcPr>
          <w:p w14:paraId="30F35A1D"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I.7</w:t>
            </w:r>
          </w:p>
        </w:tc>
        <w:tc>
          <w:tcPr>
            <w:tcW w:w="7961" w:type="dxa"/>
          </w:tcPr>
          <w:p w14:paraId="02D4DE89"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 xml:space="preserve">Navrhovaná činnosť predstavuje jednoznačné zhodnotenie mestského prostredia v intenciách limitov územného plánu.   </w:t>
            </w:r>
          </w:p>
        </w:tc>
      </w:tr>
      <w:tr w:rsidR="00DD530F" w:rsidRPr="00DD530F" w14:paraId="52763A96" w14:textId="77777777" w:rsidTr="00853DA6">
        <w:tc>
          <w:tcPr>
            <w:tcW w:w="1101" w:type="dxa"/>
          </w:tcPr>
          <w:p w14:paraId="65C278C7"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I.8</w:t>
            </w:r>
          </w:p>
        </w:tc>
        <w:tc>
          <w:tcPr>
            <w:tcW w:w="7961" w:type="dxa"/>
          </w:tcPr>
          <w:p w14:paraId="70A058A9"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 xml:space="preserve">Riziká nehôd, čo do druhu sú pri obidvoch variantoch navrhovanej činnosti v zásade rovnaké. Vzhľadom na nevýrobný charakter navrhovanej činnosti, možno predpokladať malý predpoklad rizík pri realizácii stavby aj v prevádzke. </w:t>
            </w:r>
          </w:p>
        </w:tc>
      </w:tr>
      <w:tr w:rsidR="00DD530F" w:rsidRPr="00DD530F" w14:paraId="6BFC1F8F" w14:textId="77777777" w:rsidTr="00853DA6">
        <w:tc>
          <w:tcPr>
            <w:tcW w:w="1101" w:type="dxa"/>
          </w:tcPr>
          <w:p w14:paraId="1CB27B9D"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II.1</w:t>
            </w:r>
          </w:p>
        </w:tc>
        <w:tc>
          <w:tcPr>
            <w:tcW w:w="7961" w:type="dxa"/>
          </w:tcPr>
          <w:p w14:paraId="063CF7D3" w14:textId="4AE18EF0"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 xml:space="preserve">V súčasnej dobe toto územie predstavuje </w:t>
            </w:r>
            <w:r w:rsidR="00E1662D" w:rsidRPr="00DD530F">
              <w:rPr>
                <w:rFonts w:ascii="Arial" w:hAnsi="Arial" w:cs="Arial"/>
                <w:sz w:val="22"/>
                <w:szCs w:val="22"/>
                <w:lang w:eastAsia="en-US"/>
              </w:rPr>
              <w:t xml:space="preserve">neefektívnen </w:t>
            </w:r>
            <w:r w:rsidR="009E5EA0" w:rsidRPr="00DD530F">
              <w:rPr>
                <w:rFonts w:ascii="Arial" w:hAnsi="Arial" w:cs="Arial"/>
                <w:sz w:val="22"/>
                <w:szCs w:val="22"/>
                <w:lang w:eastAsia="en-US"/>
              </w:rPr>
              <w:t>využitie územia</w:t>
            </w:r>
            <w:r w:rsidRPr="00DD530F">
              <w:rPr>
                <w:rFonts w:ascii="Arial" w:hAnsi="Arial" w:cs="Arial"/>
                <w:sz w:val="22"/>
                <w:szCs w:val="22"/>
                <w:lang w:eastAsia="en-US"/>
              </w:rPr>
              <w:t>.</w:t>
            </w:r>
          </w:p>
        </w:tc>
      </w:tr>
      <w:tr w:rsidR="00DD530F" w:rsidRPr="00DD530F" w14:paraId="65E35720" w14:textId="77777777" w:rsidTr="00853DA6">
        <w:tc>
          <w:tcPr>
            <w:tcW w:w="1101" w:type="dxa"/>
          </w:tcPr>
          <w:p w14:paraId="42539CD9"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II.2</w:t>
            </w:r>
          </w:p>
        </w:tc>
        <w:tc>
          <w:tcPr>
            <w:tcW w:w="7961" w:type="dxa"/>
          </w:tcPr>
          <w:p w14:paraId="1CB4F9E4"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Predkladaný návrh je v súlade s platným územným plánom mesta.</w:t>
            </w:r>
          </w:p>
        </w:tc>
      </w:tr>
      <w:tr w:rsidR="00DD530F" w:rsidRPr="00DD530F" w14:paraId="6630C676" w14:textId="77777777" w:rsidTr="00853DA6">
        <w:tc>
          <w:tcPr>
            <w:tcW w:w="1101" w:type="dxa"/>
          </w:tcPr>
          <w:p w14:paraId="5D924269"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II.3</w:t>
            </w:r>
          </w:p>
        </w:tc>
        <w:tc>
          <w:tcPr>
            <w:tcW w:w="7961" w:type="dxa"/>
          </w:tcPr>
          <w:p w14:paraId="4F0AA38A" w14:textId="77777777" w:rsidR="00E65CA9" w:rsidRPr="00DD530F" w:rsidRDefault="00E65CA9" w:rsidP="00C30DDB">
            <w:pPr>
              <w:widowControl/>
              <w:jc w:val="both"/>
              <w:rPr>
                <w:rFonts w:ascii="Arial" w:hAnsi="Arial" w:cs="Arial"/>
                <w:sz w:val="22"/>
                <w:szCs w:val="24"/>
                <w:lang w:eastAsia="en-US"/>
              </w:rPr>
            </w:pPr>
            <w:r w:rsidRPr="00DD530F">
              <w:rPr>
                <w:rFonts w:ascii="Arial" w:hAnsi="Arial" w:cs="Arial"/>
                <w:sz w:val="22"/>
                <w:szCs w:val="22"/>
                <w:lang w:eastAsia="en-US"/>
              </w:rPr>
              <w:t xml:space="preserve">Na realizáciu navrhovanej činnosti nebude potrebný záber poľnohospodárskej pôdy ani lesných pozemkov. Z hľadiska záujmov ochrany prírody a krajiny činnosť nie je zákonom v území zakázanou, a nebudú ani dotknuté záujmy územnej alebo druhovej ochrany. </w:t>
            </w:r>
          </w:p>
        </w:tc>
      </w:tr>
      <w:tr w:rsidR="00DD530F" w:rsidRPr="00DD530F" w14:paraId="475DD2D1" w14:textId="77777777" w:rsidTr="00853DA6">
        <w:tc>
          <w:tcPr>
            <w:tcW w:w="1101" w:type="dxa"/>
          </w:tcPr>
          <w:p w14:paraId="783A9B31"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II.4</w:t>
            </w:r>
          </w:p>
        </w:tc>
        <w:tc>
          <w:tcPr>
            <w:tcW w:w="7961" w:type="dxa"/>
          </w:tcPr>
          <w:p w14:paraId="7B60B071"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 xml:space="preserve">Z hľadiska únosnosti prírodného prostredia je navrhovaná činnosť prijateľná. Nebude predstavovať významné dodatočné zaťaženie niektorej zložky prírodného prostredia nad prípustnú mieru.  </w:t>
            </w:r>
          </w:p>
        </w:tc>
      </w:tr>
      <w:tr w:rsidR="00DD530F" w:rsidRPr="00DD530F" w14:paraId="6ACAC819" w14:textId="77777777" w:rsidTr="00853DA6">
        <w:tc>
          <w:tcPr>
            <w:tcW w:w="1101" w:type="dxa"/>
          </w:tcPr>
          <w:p w14:paraId="756D67D3"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III.1</w:t>
            </w:r>
          </w:p>
        </w:tc>
        <w:tc>
          <w:tcPr>
            <w:tcW w:w="7961" w:type="dxa"/>
          </w:tcPr>
          <w:p w14:paraId="013509EF"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Navrhovaná činnosť nebude predstavovať významnú zmenu vplyvov, ktoré pôsobia v súčasnosti.</w:t>
            </w:r>
          </w:p>
        </w:tc>
      </w:tr>
      <w:tr w:rsidR="00DD530F" w:rsidRPr="00DD530F" w14:paraId="2CD3FAF2" w14:textId="77777777" w:rsidTr="00853DA6">
        <w:tc>
          <w:tcPr>
            <w:tcW w:w="1101" w:type="dxa"/>
          </w:tcPr>
          <w:p w14:paraId="006B62B8"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III.2</w:t>
            </w:r>
          </w:p>
        </w:tc>
        <w:tc>
          <w:tcPr>
            <w:tcW w:w="7961" w:type="dxa"/>
          </w:tcPr>
          <w:p w14:paraId="32B6E09F"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 xml:space="preserve">Vplyvy na životné prostredie a zdravie obyvateľstva možno z hľadiska druhu hodnotiť ako rovnaké ako v súčasnosti. </w:t>
            </w:r>
          </w:p>
        </w:tc>
      </w:tr>
      <w:tr w:rsidR="00DD530F" w:rsidRPr="00DD530F" w14:paraId="38DE4B4D" w14:textId="77777777" w:rsidTr="00853DA6">
        <w:tc>
          <w:tcPr>
            <w:tcW w:w="1101" w:type="dxa"/>
          </w:tcPr>
          <w:p w14:paraId="5B4EEA52"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III.3</w:t>
            </w:r>
          </w:p>
        </w:tc>
        <w:tc>
          <w:tcPr>
            <w:tcW w:w="7961" w:type="dxa"/>
          </w:tcPr>
          <w:p w14:paraId="7D802A28"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Navrhovaná činnosť nebude mať žiadny vplyv presahujúci štátne hranice.</w:t>
            </w:r>
          </w:p>
        </w:tc>
      </w:tr>
      <w:tr w:rsidR="00DD530F" w:rsidRPr="00DD530F" w14:paraId="11138BDE" w14:textId="77777777" w:rsidTr="00853DA6">
        <w:tc>
          <w:tcPr>
            <w:tcW w:w="1101" w:type="dxa"/>
          </w:tcPr>
          <w:p w14:paraId="42FB8BBC"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III.4</w:t>
            </w:r>
          </w:p>
        </w:tc>
        <w:tc>
          <w:tcPr>
            <w:tcW w:w="7961" w:type="dxa"/>
          </w:tcPr>
          <w:p w14:paraId="472C7F11" w14:textId="546DA1CF" w:rsidR="00E65CA9" w:rsidRPr="00394BB0" w:rsidRDefault="00E65CA9" w:rsidP="00CF6787">
            <w:pPr>
              <w:widowControl/>
              <w:jc w:val="both"/>
              <w:rPr>
                <w:rFonts w:ascii="Arial" w:hAnsi="Arial" w:cs="Arial"/>
                <w:sz w:val="22"/>
                <w:szCs w:val="24"/>
                <w:lang w:eastAsia="en-US"/>
              </w:rPr>
            </w:pPr>
            <w:r w:rsidRPr="00394BB0">
              <w:rPr>
                <w:rFonts w:ascii="Arial" w:hAnsi="Arial" w:cs="Arial"/>
                <w:sz w:val="22"/>
                <w:szCs w:val="22"/>
                <w:lang w:eastAsia="en-US"/>
              </w:rPr>
              <w:t>Trvanie, frekvencia a vratnosť vplyvu stavby realizovanej podľa navrhovanej činnosti je v zásade rovnaká ako pôsobia v mestskom prostredí v súčasnosti. Začiatok stavby sa predpokladá v roku 20</w:t>
            </w:r>
            <w:r w:rsidR="00F25904" w:rsidRPr="00394BB0">
              <w:rPr>
                <w:rFonts w:ascii="Arial" w:hAnsi="Arial" w:cs="Arial"/>
                <w:sz w:val="22"/>
                <w:szCs w:val="22"/>
                <w:lang w:eastAsia="en-US"/>
              </w:rPr>
              <w:t>2</w:t>
            </w:r>
            <w:r w:rsidR="0034458F" w:rsidRPr="00394BB0">
              <w:rPr>
                <w:rFonts w:ascii="Arial" w:hAnsi="Arial" w:cs="Arial"/>
                <w:sz w:val="22"/>
                <w:szCs w:val="22"/>
                <w:lang w:eastAsia="en-US"/>
              </w:rPr>
              <w:t>3</w:t>
            </w:r>
            <w:r w:rsidRPr="00394BB0">
              <w:rPr>
                <w:rFonts w:ascii="Arial" w:hAnsi="Arial" w:cs="Arial"/>
                <w:sz w:val="22"/>
                <w:szCs w:val="22"/>
                <w:lang w:eastAsia="en-US"/>
              </w:rPr>
              <w:t xml:space="preserve">. Ukončenie využívania objektov z časového hľadiska nie je definované. </w:t>
            </w:r>
          </w:p>
        </w:tc>
      </w:tr>
      <w:tr w:rsidR="00DD530F" w:rsidRPr="00DD530F" w14:paraId="0A39F063" w14:textId="77777777" w:rsidTr="00853DA6">
        <w:tc>
          <w:tcPr>
            <w:tcW w:w="1101" w:type="dxa"/>
          </w:tcPr>
          <w:p w14:paraId="35E96B36" w14:textId="77777777" w:rsidR="00E65CA9" w:rsidRPr="00DD530F" w:rsidRDefault="00E65CA9" w:rsidP="000D7FB3">
            <w:pPr>
              <w:widowControl/>
              <w:jc w:val="both"/>
              <w:rPr>
                <w:rFonts w:ascii="Arial" w:hAnsi="Arial" w:cs="Arial"/>
                <w:sz w:val="22"/>
                <w:szCs w:val="24"/>
                <w:lang w:eastAsia="en-US"/>
              </w:rPr>
            </w:pPr>
            <w:r w:rsidRPr="00DD530F">
              <w:rPr>
                <w:rFonts w:ascii="Arial" w:hAnsi="Arial" w:cs="Arial"/>
                <w:sz w:val="22"/>
                <w:szCs w:val="22"/>
                <w:lang w:eastAsia="en-US"/>
              </w:rPr>
              <w:t>III.5</w:t>
            </w:r>
          </w:p>
        </w:tc>
        <w:tc>
          <w:tcPr>
            <w:tcW w:w="7961" w:type="dxa"/>
          </w:tcPr>
          <w:p w14:paraId="56C2CCDC" w14:textId="56679909" w:rsidR="00E65CA9" w:rsidRPr="00394BB0" w:rsidRDefault="003A5422" w:rsidP="000D7FB3">
            <w:pPr>
              <w:widowControl/>
              <w:jc w:val="both"/>
              <w:rPr>
                <w:rFonts w:ascii="Arial" w:hAnsi="Arial" w:cs="Arial"/>
                <w:sz w:val="22"/>
                <w:szCs w:val="24"/>
                <w:lang w:eastAsia="en-US"/>
              </w:rPr>
            </w:pPr>
            <w:r w:rsidRPr="00394BB0">
              <w:rPr>
                <w:rFonts w:ascii="Arial" w:hAnsi="Arial" w:cs="Arial"/>
                <w:sz w:val="22"/>
                <w:szCs w:val="22"/>
                <w:lang w:eastAsia="en-US"/>
              </w:rPr>
              <w:t>Predpokladaný začiatok výstavby je rok 20</w:t>
            </w:r>
            <w:r w:rsidR="00F25904" w:rsidRPr="00394BB0">
              <w:rPr>
                <w:rFonts w:ascii="Arial" w:hAnsi="Arial" w:cs="Arial"/>
                <w:sz w:val="22"/>
                <w:szCs w:val="22"/>
                <w:lang w:eastAsia="en-US"/>
              </w:rPr>
              <w:t>2</w:t>
            </w:r>
            <w:r w:rsidR="0034458F" w:rsidRPr="00394BB0">
              <w:rPr>
                <w:rFonts w:ascii="Arial" w:hAnsi="Arial" w:cs="Arial"/>
                <w:sz w:val="22"/>
                <w:szCs w:val="22"/>
                <w:lang w:eastAsia="en-US"/>
              </w:rPr>
              <w:t>3</w:t>
            </w:r>
            <w:r w:rsidRPr="00394BB0">
              <w:rPr>
                <w:rFonts w:ascii="Arial" w:hAnsi="Arial" w:cs="Arial"/>
                <w:sz w:val="22"/>
                <w:szCs w:val="22"/>
                <w:lang w:eastAsia="en-US"/>
              </w:rPr>
              <w:t>.  Ukončenie výstavby bude v roku 202</w:t>
            </w:r>
            <w:r w:rsidR="00F25904" w:rsidRPr="00394BB0">
              <w:rPr>
                <w:rFonts w:ascii="Arial" w:hAnsi="Arial" w:cs="Arial"/>
                <w:sz w:val="22"/>
                <w:szCs w:val="22"/>
                <w:lang w:eastAsia="en-US"/>
              </w:rPr>
              <w:t>5</w:t>
            </w:r>
            <w:r w:rsidRPr="00394BB0">
              <w:rPr>
                <w:rFonts w:ascii="Arial" w:hAnsi="Arial" w:cs="Arial"/>
                <w:sz w:val="22"/>
                <w:szCs w:val="22"/>
                <w:lang w:eastAsia="en-US"/>
              </w:rPr>
              <w:t xml:space="preserve">.  </w:t>
            </w:r>
            <w:r w:rsidR="0061168C" w:rsidRPr="00394BB0">
              <w:rPr>
                <w:rFonts w:ascii="Arial" w:hAnsi="Arial" w:cs="Arial"/>
                <w:sz w:val="22"/>
                <w:szCs w:val="22"/>
                <w:lang w:eastAsia="en-US"/>
              </w:rPr>
              <w:t xml:space="preserve">Termín ukončenia činnosti nie je stanovený. </w:t>
            </w:r>
            <w:r w:rsidRPr="00394BB0">
              <w:rPr>
                <w:rFonts w:ascii="Arial" w:hAnsi="Arial" w:cs="Arial"/>
                <w:sz w:val="22"/>
                <w:szCs w:val="22"/>
                <w:lang w:eastAsia="en-US"/>
              </w:rPr>
              <w:t xml:space="preserve"> </w:t>
            </w:r>
          </w:p>
        </w:tc>
      </w:tr>
      <w:tr w:rsidR="00DD530F" w:rsidRPr="00DD530F" w14:paraId="5A372F81" w14:textId="77777777" w:rsidTr="00853DA6">
        <w:tc>
          <w:tcPr>
            <w:tcW w:w="1101" w:type="dxa"/>
          </w:tcPr>
          <w:p w14:paraId="6BC7BEFC" w14:textId="77777777" w:rsidR="00E65CA9" w:rsidRPr="00DD530F" w:rsidRDefault="00E65CA9" w:rsidP="000D7FB3">
            <w:pPr>
              <w:widowControl/>
              <w:jc w:val="both"/>
              <w:rPr>
                <w:rFonts w:ascii="Arial" w:hAnsi="Arial" w:cs="Arial"/>
                <w:sz w:val="22"/>
                <w:szCs w:val="24"/>
                <w:lang w:eastAsia="en-US"/>
              </w:rPr>
            </w:pPr>
            <w:r w:rsidRPr="00DD530F">
              <w:rPr>
                <w:rFonts w:ascii="Arial" w:hAnsi="Arial" w:cs="Arial"/>
                <w:sz w:val="22"/>
                <w:szCs w:val="22"/>
                <w:lang w:eastAsia="en-US"/>
              </w:rPr>
              <w:lastRenderedPageBreak/>
              <w:t>III.6</w:t>
            </w:r>
          </w:p>
        </w:tc>
        <w:tc>
          <w:tcPr>
            <w:tcW w:w="7961" w:type="dxa"/>
          </w:tcPr>
          <w:p w14:paraId="68F6AC26" w14:textId="77777777" w:rsidR="00E65CA9" w:rsidRPr="00DD530F" w:rsidRDefault="00E65CA9" w:rsidP="000D7FB3">
            <w:pPr>
              <w:widowControl/>
              <w:jc w:val="both"/>
              <w:rPr>
                <w:rFonts w:ascii="Arial" w:hAnsi="Arial" w:cs="Arial"/>
                <w:sz w:val="22"/>
                <w:szCs w:val="24"/>
                <w:lang w:eastAsia="en-US"/>
              </w:rPr>
            </w:pPr>
            <w:r w:rsidRPr="00DD530F">
              <w:rPr>
                <w:rFonts w:ascii="Arial" w:hAnsi="Arial" w:cs="Arial"/>
                <w:sz w:val="22"/>
                <w:szCs w:val="22"/>
                <w:lang w:eastAsia="en-US"/>
              </w:rPr>
              <w:t xml:space="preserve">Vplyvy po realizácii navrhovanej činnosti budú relatívne stále až do ukončenia činnosti. Druhom a rozsahom sú však akceptovateľné. </w:t>
            </w:r>
          </w:p>
        </w:tc>
      </w:tr>
      <w:tr w:rsidR="00DD530F" w:rsidRPr="00DD530F" w14:paraId="7ACEF5B1" w14:textId="77777777" w:rsidTr="00853DA6">
        <w:tc>
          <w:tcPr>
            <w:tcW w:w="1101" w:type="dxa"/>
          </w:tcPr>
          <w:p w14:paraId="122651D1"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III.7</w:t>
            </w:r>
          </w:p>
        </w:tc>
        <w:tc>
          <w:tcPr>
            <w:tcW w:w="7961" w:type="dxa"/>
          </w:tcPr>
          <w:p w14:paraId="631D6C41" w14:textId="77777777" w:rsidR="00E65CA9" w:rsidRPr="00DD530F" w:rsidRDefault="00E32D9B" w:rsidP="00CF6787">
            <w:pPr>
              <w:widowControl/>
              <w:jc w:val="both"/>
              <w:rPr>
                <w:rFonts w:ascii="Arial" w:hAnsi="Arial" w:cs="Arial"/>
                <w:sz w:val="22"/>
                <w:szCs w:val="24"/>
                <w:lang w:eastAsia="en-US"/>
              </w:rPr>
            </w:pPr>
            <w:r w:rsidRPr="00DD530F">
              <w:rPr>
                <w:rFonts w:ascii="Arial" w:hAnsi="Arial" w:cs="Arial"/>
                <w:sz w:val="22"/>
                <w:szCs w:val="22"/>
                <w:lang w:eastAsia="en-US"/>
              </w:rPr>
              <w:t>V</w:t>
            </w:r>
            <w:r w:rsidR="00E65CA9" w:rsidRPr="00DD530F">
              <w:rPr>
                <w:rFonts w:ascii="Arial" w:hAnsi="Arial" w:cs="Arial"/>
                <w:sz w:val="22"/>
                <w:szCs w:val="22"/>
                <w:lang w:eastAsia="en-US"/>
              </w:rPr>
              <w:t xml:space="preserve"> etape prevádzky sa budú kumulatívne vplyvy prejavovať predovšetkým prostredníctvom dopravy (hluk, znečistenie ovzdušia).   </w:t>
            </w:r>
          </w:p>
        </w:tc>
      </w:tr>
      <w:tr w:rsidR="00D01CDE" w:rsidRPr="00DD530F" w14:paraId="6D440979" w14:textId="77777777" w:rsidTr="00853DA6">
        <w:tc>
          <w:tcPr>
            <w:tcW w:w="1101" w:type="dxa"/>
          </w:tcPr>
          <w:p w14:paraId="70B47FB5"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III.8</w:t>
            </w:r>
          </w:p>
        </w:tc>
        <w:tc>
          <w:tcPr>
            <w:tcW w:w="7961" w:type="dxa"/>
          </w:tcPr>
          <w:p w14:paraId="57943F0F" w14:textId="77777777" w:rsidR="00E65CA9" w:rsidRPr="00DD530F" w:rsidRDefault="00E65CA9" w:rsidP="00CF6787">
            <w:pPr>
              <w:widowControl/>
              <w:jc w:val="both"/>
              <w:rPr>
                <w:rFonts w:ascii="Arial" w:hAnsi="Arial" w:cs="Arial"/>
                <w:sz w:val="22"/>
                <w:szCs w:val="24"/>
                <w:lang w:eastAsia="en-US"/>
              </w:rPr>
            </w:pPr>
            <w:r w:rsidRPr="00DD530F">
              <w:rPr>
                <w:rFonts w:ascii="Arial" w:hAnsi="Arial" w:cs="Arial"/>
                <w:sz w:val="22"/>
                <w:szCs w:val="22"/>
                <w:lang w:eastAsia="en-US"/>
              </w:rPr>
              <w:t xml:space="preserve">Navrhované riešenie, vrátane opatrení účinne zmiernia predpokladané vplyvy do miery akceptovateľnej podľa príslušných noriem a environmentálnych limitov.  </w:t>
            </w:r>
          </w:p>
        </w:tc>
      </w:tr>
    </w:tbl>
    <w:p w14:paraId="2076CC33" w14:textId="2D04772D" w:rsidR="00265854" w:rsidRPr="00DD530F" w:rsidRDefault="00E65CA9" w:rsidP="00265854">
      <w:pPr>
        <w:pStyle w:val="A-Text11"/>
      </w:pPr>
      <w:r w:rsidRPr="00DD530F">
        <w:t xml:space="preserve">Pre hodnotenie boli využité aj kritériá pre rozhodovanie podľa Prílohy č. 10 k zákonu č. 24/2006 Z.z. (transpozícia prílohy č. III. Smernice 2011/92EÚ). Vzájomné hodnotenie kritérií je </w:t>
      </w:r>
      <w:r w:rsidR="00ED62F7">
        <w:t>zobrazené na Obr.</w:t>
      </w:r>
      <w:r w:rsidRPr="007E689D">
        <w:t xml:space="preserve"> </w:t>
      </w:r>
      <w:r w:rsidRPr="00ED62F7">
        <w:t xml:space="preserve">č. </w:t>
      </w:r>
      <w:r w:rsidR="00B83876" w:rsidRPr="00ED62F7">
        <w:t>V.1.1</w:t>
      </w:r>
      <w:r w:rsidRPr="00ED62F7">
        <w:t>.</w:t>
      </w:r>
      <w:r w:rsidRPr="00DD530F">
        <w:t xml:space="preserve"> </w:t>
      </w:r>
    </w:p>
    <w:p w14:paraId="38B7F1D6" w14:textId="38D3DEA3" w:rsidR="004D149F" w:rsidRPr="00DA2BE8" w:rsidRDefault="004D149F" w:rsidP="004D149F">
      <w:pPr>
        <w:pStyle w:val="Hlavika"/>
        <w:spacing w:before="120"/>
        <w:rPr>
          <w:rFonts w:ascii="Arial" w:hAnsi="Arial" w:cs="Arial"/>
          <w:bCs/>
          <w:i/>
          <w:sz w:val="18"/>
          <w:szCs w:val="18"/>
          <w:lang w:val="sk-SK"/>
        </w:rPr>
      </w:pPr>
      <w:bookmarkStart w:id="432" w:name="_Hlk487965182"/>
    </w:p>
    <w:tbl>
      <w:tblPr>
        <w:tblW w:w="85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05"/>
      </w:tblGrid>
      <w:tr w:rsidR="00C231EA" w:rsidRPr="004A7717" w14:paraId="532044D5" w14:textId="77777777" w:rsidTr="00572D5F">
        <w:trPr>
          <w:trHeight w:val="53"/>
        </w:trPr>
        <w:tc>
          <w:tcPr>
            <w:tcW w:w="8505" w:type="dxa"/>
          </w:tcPr>
          <w:p w14:paraId="03C57D75" w14:textId="7BB561EF" w:rsidR="004D149F" w:rsidRPr="004A7717" w:rsidRDefault="009D6510" w:rsidP="00153C71">
            <w:pPr>
              <w:pStyle w:val="Hlavika"/>
              <w:spacing w:before="120"/>
              <w:rPr>
                <w:rFonts w:cs="Arial"/>
                <w:color w:val="FF0000"/>
                <w:lang w:val="sk-SK"/>
              </w:rPr>
            </w:pPr>
            <w:r w:rsidRPr="004A7717">
              <w:rPr>
                <w:rFonts w:ascii="Arial" w:hAnsi="Arial" w:cs="Arial"/>
                <w:noProof/>
                <w:color w:val="FF0000"/>
                <w:szCs w:val="22"/>
                <w:lang w:val="sk-SK" w:eastAsia="cs-CZ"/>
              </w:rPr>
              <w:drawing>
                <wp:inline distT="0" distB="0" distL="0" distR="0" wp14:anchorId="0BF9DFBD" wp14:editId="6931CF49">
                  <wp:extent cx="5267325" cy="2689860"/>
                  <wp:effectExtent l="0" t="0" r="0" b="0"/>
                  <wp:docPr id="16" name="Objek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bl>
    <w:bookmarkEnd w:id="432"/>
    <w:p w14:paraId="17FD825D" w14:textId="2FDFFF0D" w:rsidR="004D149F" w:rsidRPr="004A7717" w:rsidRDefault="00572D5F" w:rsidP="00572D5F">
      <w:pPr>
        <w:spacing w:before="120"/>
        <w:jc w:val="center"/>
        <w:rPr>
          <w:rFonts w:ascii="Arial" w:hAnsi="Arial" w:cs="Arial"/>
          <w:color w:val="FF0000"/>
          <w:sz w:val="22"/>
          <w:szCs w:val="22"/>
        </w:rPr>
      </w:pPr>
      <w:r w:rsidRPr="006D2BCB">
        <w:rPr>
          <w:rFonts w:ascii="Arial" w:hAnsi="Arial" w:cs="Arial"/>
          <w:bCs/>
          <w:i/>
          <w:sz w:val="18"/>
          <w:szCs w:val="18"/>
        </w:rPr>
        <w:t>Obr. č.</w:t>
      </w:r>
      <w:r>
        <w:rPr>
          <w:rFonts w:ascii="Arial" w:hAnsi="Arial" w:cs="Arial"/>
          <w:bCs/>
          <w:i/>
          <w:sz w:val="18"/>
          <w:szCs w:val="18"/>
        </w:rPr>
        <w:t xml:space="preserve"> </w:t>
      </w:r>
      <w:r w:rsidRPr="00DA2BE8">
        <w:rPr>
          <w:rFonts w:ascii="Arial" w:hAnsi="Arial" w:cs="Arial"/>
          <w:bCs/>
          <w:i/>
          <w:sz w:val="18"/>
          <w:szCs w:val="18"/>
        </w:rPr>
        <w:t>V.1.</w:t>
      </w:r>
      <w:r>
        <w:rPr>
          <w:rFonts w:ascii="Arial" w:hAnsi="Arial" w:cs="Arial"/>
          <w:bCs/>
          <w:i/>
          <w:sz w:val="18"/>
          <w:szCs w:val="18"/>
        </w:rPr>
        <w:t>1</w:t>
      </w:r>
      <w:r w:rsidRPr="00DA2BE8">
        <w:rPr>
          <w:rFonts w:ascii="Arial" w:hAnsi="Arial" w:cs="Arial"/>
          <w:bCs/>
          <w:i/>
          <w:sz w:val="18"/>
          <w:szCs w:val="18"/>
        </w:rPr>
        <w:t>:</w:t>
      </w:r>
      <w:r>
        <w:rPr>
          <w:rFonts w:ascii="Arial" w:hAnsi="Arial" w:cs="Arial"/>
          <w:bCs/>
          <w:i/>
          <w:sz w:val="18"/>
          <w:szCs w:val="18"/>
        </w:rPr>
        <w:t xml:space="preserve"> </w:t>
      </w:r>
      <w:r w:rsidRPr="00DA2BE8">
        <w:rPr>
          <w:rFonts w:ascii="Arial" w:hAnsi="Arial" w:cs="Arial"/>
          <w:bCs/>
          <w:i/>
          <w:sz w:val="18"/>
          <w:szCs w:val="18"/>
        </w:rPr>
        <w:t>Grafické znázornenie váh kritérií podľa prílohy č. 10 zákona č. 24/2006 Z.z.</w:t>
      </w:r>
    </w:p>
    <w:p w14:paraId="46585308" w14:textId="77777777" w:rsidR="00265854" w:rsidRDefault="00265854" w:rsidP="0093211F">
      <w:pPr>
        <w:pStyle w:val="A-Text11"/>
      </w:pPr>
    </w:p>
    <w:p w14:paraId="737EDB3C" w14:textId="1F5CCE05" w:rsidR="00AC553F" w:rsidRPr="00DD530F" w:rsidRDefault="00AC553F" w:rsidP="0093211F">
      <w:pPr>
        <w:pStyle w:val="A-Text11"/>
      </w:pPr>
      <w:r w:rsidRPr="00DD530F">
        <w:t xml:space="preserve">Pre hodnotenie a výber variantu bola riešiteľským kolektívom stanovená skupina kritérií vychádzajúce zo štruktúry zámeru– viď. </w:t>
      </w:r>
      <w:r w:rsidRPr="00DD530F">
        <w:rPr>
          <w:b/>
          <w:i/>
        </w:rPr>
        <w:t>tabuľka č</w:t>
      </w:r>
      <w:r w:rsidR="00FF5AEB" w:rsidRPr="00DD530F">
        <w:rPr>
          <w:b/>
          <w:i/>
        </w:rPr>
        <w:t xml:space="preserve">. </w:t>
      </w:r>
      <w:r w:rsidR="007E1141">
        <w:rPr>
          <w:b/>
          <w:i/>
        </w:rPr>
        <w:t>IV</w:t>
      </w:r>
      <w:r w:rsidRPr="00DD530F">
        <w:rPr>
          <w:b/>
          <w:i/>
        </w:rPr>
        <w:t>.</w:t>
      </w:r>
      <w:r w:rsidR="007E1141">
        <w:rPr>
          <w:b/>
          <w:i/>
        </w:rPr>
        <w:t>6.2</w:t>
      </w:r>
    </w:p>
    <w:p w14:paraId="64AD8880" w14:textId="77777777" w:rsidR="00E65CA9" w:rsidRPr="00DD530F" w:rsidRDefault="00E65CA9" w:rsidP="0093211F">
      <w:pPr>
        <w:pStyle w:val="A-Text11"/>
      </w:pPr>
      <w:r w:rsidRPr="00DD530F">
        <w:t>Pre stanovenie váh jednotlivých kritérií bola použitá porovnávacia metóda pri ktorej jednotliví experti určili priority kritérií. Váhy jednotlivých kritérií boli vypočítané podľa vzorca:</w:t>
      </w:r>
    </w:p>
    <w:p w14:paraId="705A9281" w14:textId="77777777" w:rsidR="00E65CA9" w:rsidRPr="00DD530F" w:rsidRDefault="00E65CA9" w:rsidP="00E476FE">
      <w:pPr>
        <w:pStyle w:val="Par"/>
        <w:spacing w:before="120" w:after="0"/>
        <w:ind w:firstLine="0"/>
        <w:rPr>
          <w:rFonts w:ascii="Arial" w:hAnsi="Arial" w:cs="Arial"/>
          <w:sz w:val="22"/>
          <w:lang w:val="sk-SK"/>
        </w:rPr>
      </w:pPr>
      <w:r w:rsidRPr="00DD530F">
        <w:rPr>
          <w:rFonts w:ascii="Arial" w:hAnsi="Arial" w:cs="Arial"/>
          <w:position w:val="-30"/>
          <w:sz w:val="22"/>
          <w:lang w:val="sk-SK"/>
        </w:rPr>
        <w:object w:dxaOrig="1319" w:dyaOrig="780" w14:anchorId="3A77A7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39.5pt" o:ole="">
            <v:imagedata r:id="rId74" o:title=""/>
          </v:shape>
          <o:OLEObject Type="Embed" ProgID="Equation.3" ShapeID="_x0000_i1025" DrawAspect="Content" ObjectID="_1705842680" r:id="rId75"/>
        </w:object>
      </w:r>
      <w:r w:rsidRPr="00DD530F">
        <w:rPr>
          <w:rFonts w:ascii="Arial" w:hAnsi="Arial" w:cs="Arial"/>
          <w:sz w:val="22"/>
          <w:lang w:val="sk-SK"/>
        </w:rPr>
        <w:t xml:space="preserve">. </w:t>
      </w:r>
    </w:p>
    <w:p w14:paraId="593EC84A" w14:textId="77777777" w:rsidR="00E65CA9" w:rsidRPr="00DD530F" w:rsidRDefault="00E65CA9" w:rsidP="002A4B63">
      <w:pPr>
        <w:pStyle w:val="text0"/>
        <w:rPr>
          <w:lang w:val="sk-SK"/>
        </w:rPr>
      </w:pPr>
      <w:r w:rsidRPr="00DD530F">
        <w:rPr>
          <w:lang w:val="sk-SK"/>
        </w:rPr>
        <w:t xml:space="preserve"> Kde  </w:t>
      </w:r>
    </w:p>
    <w:p w14:paraId="5896A742" w14:textId="77777777" w:rsidR="00E65CA9" w:rsidRPr="00DD530F" w:rsidRDefault="00E65CA9" w:rsidP="00E476FE">
      <w:pPr>
        <w:pStyle w:val="Par"/>
        <w:tabs>
          <w:tab w:val="left" w:pos="1418"/>
        </w:tabs>
        <w:spacing w:after="0"/>
        <w:ind w:firstLine="0"/>
        <w:rPr>
          <w:rFonts w:ascii="Arial" w:hAnsi="Arial" w:cs="Arial"/>
          <w:sz w:val="22"/>
          <w:lang w:val="sk-SK"/>
        </w:rPr>
      </w:pPr>
      <w:r w:rsidRPr="00DD530F">
        <w:rPr>
          <w:rFonts w:ascii="Arial" w:hAnsi="Arial" w:cs="Arial"/>
          <w:position w:val="-4"/>
          <w:sz w:val="22"/>
          <w:lang w:val="sk-SK"/>
        </w:rPr>
        <w:object w:dxaOrig="460" w:dyaOrig="340" w14:anchorId="1D2BE820">
          <v:shape id="_x0000_i1026" type="#_x0000_t75" style="width:22.5pt;height:19.5pt" o:ole="">
            <v:imagedata r:id="rId76" o:title=""/>
          </v:shape>
          <o:OLEObject Type="Embed" ProgID="Equation.3" ShapeID="_x0000_i1026" DrawAspect="Content" ObjectID="_1705842681" r:id="rId77"/>
        </w:object>
      </w:r>
      <w:r w:rsidRPr="00DD530F">
        <w:rPr>
          <w:rFonts w:ascii="Arial" w:hAnsi="Arial" w:cs="Arial"/>
          <w:sz w:val="22"/>
          <w:lang w:val="sk-SK"/>
        </w:rPr>
        <w:tab/>
        <w:t>je priemerný počet priradených priorít od všetkých hodnotiteľov</w:t>
      </w:r>
    </w:p>
    <w:p w14:paraId="76CCD6A9" w14:textId="77777777" w:rsidR="00E65CA9" w:rsidRPr="00DD530F" w:rsidRDefault="00E65CA9" w:rsidP="00E476FE">
      <w:pPr>
        <w:pStyle w:val="Par"/>
        <w:tabs>
          <w:tab w:val="left" w:pos="1418"/>
        </w:tabs>
        <w:spacing w:after="0"/>
        <w:ind w:firstLine="0"/>
        <w:rPr>
          <w:rFonts w:ascii="Arial" w:hAnsi="Arial" w:cs="Arial"/>
          <w:sz w:val="22"/>
          <w:lang w:val="sk-SK"/>
        </w:rPr>
      </w:pPr>
      <w:r w:rsidRPr="00DD530F">
        <w:rPr>
          <w:rFonts w:ascii="Arial" w:hAnsi="Arial" w:cs="Arial"/>
          <w:position w:val="-12"/>
          <w:sz w:val="22"/>
          <w:lang w:val="sk-SK"/>
        </w:rPr>
        <w:object w:dxaOrig="760" w:dyaOrig="400" w14:anchorId="480A1DE3">
          <v:shape id="_x0000_i1027" type="#_x0000_t75" style="width:38pt;height:22pt" o:ole="">
            <v:imagedata r:id="rId78" o:title=""/>
          </v:shape>
          <o:OLEObject Type="Embed" ProgID="Equation.3" ShapeID="_x0000_i1027" DrawAspect="Content" ObjectID="_1705842682" r:id="rId79"/>
        </w:object>
      </w:r>
      <w:r w:rsidRPr="00DD530F">
        <w:rPr>
          <w:rFonts w:ascii="Arial" w:hAnsi="Arial" w:cs="Arial"/>
          <w:sz w:val="22"/>
          <w:lang w:val="sk-SK"/>
        </w:rPr>
        <w:tab/>
        <w:t>je maximálny celkový počet priorít, ktorý môže hodnotiteľ priradiť</w:t>
      </w:r>
    </w:p>
    <w:p w14:paraId="17D7CAC1" w14:textId="77777777" w:rsidR="00E65CA9" w:rsidRPr="00DD530F" w:rsidRDefault="00E65CA9" w:rsidP="00E476FE">
      <w:pPr>
        <w:pStyle w:val="Par"/>
        <w:spacing w:before="120" w:after="0"/>
        <w:ind w:firstLine="0"/>
        <w:rPr>
          <w:rFonts w:ascii="Arial" w:hAnsi="Arial" w:cs="Arial"/>
          <w:sz w:val="22"/>
          <w:lang w:val="sk-SK"/>
        </w:rPr>
      </w:pPr>
      <w:r w:rsidRPr="00DD530F">
        <w:rPr>
          <w:rFonts w:ascii="Arial" w:hAnsi="Arial" w:cs="Arial"/>
          <w:position w:val="-4"/>
          <w:sz w:val="22"/>
          <w:lang w:val="sk-SK"/>
        </w:rPr>
        <w:object w:dxaOrig="320" w:dyaOrig="300" w14:anchorId="01AEDB57">
          <v:shape id="_x0000_i1028" type="#_x0000_t75" style="width:15pt;height:15pt" o:ole="">
            <v:imagedata r:id="rId80" o:title=""/>
          </v:shape>
          <o:OLEObject Type="Embed" ProgID="Equation.3" ShapeID="_x0000_i1028" DrawAspect="Content" ObjectID="_1705842683" r:id="rId81"/>
        </w:object>
      </w:r>
      <w:r w:rsidRPr="00DD530F">
        <w:rPr>
          <w:rFonts w:ascii="Arial" w:hAnsi="Arial" w:cs="Arial"/>
          <w:sz w:val="22"/>
          <w:lang w:val="sk-SK"/>
        </w:rPr>
        <w:t xml:space="preserve"> </w:t>
      </w:r>
      <w:r w:rsidRPr="00DD530F">
        <w:rPr>
          <w:rFonts w:ascii="Arial" w:hAnsi="Arial" w:cs="Arial"/>
          <w:sz w:val="22"/>
          <w:lang w:val="sk-SK"/>
        </w:rPr>
        <w:tab/>
        <w:t>je normovaná váha j-teho kritéria</w:t>
      </w:r>
    </w:p>
    <w:p w14:paraId="16E616FC" w14:textId="77777777" w:rsidR="00E65CA9" w:rsidRPr="00DD530F" w:rsidRDefault="00E65CA9" w:rsidP="0093211F">
      <w:pPr>
        <w:pStyle w:val="A-Text11"/>
      </w:pPr>
      <w:r w:rsidRPr="00DD530F">
        <w:t xml:space="preserve">Na základe poznania v súčasnej etape prípravy riešiteľský kolektív definoval kritériá pre rozhodnutia o výbere variantu riešenia, ktoré sú hodnotiteľné podľa štruktúry </w:t>
      </w:r>
      <w:r w:rsidR="0063197C" w:rsidRPr="00DD530F">
        <w:t xml:space="preserve">zámeru </w:t>
      </w:r>
      <w:r w:rsidRPr="00DD530F">
        <w:t xml:space="preserve">  podľa Zákona č. 24/2006 Z.z.:</w:t>
      </w:r>
    </w:p>
    <w:p w14:paraId="140C776C" w14:textId="77777777" w:rsidR="00E65CA9" w:rsidRPr="00DD530F" w:rsidRDefault="00E65CA9" w:rsidP="0095439F">
      <w:pPr>
        <w:pStyle w:val="Zoznamsodrkami3"/>
        <w:numPr>
          <w:ilvl w:val="0"/>
          <w:numId w:val="13"/>
        </w:numPr>
        <w:spacing w:after="0"/>
        <w:ind w:hanging="567"/>
        <w:jc w:val="both"/>
        <w:rPr>
          <w:rFonts w:ascii="Arial" w:hAnsi="Arial" w:cs="Arial"/>
          <w:i/>
          <w:iCs/>
          <w:sz w:val="22"/>
          <w:szCs w:val="22"/>
          <w:lang w:val="sk-SK"/>
        </w:rPr>
      </w:pPr>
      <w:r w:rsidRPr="00DD530F">
        <w:rPr>
          <w:rFonts w:ascii="Arial" w:hAnsi="Arial" w:cs="Arial"/>
          <w:i/>
          <w:iCs/>
          <w:sz w:val="22"/>
          <w:szCs w:val="22"/>
          <w:lang w:val="sk-SK"/>
        </w:rPr>
        <w:t>environmentálne</w:t>
      </w:r>
      <w:r w:rsidRPr="00DD530F">
        <w:rPr>
          <w:rFonts w:ascii="Arial" w:hAnsi="Arial" w:cs="Arial"/>
          <w:b/>
          <w:i/>
          <w:iCs/>
          <w:sz w:val="22"/>
          <w:szCs w:val="22"/>
          <w:lang w:val="sk-SK"/>
        </w:rPr>
        <w:t xml:space="preserve"> </w:t>
      </w:r>
      <w:r w:rsidRPr="00DD530F">
        <w:rPr>
          <w:rFonts w:ascii="Arial" w:hAnsi="Arial" w:cs="Arial"/>
          <w:i/>
          <w:iCs/>
          <w:sz w:val="22"/>
          <w:szCs w:val="22"/>
          <w:lang w:val="sk-SK"/>
        </w:rPr>
        <w:t xml:space="preserve">(ekologické) - zaťaženie zložiek životného prostredia. </w:t>
      </w:r>
    </w:p>
    <w:p w14:paraId="3D4E34B7" w14:textId="77777777" w:rsidR="00E65CA9" w:rsidRPr="00DD530F" w:rsidRDefault="00E65CA9" w:rsidP="0095439F">
      <w:pPr>
        <w:pStyle w:val="Zoznamsodrkami3"/>
        <w:numPr>
          <w:ilvl w:val="0"/>
          <w:numId w:val="13"/>
        </w:numPr>
        <w:spacing w:after="0"/>
        <w:ind w:hanging="567"/>
        <w:jc w:val="both"/>
        <w:rPr>
          <w:rFonts w:ascii="Arial" w:hAnsi="Arial" w:cs="Arial"/>
          <w:i/>
          <w:iCs/>
          <w:sz w:val="22"/>
          <w:szCs w:val="22"/>
          <w:lang w:val="sk-SK"/>
        </w:rPr>
      </w:pPr>
      <w:r w:rsidRPr="00DD530F">
        <w:rPr>
          <w:rFonts w:ascii="Arial" w:hAnsi="Arial" w:cs="Arial"/>
          <w:i/>
          <w:iCs/>
          <w:sz w:val="22"/>
          <w:szCs w:val="22"/>
          <w:lang w:val="sk-SK"/>
        </w:rPr>
        <w:t xml:space="preserve">zdravotné  - ovplyvňovanie zdravia obyvateľstva  a  pohody života </w:t>
      </w:r>
    </w:p>
    <w:p w14:paraId="7C491915" w14:textId="77777777" w:rsidR="00E65CA9" w:rsidRPr="00DD530F" w:rsidRDefault="00E65CA9" w:rsidP="0095439F">
      <w:pPr>
        <w:pStyle w:val="Par"/>
        <w:numPr>
          <w:ilvl w:val="0"/>
          <w:numId w:val="13"/>
        </w:numPr>
        <w:spacing w:after="0"/>
        <w:ind w:hanging="567"/>
        <w:rPr>
          <w:rFonts w:ascii="Arial" w:hAnsi="Arial" w:cs="Arial"/>
          <w:i/>
          <w:iCs/>
          <w:sz w:val="22"/>
          <w:szCs w:val="22"/>
          <w:lang w:val="sk-SK"/>
        </w:rPr>
      </w:pPr>
      <w:r w:rsidRPr="00DD530F">
        <w:rPr>
          <w:rFonts w:ascii="Arial" w:hAnsi="Arial" w:cs="Arial"/>
          <w:i/>
          <w:iCs/>
          <w:sz w:val="22"/>
          <w:szCs w:val="22"/>
          <w:lang w:val="sk-SK"/>
        </w:rPr>
        <w:t>ekonomické</w:t>
      </w:r>
      <w:r w:rsidRPr="00DD530F">
        <w:rPr>
          <w:rFonts w:ascii="Arial" w:hAnsi="Arial" w:cs="Arial"/>
          <w:b/>
          <w:i/>
          <w:iCs/>
          <w:sz w:val="22"/>
          <w:szCs w:val="22"/>
          <w:lang w:val="sk-SK"/>
        </w:rPr>
        <w:t xml:space="preserve"> </w:t>
      </w:r>
      <w:r w:rsidRPr="00DD530F">
        <w:rPr>
          <w:rFonts w:ascii="Arial" w:hAnsi="Arial" w:cs="Arial"/>
          <w:i/>
          <w:iCs/>
          <w:sz w:val="22"/>
          <w:szCs w:val="22"/>
          <w:lang w:val="sk-SK"/>
        </w:rPr>
        <w:t>a technické aspekty - úroveň a kvalita technického riešenia.</w:t>
      </w:r>
    </w:p>
    <w:p w14:paraId="1B543B35" w14:textId="0FE96481" w:rsidR="00E65CA9" w:rsidRDefault="00E65CA9" w:rsidP="0093211F">
      <w:pPr>
        <w:pStyle w:val="A-Text11"/>
      </w:pPr>
      <w:r w:rsidRPr="00DD530F">
        <w:lastRenderedPageBreak/>
        <w:t xml:space="preserve">Z porovnania variantov a stanovenia ich váh je zrejmé, že najdôležitejšími kritériami na výber optimálneho variantu je pravdepodobnosť účinkov na  zdravie obyvateľstva a vplyv na pohodu  života.   Medzi dôležité kritéria patria celkové znečisťovanie alebo zhodnocovanie prostredia, riziko nehôd a predpokladané vplyvy na obyvateľstvo. Pre stanovenie váh jednotlivých kritérií bola použitá porovnávacia metóda pri ktorej jednotliví experti určili priority kritérií. </w:t>
      </w:r>
    </w:p>
    <w:p w14:paraId="2C8B849A" w14:textId="77777777" w:rsidR="00007D01" w:rsidRDefault="009D6510" w:rsidP="00007D01">
      <w:pPr>
        <w:pStyle w:val="A-Text11"/>
        <w:ind w:firstLine="0"/>
      </w:pPr>
      <w:bookmarkStart w:id="433" w:name="_Toc489801576"/>
      <w:bookmarkStart w:id="434" w:name="_Toc495993005"/>
      <w:bookmarkStart w:id="435" w:name="_Toc75872486"/>
      <w:r w:rsidRPr="004A7717">
        <w:rPr>
          <w:noProof/>
        </w:rPr>
        <w:drawing>
          <wp:inline distT="0" distB="0" distL="0" distR="0" wp14:anchorId="6DEA0D21" wp14:editId="5CD3BE0B">
            <wp:extent cx="6343650" cy="3019425"/>
            <wp:effectExtent l="0" t="0" r="0" b="0"/>
            <wp:docPr id="21" name="Objek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59BB3841" w14:textId="1DA708A0" w:rsidR="00007D01" w:rsidRPr="00007D01" w:rsidRDefault="00007D01" w:rsidP="00007D01">
      <w:pPr>
        <w:widowControl/>
        <w:jc w:val="center"/>
        <w:rPr>
          <w:rFonts w:ascii="Arial Narrow" w:hAnsi="Arial Narrow"/>
          <w:bCs/>
          <w:sz w:val="16"/>
          <w:lang w:eastAsia="en-US"/>
        </w:rPr>
      </w:pPr>
      <w:r w:rsidRPr="00007D01">
        <w:rPr>
          <w:rFonts w:ascii="Arial" w:hAnsi="Arial" w:cs="Arial"/>
          <w:bCs/>
          <w:i/>
          <w:sz w:val="18"/>
          <w:szCs w:val="18"/>
          <w:lang w:eastAsia="en-US"/>
        </w:rPr>
        <w:t xml:space="preserve">Obr. č. V.1.2: Grafické znázornenie váh vybraných kritérií podľa štruktúry zámeru (výpočet váh kritérií je v tabuľke </w:t>
      </w:r>
      <w:r w:rsidRPr="004D6BAE">
        <w:rPr>
          <w:rFonts w:ascii="Arial" w:hAnsi="Arial" w:cs="Arial"/>
          <w:bCs/>
          <w:i/>
          <w:sz w:val="18"/>
          <w:szCs w:val="18"/>
          <w:lang w:eastAsia="en-US"/>
        </w:rPr>
        <w:t>č. V.1.</w:t>
      </w:r>
      <w:r w:rsidR="004D6BAE" w:rsidRPr="004D6BAE">
        <w:rPr>
          <w:rFonts w:ascii="Arial" w:hAnsi="Arial" w:cs="Arial"/>
          <w:bCs/>
          <w:i/>
          <w:sz w:val="18"/>
          <w:szCs w:val="18"/>
          <w:lang w:eastAsia="en-US"/>
        </w:rPr>
        <w:t>2</w:t>
      </w:r>
      <w:r w:rsidRPr="004D6BAE">
        <w:rPr>
          <w:rFonts w:ascii="Arial" w:hAnsi="Arial" w:cs="Arial"/>
          <w:bCs/>
          <w:i/>
          <w:sz w:val="18"/>
          <w:szCs w:val="18"/>
          <w:lang w:eastAsia="en-US"/>
        </w:rPr>
        <w:t>)</w:t>
      </w:r>
    </w:p>
    <w:p w14:paraId="3F70AFB4" w14:textId="77777777" w:rsidR="00007D01" w:rsidRPr="00007D01" w:rsidRDefault="00007D01" w:rsidP="00007D01">
      <w:pPr>
        <w:pStyle w:val="A-Text11"/>
      </w:pPr>
    </w:p>
    <w:p w14:paraId="75D7A869" w14:textId="7F6ACE13" w:rsidR="00E65CA9" w:rsidRPr="004A7717" w:rsidRDefault="002738C1" w:rsidP="008C6F96">
      <w:pPr>
        <w:pStyle w:val="Nadpis2"/>
        <w:numPr>
          <w:ilvl w:val="0"/>
          <w:numId w:val="0"/>
        </w:numPr>
      </w:pPr>
      <w:bookmarkStart w:id="436" w:name="_Toc93916864"/>
      <w:r w:rsidRPr="004A7717">
        <w:t xml:space="preserve">V.2 </w:t>
      </w:r>
      <w:r w:rsidR="00E65CA9" w:rsidRPr="004A7717">
        <w:t>Výber optimálneho variantu, alebo stanovenie poradia vhodnosti pre posudzované varianty</w:t>
      </w:r>
      <w:bookmarkEnd w:id="433"/>
      <w:bookmarkEnd w:id="434"/>
      <w:bookmarkEnd w:id="435"/>
      <w:bookmarkEnd w:id="436"/>
    </w:p>
    <w:p w14:paraId="6D64A912" w14:textId="77777777" w:rsidR="00E65CA9" w:rsidRPr="00DD530F" w:rsidRDefault="00E65CA9" w:rsidP="0093211F">
      <w:pPr>
        <w:pStyle w:val="A-Text11"/>
      </w:pPr>
      <w:r w:rsidRPr="00DD530F">
        <w:t xml:space="preserve">Vzhľadom k tomu, že niektoré kritériá nemožno kvantitatívne ohodnotiť, bola zvolená stupnica relatívneho hodnotenia variantov od –5 bodov po + 5 bodov.  </w:t>
      </w:r>
    </w:p>
    <w:tbl>
      <w:tblPr>
        <w:tblW w:w="920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0" w:type="dxa"/>
          <w:right w:w="70" w:type="dxa"/>
        </w:tblCellMar>
        <w:tblLook w:val="00A0" w:firstRow="1" w:lastRow="0" w:firstColumn="1" w:lastColumn="0" w:noHBand="0" w:noVBand="0"/>
      </w:tblPr>
      <w:tblGrid>
        <w:gridCol w:w="1510"/>
        <w:gridCol w:w="7690"/>
      </w:tblGrid>
      <w:tr w:rsidR="00DD530F" w:rsidRPr="00DD530F" w14:paraId="71ACD94A" w14:textId="77777777" w:rsidTr="00CF6787">
        <w:trPr>
          <w:tblHeader/>
        </w:trPr>
        <w:tc>
          <w:tcPr>
            <w:tcW w:w="1510" w:type="dxa"/>
            <w:tcBorders>
              <w:top w:val="single" w:sz="12" w:space="0" w:color="000000"/>
              <w:bottom w:val="single" w:sz="12" w:space="0" w:color="000000"/>
            </w:tcBorders>
            <w:shd w:val="pct5" w:color="auto" w:fill="auto"/>
          </w:tcPr>
          <w:p w14:paraId="49B70B27" w14:textId="77777777" w:rsidR="00E65CA9" w:rsidRPr="00DD530F" w:rsidRDefault="00E65CA9" w:rsidP="00CF6787">
            <w:pPr>
              <w:widowControl/>
              <w:spacing w:before="120"/>
              <w:jc w:val="both"/>
              <w:rPr>
                <w:rFonts w:ascii="Arial Narrow" w:hAnsi="Arial Narrow" w:cs="Arial"/>
                <w:b/>
                <w:sz w:val="22"/>
                <w:szCs w:val="24"/>
                <w:lang w:eastAsia="en-US"/>
              </w:rPr>
            </w:pPr>
            <w:r w:rsidRPr="00DD530F">
              <w:rPr>
                <w:rFonts w:ascii="Arial Narrow" w:hAnsi="Arial Narrow" w:cs="Arial"/>
                <w:b/>
                <w:sz w:val="22"/>
                <w:szCs w:val="22"/>
                <w:lang w:eastAsia="en-US"/>
              </w:rPr>
              <w:t>Ohodnotenie</w:t>
            </w:r>
          </w:p>
        </w:tc>
        <w:tc>
          <w:tcPr>
            <w:tcW w:w="7690" w:type="dxa"/>
            <w:tcBorders>
              <w:top w:val="single" w:sz="12" w:space="0" w:color="000000"/>
              <w:bottom w:val="single" w:sz="12" w:space="0" w:color="000000"/>
            </w:tcBorders>
            <w:shd w:val="pct5" w:color="auto" w:fill="auto"/>
          </w:tcPr>
          <w:p w14:paraId="0E33BB80" w14:textId="77777777" w:rsidR="00E65CA9" w:rsidRPr="00DD530F" w:rsidRDefault="00E65CA9" w:rsidP="00CF6787">
            <w:pPr>
              <w:widowControl/>
              <w:spacing w:before="120"/>
              <w:jc w:val="both"/>
              <w:rPr>
                <w:rFonts w:ascii="Arial Narrow" w:hAnsi="Arial Narrow" w:cs="Arial"/>
                <w:b/>
                <w:sz w:val="22"/>
                <w:szCs w:val="24"/>
                <w:lang w:eastAsia="en-US"/>
              </w:rPr>
            </w:pPr>
            <w:r w:rsidRPr="00DD530F">
              <w:rPr>
                <w:rFonts w:ascii="Arial Narrow" w:hAnsi="Arial Narrow" w:cs="Arial"/>
                <w:b/>
                <w:sz w:val="22"/>
                <w:szCs w:val="22"/>
                <w:lang w:eastAsia="en-US"/>
              </w:rPr>
              <w:t>Popis vplyvu</w:t>
            </w:r>
          </w:p>
        </w:tc>
      </w:tr>
      <w:tr w:rsidR="00DD530F" w:rsidRPr="00DD530F" w14:paraId="6F605757" w14:textId="77777777" w:rsidTr="00CF6787">
        <w:tc>
          <w:tcPr>
            <w:tcW w:w="1510" w:type="dxa"/>
            <w:tcBorders>
              <w:top w:val="nil"/>
            </w:tcBorders>
          </w:tcPr>
          <w:p w14:paraId="0F18EA24" w14:textId="77777777" w:rsidR="00E65CA9" w:rsidRPr="00DD530F" w:rsidRDefault="00E65CA9" w:rsidP="00CF6787">
            <w:pPr>
              <w:widowControl/>
              <w:jc w:val="center"/>
              <w:rPr>
                <w:rFonts w:ascii="Arial" w:hAnsi="Arial" w:cs="Arial"/>
                <w:lang w:eastAsia="en-US"/>
              </w:rPr>
            </w:pPr>
            <w:r w:rsidRPr="00DD530F">
              <w:rPr>
                <w:rFonts w:ascii="Arial" w:hAnsi="Arial" w:cs="Arial"/>
                <w:lang w:eastAsia="en-US"/>
              </w:rPr>
              <w:t>-5</w:t>
            </w:r>
          </w:p>
        </w:tc>
        <w:tc>
          <w:tcPr>
            <w:tcW w:w="7690" w:type="dxa"/>
            <w:tcBorders>
              <w:top w:val="nil"/>
            </w:tcBorders>
          </w:tcPr>
          <w:p w14:paraId="49DB1D1A"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veľmi výrazný negatívny až katastrofálny vplyv na životné prostredie</w:t>
            </w:r>
          </w:p>
          <w:p w14:paraId="75F846DC"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ekonomická strata, neakceptovateľné náklady</w:t>
            </w:r>
          </w:p>
          <w:p w14:paraId="50C34CA6"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nerealizovateľné technické riešenia</w:t>
            </w:r>
          </w:p>
        </w:tc>
      </w:tr>
      <w:tr w:rsidR="00DD530F" w:rsidRPr="00DD530F" w14:paraId="37F1B02B" w14:textId="77777777" w:rsidTr="00CF6787">
        <w:tc>
          <w:tcPr>
            <w:tcW w:w="1510" w:type="dxa"/>
          </w:tcPr>
          <w:p w14:paraId="5E03990B" w14:textId="77777777" w:rsidR="00E65CA9" w:rsidRPr="00DD530F" w:rsidRDefault="00E65CA9" w:rsidP="00CF6787">
            <w:pPr>
              <w:widowControl/>
              <w:jc w:val="center"/>
              <w:rPr>
                <w:rFonts w:ascii="Arial" w:hAnsi="Arial" w:cs="Arial"/>
                <w:lang w:eastAsia="en-US"/>
              </w:rPr>
            </w:pPr>
            <w:r w:rsidRPr="00DD530F">
              <w:rPr>
                <w:rFonts w:ascii="Arial" w:hAnsi="Arial" w:cs="Arial"/>
                <w:lang w:eastAsia="en-US"/>
              </w:rPr>
              <w:t>-4</w:t>
            </w:r>
          </w:p>
        </w:tc>
        <w:tc>
          <w:tcPr>
            <w:tcW w:w="7690" w:type="dxa"/>
          </w:tcPr>
          <w:p w14:paraId="4B131F53"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Výrazný negatívny vplyv,  činnosť sa môže realizovať za veľmi vysokých technických a ekonomických vkladov</w:t>
            </w:r>
          </w:p>
          <w:p w14:paraId="37A5954F"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ekonomická strata, veľmi vysoké náklady</w:t>
            </w:r>
          </w:p>
          <w:p w14:paraId="665DCF97"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neprijateľné technické riešenie</w:t>
            </w:r>
          </w:p>
        </w:tc>
      </w:tr>
      <w:tr w:rsidR="00DD530F" w:rsidRPr="00DD530F" w14:paraId="39D5FA94" w14:textId="77777777" w:rsidTr="00CF6787">
        <w:trPr>
          <w:trHeight w:val="455"/>
        </w:trPr>
        <w:tc>
          <w:tcPr>
            <w:tcW w:w="1510" w:type="dxa"/>
          </w:tcPr>
          <w:p w14:paraId="4E003311" w14:textId="77777777" w:rsidR="00E65CA9" w:rsidRPr="00DD530F" w:rsidRDefault="00E65CA9" w:rsidP="00CF6787">
            <w:pPr>
              <w:widowControl/>
              <w:jc w:val="center"/>
              <w:rPr>
                <w:rFonts w:ascii="Arial" w:hAnsi="Arial" w:cs="Arial"/>
                <w:lang w:eastAsia="en-US"/>
              </w:rPr>
            </w:pPr>
            <w:r w:rsidRPr="00DD530F">
              <w:rPr>
                <w:rFonts w:ascii="Arial" w:hAnsi="Arial" w:cs="Arial"/>
                <w:lang w:eastAsia="en-US"/>
              </w:rPr>
              <w:t>-3</w:t>
            </w:r>
          </w:p>
        </w:tc>
        <w:tc>
          <w:tcPr>
            <w:tcW w:w="7690" w:type="dxa"/>
          </w:tcPr>
          <w:p w14:paraId="78B3FE05" w14:textId="77777777" w:rsidR="00E65CA9" w:rsidRPr="00DD530F" w:rsidRDefault="00E65CA9" w:rsidP="00CF6787">
            <w:pPr>
              <w:pStyle w:val="Zkladntext"/>
              <w:rPr>
                <w:b w:val="0"/>
                <w:sz w:val="20"/>
                <w:szCs w:val="20"/>
                <w:lang w:val="sk-SK"/>
              </w:rPr>
            </w:pPr>
            <w:r w:rsidRPr="00DD530F">
              <w:rPr>
                <w:b w:val="0"/>
                <w:sz w:val="20"/>
                <w:szCs w:val="20"/>
                <w:lang w:val="sk-SK"/>
              </w:rPr>
              <w:t>akceptovateľný vplyv s prijatím opatrení na elimináciu negatívnych vplyvov</w:t>
            </w:r>
          </w:p>
          <w:p w14:paraId="2C2506C5"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ekonomická strata s akceptovateľnými vysokými nákladmi</w:t>
            </w:r>
          </w:p>
          <w:p w14:paraId="23817E46"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obtiažne technické riešenie</w:t>
            </w:r>
          </w:p>
        </w:tc>
      </w:tr>
      <w:tr w:rsidR="00DD530F" w:rsidRPr="00DD530F" w14:paraId="1F06B834" w14:textId="77777777" w:rsidTr="00CF6787">
        <w:tc>
          <w:tcPr>
            <w:tcW w:w="1510" w:type="dxa"/>
          </w:tcPr>
          <w:p w14:paraId="60FACD9D" w14:textId="77777777" w:rsidR="00E65CA9" w:rsidRPr="00DD530F" w:rsidRDefault="00E65CA9" w:rsidP="00CF6787">
            <w:pPr>
              <w:widowControl/>
              <w:jc w:val="center"/>
              <w:rPr>
                <w:rFonts w:ascii="Arial" w:hAnsi="Arial" w:cs="Arial"/>
                <w:lang w:eastAsia="en-US"/>
              </w:rPr>
            </w:pPr>
            <w:r w:rsidRPr="00DD530F">
              <w:rPr>
                <w:rFonts w:ascii="Arial" w:hAnsi="Arial" w:cs="Arial"/>
                <w:lang w:eastAsia="en-US"/>
              </w:rPr>
              <w:t>-2</w:t>
            </w:r>
          </w:p>
        </w:tc>
        <w:tc>
          <w:tcPr>
            <w:tcW w:w="7690" w:type="dxa"/>
          </w:tcPr>
          <w:p w14:paraId="10AEF5AD"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malý negatívny vplyv bez potreby prijatia osobitných opatrení</w:t>
            </w:r>
          </w:p>
          <w:p w14:paraId="2313A812"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malá ekonomická strata s akceptovateľnými nákladmi</w:t>
            </w:r>
          </w:p>
          <w:p w14:paraId="4423732F"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podmienečne vyhovujúce technické riešenie</w:t>
            </w:r>
          </w:p>
        </w:tc>
      </w:tr>
      <w:tr w:rsidR="00DD530F" w:rsidRPr="00DD530F" w14:paraId="2157D15F" w14:textId="77777777" w:rsidTr="00CF6787">
        <w:tc>
          <w:tcPr>
            <w:tcW w:w="1510" w:type="dxa"/>
          </w:tcPr>
          <w:p w14:paraId="5FD56C78" w14:textId="77777777" w:rsidR="00E65CA9" w:rsidRPr="00DD530F" w:rsidRDefault="00E65CA9" w:rsidP="00CF6787">
            <w:pPr>
              <w:widowControl/>
              <w:jc w:val="center"/>
              <w:rPr>
                <w:rFonts w:ascii="Arial" w:hAnsi="Arial" w:cs="Arial"/>
                <w:lang w:eastAsia="en-US"/>
              </w:rPr>
            </w:pPr>
            <w:r w:rsidRPr="00DD530F">
              <w:rPr>
                <w:rFonts w:ascii="Arial" w:hAnsi="Arial" w:cs="Arial"/>
                <w:lang w:eastAsia="en-US"/>
              </w:rPr>
              <w:t>-1</w:t>
            </w:r>
          </w:p>
        </w:tc>
        <w:tc>
          <w:tcPr>
            <w:tcW w:w="7690" w:type="dxa"/>
          </w:tcPr>
          <w:p w14:paraId="19AF1FAC"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minimálny negatívny vplyv na životné prostredie</w:t>
            </w:r>
          </w:p>
          <w:p w14:paraId="6E5EC86C"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 xml:space="preserve">minimálna ekonomická strata </w:t>
            </w:r>
          </w:p>
          <w:p w14:paraId="453BC741"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vyhovujúce technické riešenie</w:t>
            </w:r>
          </w:p>
        </w:tc>
      </w:tr>
      <w:tr w:rsidR="00DD530F" w:rsidRPr="00DD530F" w14:paraId="4B73D9A2" w14:textId="77777777" w:rsidTr="00CF6787">
        <w:tc>
          <w:tcPr>
            <w:tcW w:w="1510" w:type="dxa"/>
          </w:tcPr>
          <w:p w14:paraId="4107EB4D" w14:textId="0BE35BD0" w:rsidR="00E65CA9" w:rsidRPr="00DD530F" w:rsidRDefault="00E65CA9" w:rsidP="00CF6787">
            <w:pPr>
              <w:widowControl/>
              <w:jc w:val="center"/>
              <w:rPr>
                <w:rFonts w:ascii="Arial" w:hAnsi="Arial" w:cs="Arial"/>
                <w:lang w:eastAsia="en-US"/>
              </w:rPr>
            </w:pPr>
            <w:r w:rsidRPr="00DD530F">
              <w:rPr>
                <w:rFonts w:ascii="Arial" w:hAnsi="Arial" w:cs="Arial"/>
                <w:lang w:eastAsia="en-US"/>
              </w:rPr>
              <w:t>0</w:t>
            </w:r>
          </w:p>
        </w:tc>
        <w:tc>
          <w:tcPr>
            <w:tcW w:w="7690" w:type="dxa"/>
          </w:tcPr>
          <w:p w14:paraId="67DAAEE1"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žiadne vplyvy</w:t>
            </w:r>
          </w:p>
        </w:tc>
      </w:tr>
      <w:tr w:rsidR="00DD530F" w:rsidRPr="00DD530F" w14:paraId="20F9657A" w14:textId="77777777" w:rsidTr="00CF6787">
        <w:tc>
          <w:tcPr>
            <w:tcW w:w="1510" w:type="dxa"/>
          </w:tcPr>
          <w:p w14:paraId="36710B45" w14:textId="2B770FE4" w:rsidR="00E65CA9" w:rsidRPr="00DD530F" w:rsidRDefault="00E65CA9" w:rsidP="00CF6787">
            <w:pPr>
              <w:widowControl/>
              <w:jc w:val="center"/>
              <w:rPr>
                <w:rFonts w:ascii="Arial" w:hAnsi="Arial" w:cs="Arial"/>
                <w:lang w:eastAsia="en-US"/>
              </w:rPr>
            </w:pPr>
            <w:r w:rsidRPr="00DD530F">
              <w:rPr>
                <w:rFonts w:ascii="Arial" w:hAnsi="Arial" w:cs="Arial"/>
                <w:lang w:eastAsia="en-US"/>
              </w:rPr>
              <w:t>+1</w:t>
            </w:r>
          </w:p>
        </w:tc>
        <w:tc>
          <w:tcPr>
            <w:tcW w:w="7690" w:type="dxa"/>
          </w:tcPr>
          <w:p w14:paraId="29CA33BA"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minimálny pozitívny vplyv na životné prostredie</w:t>
            </w:r>
          </w:p>
          <w:p w14:paraId="4D2F425B"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lastRenderedPageBreak/>
              <w:t>minimálny ekonomický prínos</w:t>
            </w:r>
          </w:p>
          <w:p w14:paraId="29118A75"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vyhovujúce technické riešenie</w:t>
            </w:r>
          </w:p>
        </w:tc>
      </w:tr>
      <w:tr w:rsidR="00DD530F" w:rsidRPr="00DD530F" w14:paraId="68C86D05" w14:textId="77777777" w:rsidTr="00CF6787">
        <w:tc>
          <w:tcPr>
            <w:tcW w:w="1510" w:type="dxa"/>
          </w:tcPr>
          <w:p w14:paraId="1AB6AAED" w14:textId="301C0008" w:rsidR="00E65CA9" w:rsidRPr="00DD530F" w:rsidRDefault="00E65CA9" w:rsidP="00CF6787">
            <w:pPr>
              <w:widowControl/>
              <w:jc w:val="center"/>
              <w:rPr>
                <w:rFonts w:ascii="Arial" w:hAnsi="Arial" w:cs="Arial"/>
                <w:lang w:eastAsia="en-US"/>
              </w:rPr>
            </w:pPr>
            <w:r w:rsidRPr="00DD530F">
              <w:rPr>
                <w:rFonts w:ascii="Arial" w:hAnsi="Arial" w:cs="Arial"/>
                <w:lang w:eastAsia="en-US"/>
              </w:rPr>
              <w:lastRenderedPageBreak/>
              <w:t>+2</w:t>
            </w:r>
          </w:p>
        </w:tc>
        <w:tc>
          <w:tcPr>
            <w:tcW w:w="7690" w:type="dxa"/>
          </w:tcPr>
          <w:p w14:paraId="6CC80303"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malý pozitívny vplyv bez potreby prijatia osobitných opatrení</w:t>
            </w:r>
          </w:p>
          <w:p w14:paraId="50287DC7"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malý ekonomický prínos s akceptovateľnými nákladmi</w:t>
            </w:r>
          </w:p>
          <w:p w14:paraId="3C6E2684"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uspokojivé technické riešenie</w:t>
            </w:r>
          </w:p>
        </w:tc>
      </w:tr>
      <w:tr w:rsidR="00DD530F" w:rsidRPr="00DD530F" w14:paraId="2136DC67" w14:textId="77777777" w:rsidTr="00CF6787">
        <w:tc>
          <w:tcPr>
            <w:tcW w:w="1510" w:type="dxa"/>
          </w:tcPr>
          <w:p w14:paraId="6C0B3533" w14:textId="77777777" w:rsidR="00E65CA9" w:rsidRPr="00DD530F" w:rsidRDefault="00E65CA9" w:rsidP="00CF6787">
            <w:pPr>
              <w:widowControl/>
              <w:jc w:val="center"/>
              <w:rPr>
                <w:rFonts w:ascii="Arial" w:hAnsi="Arial" w:cs="Arial"/>
                <w:lang w:eastAsia="en-US"/>
              </w:rPr>
            </w:pPr>
            <w:r w:rsidRPr="00DD530F">
              <w:rPr>
                <w:rFonts w:ascii="Arial" w:hAnsi="Arial" w:cs="Arial"/>
                <w:lang w:eastAsia="en-US"/>
              </w:rPr>
              <w:t>+3</w:t>
            </w:r>
          </w:p>
        </w:tc>
        <w:tc>
          <w:tcPr>
            <w:tcW w:w="7690" w:type="dxa"/>
          </w:tcPr>
          <w:p w14:paraId="0504E44F"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 xml:space="preserve">priemerný pozitívny vplyv </w:t>
            </w:r>
          </w:p>
          <w:p w14:paraId="27B76B10"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priemerný ekonomický prínos</w:t>
            </w:r>
          </w:p>
          <w:p w14:paraId="42931FC7"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dobré technické riešenie</w:t>
            </w:r>
          </w:p>
        </w:tc>
      </w:tr>
      <w:tr w:rsidR="00DD530F" w:rsidRPr="00DD530F" w14:paraId="6C12F8DE" w14:textId="77777777" w:rsidTr="00CF6787">
        <w:tc>
          <w:tcPr>
            <w:tcW w:w="1510" w:type="dxa"/>
          </w:tcPr>
          <w:p w14:paraId="50B21D5B" w14:textId="77777777" w:rsidR="00E65CA9" w:rsidRPr="00DD530F" w:rsidRDefault="00E65CA9" w:rsidP="00CF6787">
            <w:pPr>
              <w:widowControl/>
              <w:jc w:val="center"/>
              <w:rPr>
                <w:rFonts w:ascii="Arial" w:hAnsi="Arial" w:cs="Arial"/>
                <w:lang w:eastAsia="en-US"/>
              </w:rPr>
            </w:pPr>
            <w:r w:rsidRPr="00DD530F">
              <w:rPr>
                <w:rFonts w:ascii="Arial" w:hAnsi="Arial" w:cs="Arial"/>
                <w:lang w:eastAsia="en-US"/>
              </w:rPr>
              <w:t>+4</w:t>
            </w:r>
          </w:p>
        </w:tc>
        <w:tc>
          <w:tcPr>
            <w:tcW w:w="7690" w:type="dxa"/>
          </w:tcPr>
          <w:p w14:paraId="5C1CFFE7"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 xml:space="preserve">výrazný pozitívny vplyv </w:t>
            </w:r>
          </w:p>
          <w:p w14:paraId="5F922492"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vysoký ekonomický prínos</w:t>
            </w:r>
          </w:p>
          <w:p w14:paraId="0491E536"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výborné  technické riešenie</w:t>
            </w:r>
          </w:p>
        </w:tc>
      </w:tr>
      <w:tr w:rsidR="00DD530F" w:rsidRPr="00DD530F" w14:paraId="26800A73" w14:textId="77777777" w:rsidTr="00CF6787">
        <w:tc>
          <w:tcPr>
            <w:tcW w:w="1510" w:type="dxa"/>
            <w:tcBorders>
              <w:bottom w:val="single" w:sz="12" w:space="0" w:color="000000"/>
            </w:tcBorders>
          </w:tcPr>
          <w:p w14:paraId="2EE25BF4" w14:textId="77777777" w:rsidR="00E65CA9" w:rsidRPr="00DD530F" w:rsidRDefault="00E65CA9" w:rsidP="00CF6787">
            <w:pPr>
              <w:widowControl/>
              <w:jc w:val="center"/>
              <w:rPr>
                <w:rFonts w:ascii="Arial" w:hAnsi="Arial" w:cs="Arial"/>
                <w:lang w:eastAsia="en-US"/>
              </w:rPr>
            </w:pPr>
            <w:r w:rsidRPr="00DD530F">
              <w:rPr>
                <w:rFonts w:ascii="Arial" w:hAnsi="Arial" w:cs="Arial"/>
                <w:lang w:eastAsia="en-US"/>
              </w:rPr>
              <w:t>+5</w:t>
            </w:r>
          </w:p>
        </w:tc>
        <w:tc>
          <w:tcPr>
            <w:tcW w:w="7690" w:type="dxa"/>
            <w:tcBorders>
              <w:bottom w:val="single" w:sz="12" w:space="0" w:color="000000"/>
            </w:tcBorders>
          </w:tcPr>
          <w:p w14:paraId="3CEE6A7F"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 xml:space="preserve">mimoriadne výrazný pozitívny vplyv </w:t>
            </w:r>
          </w:p>
          <w:p w14:paraId="21784F39"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veľmi vysoký ekonomický prínos</w:t>
            </w:r>
          </w:p>
          <w:p w14:paraId="1F840351" w14:textId="77777777" w:rsidR="00E65CA9" w:rsidRPr="00DD530F" w:rsidRDefault="00E65CA9" w:rsidP="00CF6787">
            <w:pPr>
              <w:widowControl/>
              <w:jc w:val="both"/>
              <w:rPr>
                <w:rFonts w:ascii="Arial" w:hAnsi="Arial" w:cs="Arial"/>
                <w:lang w:eastAsia="en-US"/>
              </w:rPr>
            </w:pPr>
            <w:r w:rsidRPr="00DD530F">
              <w:rPr>
                <w:rFonts w:ascii="Arial" w:hAnsi="Arial" w:cs="Arial"/>
                <w:lang w:eastAsia="en-US"/>
              </w:rPr>
              <w:t>nadštandardné technické riešenie</w:t>
            </w:r>
          </w:p>
        </w:tc>
      </w:tr>
    </w:tbl>
    <w:p w14:paraId="134018CB" w14:textId="77777777" w:rsidR="00A47E19" w:rsidRPr="00DD530F" w:rsidRDefault="00A47E19" w:rsidP="0093211F">
      <w:pPr>
        <w:pStyle w:val="A-Text11"/>
      </w:pPr>
      <w:r w:rsidRPr="00DD530F">
        <w:t>Vlastné stanovenie výsledných hodnôt pre jednotlivé hodnotené varianty bolo uskutočnené podľa vzťahu:</w:t>
      </w:r>
    </w:p>
    <w:p w14:paraId="1D03EF5A" w14:textId="77777777" w:rsidR="00A47E19" w:rsidRPr="00DD530F" w:rsidRDefault="00A47E19" w:rsidP="00A47E19">
      <w:pPr>
        <w:pStyle w:val="Par"/>
        <w:spacing w:before="120" w:after="0"/>
        <w:ind w:firstLine="0"/>
        <w:rPr>
          <w:rFonts w:ascii="Arial" w:hAnsi="Arial" w:cs="Arial"/>
          <w:sz w:val="22"/>
          <w:lang w:val="sk-SK"/>
        </w:rPr>
      </w:pPr>
      <w:r w:rsidRPr="00DD530F">
        <w:rPr>
          <w:rFonts w:ascii="Arial" w:hAnsi="Arial" w:cs="Arial"/>
          <w:sz w:val="22"/>
          <w:lang w:val="sk-SK"/>
        </w:rPr>
        <w:t xml:space="preserve">                                             </w:t>
      </w:r>
      <w:r w:rsidRPr="00DD530F">
        <w:rPr>
          <w:rFonts w:ascii="Arial" w:hAnsi="Arial" w:cs="Arial"/>
          <w:position w:val="-30"/>
          <w:sz w:val="22"/>
          <w:lang w:val="sk-SK"/>
        </w:rPr>
        <w:object w:dxaOrig="1320" w:dyaOrig="720" w14:anchorId="7368B6F7">
          <v:shape id="_x0000_i1029" type="#_x0000_t75" style="width:64.5pt;height:37.5pt" o:ole="">
            <v:imagedata r:id="rId83" o:title=""/>
          </v:shape>
          <o:OLEObject Type="Embed" ProgID="Equation.3" ShapeID="_x0000_i1029" DrawAspect="Content" ObjectID="_1705842684" r:id="rId84"/>
        </w:object>
      </w:r>
    </w:p>
    <w:p w14:paraId="3B020DBD" w14:textId="77777777" w:rsidR="00A47E19" w:rsidRPr="00DD530F" w:rsidRDefault="00A47E19" w:rsidP="00A47E19">
      <w:pPr>
        <w:pStyle w:val="Par"/>
        <w:spacing w:after="0"/>
        <w:ind w:firstLine="0"/>
        <w:rPr>
          <w:rFonts w:ascii="Arial" w:hAnsi="Arial" w:cs="Arial"/>
          <w:sz w:val="22"/>
          <w:lang w:val="sk-SK"/>
        </w:rPr>
      </w:pPr>
      <w:r w:rsidRPr="00DD530F">
        <w:rPr>
          <w:rFonts w:ascii="Arial" w:hAnsi="Arial" w:cs="Arial"/>
          <w:sz w:val="22"/>
          <w:lang w:val="sk-SK"/>
        </w:rPr>
        <w:t xml:space="preserve">kde </w:t>
      </w:r>
      <w:r w:rsidRPr="00DD530F">
        <w:rPr>
          <w:rFonts w:ascii="Arial" w:hAnsi="Arial" w:cs="Arial"/>
          <w:sz w:val="22"/>
          <w:lang w:val="sk-SK"/>
        </w:rPr>
        <w:tab/>
        <w:t>Y</w:t>
      </w:r>
      <w:r w:rsidRPr="00DD530F">
        <w:rPr>
          <w:rFonts w:ascii="Arial" w:hAnsi="Arial" w:cs="Arial"/>
          <w:sz w:val="22"/>
          <w:vertAlign w:val="subscript"/>
          <w:lang w:val="sk-SK"/>
        </w:rPr>
        <w:t>i</w:t>
      </w:r>
      <w:r w:rsidRPr="00DD530F">
        <w:rPr>
          <w:rFonts w:ascii="Arial" w:hAnsi="Arial" w:cs="Arial"/>
          <w:sz w:val="22"/>
          <w:lang w:val="sk-SK"/>
        </w:rPr>
        <w:t xml:space="preserve"> </w:t>
      </w:r>
      <w:r w:rsidRPr="00DD530F">
        <w:rPr>
          <w:rFonts w:ascii="Arial" w:hAnsi="Arial" w:cs="Arial"/>
          <w:sz w:val="22"/>
          <w:lang w:val="sk-SK"/>
        </w:rPr>
        <w:tab/>
        <w:t>je výsledné hodnotenie variantu “i”</w:t>
      </w:r>
    </w:p>
    <w:p w14:paraId="58D5CE6C" w14:textId="77777777" w:rsidR="00A47E19" w:rsidRPr="00DD530F" w:rsidRDefault="00A47E19" w:rsidP="00A47E19">
      <w:pPr>
        <w:pStyle w:val="Par"/>
        <w:spacing w:after="0"/>
        <w:ind w:left="720" w:firstLine="0"/>
        <w:rPr>
          <w:rFonts w:ascii="Arial" w:hAnsi="Arial" w:cs="Arial"/>
          <w:sz w:val="22"/>
          <w:lang w:val="sk-SK"/>
        </w:rPr>
      </w:pPr>
      <w:r w:rsidRPr="00DD530F">
        <w:rPr>
          <w:rFonts w:ascii="Arial" w:hAnsi="Arial" w:cs="Arial"/>
          <w:sz w:val="22"/>
          <w:lang w:val="sk-SK"/>
        </w:rPr>
        <w:t>X</w:t>
      </w:r>
      <w:r w:rsidRPr="00DD530F">
        <w:rPr>
          <w:rFonts w:ascii="Arial" w:hAnsi="Arial" w:cs="Arial"/>
          <w:sz w:val="22"/>
          <w:vertAlign w:val="subscript"/>
          <w:lang w:val="sk-SK"/>
        </w:rPr>
        <w:t>ji</w:t>
      </w:r>
      <w:r w:rsidRPr="00DD530F">
        <w:rPr>
          <w:rFonts w:ascii="Arial" w:hAnsi="Arial" w:cs="Arial"/>
          <w:sz w:val="22"/>
          <w:vertAlign w:val="subscript"/>
          <w:lang w:val="sk-SK"/>
        </w:rPr>
        <w:tab/>
      </w:r>
      <w:r w:rsidRPr="00DD530F">
        <w:rPr>
          <w:rFonts w:ascii="Arial" w:hAnsi="Arial" w:cs="Arial"/>
          <w:sz w:val="22"/>
          <w:lang w:val="sk-SK"/>
        </w:rPr>
        <w:t xml:space="preserve">je číselná hodnota </w:t>
      </w:r>
      <w:r w:rsidRPr="00DD530F">
        <w:rPr>
          <w:rFonts w:ascii="Arial" w:hAnsi="Arial" w:cs="Arial"/>
          <w:i/>
          <w:iCs/>
          <w:sz w:val="22"/>
          <w:lang w:val="sk-SK"/>
        </w:rPr>
        <w:t>(ohodnotenie podľa zvolenej stupnice)</w:t>
      </w:r>
      <w:r w:rsidRPr="00DD530F">
        <w:rPr>
          <w:rFonts w:ascii="Arial" w:hAnsi="Arial" w:cs="Arial"/>
          <w:sz w:val="22"/>
          <w:lang w:val="sk-SK"/>
        </w:rPr>
        <w:t xml:space="preserve">  “j” kritéria vo variante “i”</w:t>
      </w:r>
    </w:p>
    <w:p w14:paraId="1D5CD902" w14:textId="77777777" w:rsidR="00A47E19" w:rsidRPr="00DD530F" w:rsidRDefault="00A47E19" w:rsidP="00A47E19">
      <w:pPr>
        <w:widowControl/>
        <w:jc w:val="both"/>
        <w:rPr>
          <w:rFonts w:ascii="Arial" w:hAnsi="Arial" w:cs="Arial"/>
          <w:sz w:val="22"/>
          <w:szCs w:val="22"/>
          <w:lang w:eastAsia="en-US"/>
        </w:rPr>
      </w:pPr>
      <w:r w:rsidRPr="00DD530F">
        <w:rPr>
          <w:rFonts w:ascii="Arial" w:hAnsi="Arial" w:cs="Arial"/>
          <w:sz w:val="22"/>
          <w:szCs w:val="22"/>
          <w:lang w:eastAsia="en-US"/>
        </w:rPr>
        <w:t>w</w:t>
      </w:r>
      <w:r w:rsidRPr="00DD530F">
        <w:rPr>
          <w:rFonts w:ascii="Arial" w:hAnsi="Arial" w:cs="Arial"/>
          <w:sz w:val="22"/>
          <w:szCs w:val="22"/>
          <w:vertAlign w:val="subscript"/>
          <w:lang w:eastAsia="en-US"/>
        </w:rPr>
        <w:t>j</w:t>
      </w:r>
      <w:r w:rsidRPr="00DD530F">
        <w:rPr>
          <w:rFonts w:ascii="Arial" w:hAnsi="Arial" w:cs="Arial"/>
          <w:sz w:val="22"/>
          <w:szCs w:val="22"/>
          <w:lang w:eastAsia="en-US"/>
        </w:rPr>
        <w:tab/>
        <w:t xml:space="preserve">je váha kritéria  “j”  </w:t>
      </w:r>
    </w:p>
    <w:p w14:paraId="0DFDD80E" w14:textId="340DBC41" w:rsidR="00A47E19" w:rsidRPr="00DD530F" w:rsidRDefault="00A47E19" w:rsidP="0093211F">
      <w:pPr>
        <w:pStyle w:val="A-Text11"/>
      </w:pPr>
      <w:r w:rsidRPr="009061C7">
        <w:t xml:space="preserve">Podľa vyhodnotenia na základe kritérií zisťovacieho konania v prílohe č. 10 zákona z hodnotených variantov je z celkového hľadiska </w:t>
      </w:r>
      <w:r w:rsidRPr="009061C7">
        <w:rPr>
          <w:b/>
          <w:bCs/>
          <w:i/>
          <w:iCs/>
        </w:rPr>
        <w:t>výhodnejší navrhovaný variant</w:t>
      </w:r>
      <w:r w:rsidR="00197C83">
        <w:rPr>
          <w:b/>
          <w:bCs/>
          <w:i/>
          <w:iCs/>
        </w:rPr>
        <w:t xml:space="preserve"> č.2</w:t>
      </w:r>
      <w:r w:rsidRPr="009061C7">
        <w:rPr>
          <w:b/>
          <w:bCs/>
          <w:i/>
          <w:iCs/>
        </w:rPr>
        <w:t xml:space="preserve">. </w:t>
      </w:r>
      <w:r w:rsidRPr="009061C7">
        <w:t>Výpočet je v </w:t>
      </w:r>
      <w:r w:rsidRPr="009061C7">
        <w:rPr>
          <w:b/>
        </w:rPr>
        <w:t xml:space="preserve">tabuľke č. </w:t>
      </w:r>
      <w:r w:rsidR="008E5A9F" w:rsidRPr="009061C7">
        <w:rPr>
          <w:b/>
        </w:rPr>
        <w:t>V.2.1</w:t>
      </w:r>
    </w:p>
    <w:p w14:paraId="5E5638A6" w14:textId="1AB65047" w:rsidR="00A47E19" w:rsidRPr="004A7717" w:rsidRDefault="009D6510" w:rsidP="00A47E19">
      <w:pPr>
        <w:pStyle w:val="Par"/>
        <w:spacing w:before="120" w:after="0"/>
        <w:ind w:firstLine="0"/>
        <w:rPr>
          <w:rFonts w:ascii="Arial" w:hAnsi="Arial" w:cs="Arial"/>
          <w:color w:val="FF0000"/>
          <w:sz w:val="22"/>
          <w:szCs w:val="22"/>
          <w:lang w:val="sk-SK"/>
        </w:rPr>
      </w:pPr>
      <w:r w:rsidRPr="004A7717">
        <w:rPr>
          <w:rFonts w:ascii="Arial" w:hAnsi="Arial" w:cs="Arial"/>
          <w:noProof/>
          <w:color w:val="FF0000"/>
          <w:sz w:val="22"/>
          <w:szCs w:val="22"/>
          <w:lang w:val="sk-SK"/>
        </w:rPr>
        <w:drawing>
          <wp:inline distT="0" distB="0" distL="0" distR="0" wp14:anchorId="58A7F92F" wp14:editId="5D48AE0A">
            <wp:extent cx="5182439" cy="3340564"/>
            <wp:effectExtent l="0" t="0" r="0" b="0"/>
            <wp:docPr id="23" name="Objekt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2CC80E8C" w14:textId="39528419" w:rsidR="00A47E19" w:rsidRPr="00DD530F" w:rsidRDefault="00A47E19" w:rsidP="0093211F">
      <w:pPr>
        <w:pStyle w:val="A-Text11"/>
        <w:rPr>
          <w:b/>
          <w:bCs/>
          <w:i/>
          <w:iCs/>
        </w:rPr>
      </w:pPr>
      <w:r w:rsidRPr="00DD530F">
        <w:t xml:space="preserve">Podľa vyhodnotenia na základe kritérií zisťovacieho konania v prílohe č. 10 zákona z hodnotených variantov sú z celkového hľadiska </w:t>
      </w:r>
      <w:r w:rsidRPr="00DD530F">
        <w:rPr>
          <w:b/>
          <w:bCs/>
          <w:i/>
          <w:iCs/>
        </w:rPr>
        <w:t>výhodnejšie navrhované varianty.</w:t>
      </w:r>
    </w:p>
    <w:tbl>
      <w:tblPr>
        <w:tblW w:w="9993"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93"/>
      </w:tblGrid>
      <w:tr w:rsidR="00DD530F" w:rsidRPr="00DD530F" w14:paraId="6F6FD671" w14:textId="77777777" w:rsidTr="00E46627">
        <w:trPr>
          <w:trHeight w:val="4237"/>
        </w:trPr>
        <w:tc>
          <w:tcPr>
            <w:tcW w:w="9993" w:type="dxa"/>
          </w:tcPr>
          <w:p w14:paraId="49B7422C" w14:textId="60C06270" w:rsidR="00A47E19" w:rsidRPr="00DD530F" w:rsidRDefault="00A47E19" w:rsidP="00082F41">
            <w:pPr>
              <w:pStyle w:val="Par"/>
              <w:spacing w:before="120" w:after="0"/>
              <w:ind w:firstLine="0"/>
              <w:jc w:val="left"/>
              <w:rPr>
                <w:b/>
                <w:bCs/>
                <w:i/>
                <w:iCs/>
                <w:sz w:val="22"/>
                <w:lang w:val="sk-SK"/>
              </w:rPr>
            </w:pPr>
            <w:r w:rsidRPr="00DD530F">
              <w:rPr>
                <w:rFonts w:ascii="Arial" w:hAnsi="Arial" w:cs="Arial"/>
                <w:sz w:val="22"/>
                <w:lang w:val="sk-SK"/>
              </w:rPr>
              <w:lastRenderedPageBreak/>
              <w:t xml:space="preserve">Z hodnotených variantov sú podľa kritérií  vybraných riešiteľským kolektívom (viď. tabuľka č. </w:t>
            </w:r>
            <w:r w:rsidR="008E5A9F">
              <w:rPr>
                <w:rFonts w:ascii="Arial" w:hAnsi="Arial" w:cs="Arial"/>
                <w:sz w:val="22"/>
                <w:lang w:val="sk-SK"/>
              </w:rPr>
              <w:t>IV.6.2</w:t>
            </w:r>
            <w:r w:rsidRPr="00DD530F">
              <w:rPr>
                <w:rFonts w:ascii="Arial" w:hAnsi="Arial" w:cs="Arial"/>
                <w:sz w:val="22"/>
                <w:lang w:val="sk-SK"/>
              </w:rPr>
              <w:t xml:space="preserve">)  </w:t>
            </w:r>
            <w:r w:rsidRPr="00DD530F">
              <w:rPr>
                <w:rFonts w:ascii="Arial" w:hAnsi="Arial" w:cs="Arial"/>
                <w:b/>
                <w:bCs/>
                <w:i/>
                <w:iCs/>
                <w:sz w:val="22"/>
                <w:lang w:val="sk-SK"/>
              </w:rPr>
              <w:t xml:space="preserve">výhodnejšie  navrhované  varianty.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54"/>
            </w:tblGrid>
            <w:tr w:rsidR="00DD530F" w:rsidRPr="00DD530F" w14:paraId="3FEFA032" w14:textId="77777777" w:rsidTr="00E46627">
              <w:trPr>
                <w:trHeight w:val="1972"/>
              </w:trPr>
              <w:tc>
                <w:tcPr>
                  <w:tcW w:w="8554" w:type="dxa"/>
                  <w:shd w:val="clear" w:color="auto" w:fill="auto"/>
                </w:tcPr>
                <w:p w14:paraId="16727498" w14:textId="40B790FB" w:rsidR="00A47E19" w:rsidRPr="00DD530F" w:rsidRDefault="009D6510" w:rsidP="00082F41">
                  <w:pPr>
                    <w:pStyle w:val="Par"/>
                    <w:spacing w:before="120" w:after="0"/>
                    <w:ind w:firstLine="0"/>
                    <w:jc w:val="left"/>
                    <w:rPr>
                      <w:lang w:val="sk-SK"/>
                    </w:rPr>
                  </w:pPr>
                  <w:r w:rsidRPr="00DD530F">
                    <w:rPr>
                      <w:noProof/>
                      <w:lang w:val="sk-SK"/>
                    </w:rPr>
                    <w:drawing>
                      <wp:inline distT="0" distB="0" distL="0" distR="0" wp14:anchorId="4C251DDA" wp14:editId="52B95C7B">
                        <wp:extent cx="5452688" cy="2174098"/>
                        <wp:effectExtent l="0" t="0" r="0" b="0"/>
                        <wp:docPr id="24" name="Objekt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14:paraId="66E161BF" w14:textId="535B904B" w:rsidR="00A47E19" w:rsidRPr="00DD530F" w:rsidRDefault="00A47E19" w:rsidP="00082F41">
            <w:pPr>
              <w:pStyle w:val="Hlavika"/>
              <w:spacing w:before="120"/>
              <w:rPr>
                <w:rFonts w:ascii="Arial" w:hAnsi="Arial" w:cs="Arial"/>
                <w:sz w:val="22"/>
                <w:lang w:val="sk-SK"/>
              </w:rPr>
            </w:pPr>
            <w:r w:rsidRPr="00DD530F">
              <w:rPr>
                <w:rFonts w:ascii="Arial" w:hAnsi="Arial" w:cs="Arial"/>
                <w:sz w:val="22"/>
                <w:szCs w:val="22"/>
                <w:lang w:val="sk-SK"/>
              </w:rPr>
              <w:t>Výpočet je v </w:t>
            </w:r>
            <w:r w:rsidRPr="00F46220">
              <w:rPr>
                <w:rFonts w:ascii="Arial" w:hAnsi="Arial" w:cs="Arial"/>
                <w:b/>
                <w:sz w:val="22"/>
                <w:szCs w:val="22"/>
                <w:lang w:val="sk-SK"/>
              </w:rPr>
              <w:t xml:space="preserve">tabuľke č. </w:t>
            </w:r>
            <w:r w:rsidR="008E5A9F" w:rsidRPr="00F46220">
              <w:rPr>
                <w:rFonts w:ascii="Arial" w:hAnsi="Arial" w:cs="Arial"/>
                <w:b/>
                <w:sz w:val="22"/>
                <w:szCs w:val="22"/>
                <w:lang w:val="sk-SK"/>
              </w:rPr>
              <w:t>V</w:t>
            </w:r>
            <w:r w:rsidR="0058725D" w:rsidRPr="00F46220">
              <w:rPr>
                <w:rFonts w:ascii="Arial" w:hAnsi="Arial" w:cs="Arial"/>
                <w:b/>
                <w:sz w:val="22"/>
                <w:szCs w:val="22"/>
                <w:lang w:val="sk-SK"/>
              </w:rPr>
              <w:t>.2.2</w:t>
            </w:r>
            <w:r w:rsidRPr="00F46220">
              <w:rPr>
                <w:rFonts w:ascii="Arial" w:hAnsi="Arial" w:cs="Arial"/>
                <w:sz w:val="22"/>
                <w:szCs w:val="22"/>
                <w:lang w:val="sk-SK"/>
              </w:rPr>
              <w:t>.</w:t>
            </w:r>
          </w:p>
        </w:tc>
      </w:tr>
    </w:tbl>
    <w:p w14:paraId="3082A922" w14:textId="77777777" w:rsidR="00A47E19" w:rsidRPr="004A7717" w:rsidRDefault="00A47E19" w:rsidP="00A47E19">
      <w:pPr>
        <w:widowControl/>
        <w:jc w:val="both"/>
        <w:rPr>
          <w:rFonts w:ascii="Arial Narrow" w:hAnsi="Arial Narrow" w:cs="Arial"/>
          <w:color w:val="FF0000"/>
          <w:szCs w:val="24"/>
          <w:lang w:eastAsia="en-US"/>
        </w:rPr>
      </w:pPr>
    </w:p>
    <w:p w14:paraId="0E459537" w14:textId="77777777" w:rsidR="00AC553F" w:rsidRPr="004A7717" w:rsidRDefault="00AC553F" w:rsidP="00E476FE">
      <w:pPr>
        <w:widowControl/>
        <w:jc w:val="both"/>
        <w:rPr>
          <w:rFonts w:ascii="Arial Narrow" w:hAnsi="Arial Narrow" w:cs="Arial"/>
          <w:color w:val="FF0000"/>
          <w:szCs w:val="24"/>
          <w:lang w:eastAsia="en-US"/>
        </w:rPr>
      </w:pPr>
    </w:p>
    <w:p w14:paraId="1E7A0A11" w14:textId="2A076017" w:rsidR="00E65CA9" w:rsidRPr="004A7717" w:rsidRDefault="00E65CA9" w:rsidP="008C6F96">
      <w:pPr>
        <w:pStyle w:val="Nadpis2"/>
      </w:pPr>
      <w:bookmarkStart w:id="437" w:name="_Toc126326699"/>
      <w:bookmarkStart w:id="438" w:name="_Toc129949223"/>
      <w:bookmarkStart w:id="439" w:name="_Toc132078771"/>
      <w:bookmarkStart w:id="440" w:name="_Toc495993006"/>
      <w:bookmarkStart w:id="441" w:name="_Toc93916865"/>
      <w:bookmarkEnd w:id="429"/>
      <w:bookmarkEnd w:id="430"/>
      <w:bookmarkEnd w:id="431"/>
      <w:r w:rsidRPr="004A7717">
        <w:t>Zdôvodnenie návrhu optimálneho variantu</w:t>
      </w:r>
      <w:bookmarkEnd w:id="437"/>
      <w:bookmarkEnd w:id="438"/>
      <w:bookmarkEnd w:id="439"/>
      <w:bookmarkEnd w:id="440"/>
      <w:bookmarkEnd w:id="441"/>
    </w:p>
    <w:p w14:paraId="4AE0F2A9" w14:textId="77777777" w:rsidR="00E65CA9" w:rsidRPr="00DB12F4" w:rsidRDefault="00E65CA9" w:rsidP="00E476FE">
      <w:pPr>
        <w:widowControl/>
        <w:spacing w:before="120"/>
        <w:jc w:val="both"/>
        <w:rPr>
          <w:rFonts w:ascii="Arial" w:hAnsi="Arial" w:cs="Arial"/>
          <w:b/>
          <w:bCs/>
          <w:i/>
          <w:sz w:val="22"/>
          <w:szCs w:val="22"/>
          <w:lang w:eastAsia="en-US"/>
        </w:rPr>
      </w:pPr>
      <w:bookmarkStart w:id="442" w:name="_Toc132078772"/>
      <w:r w:rsidRPr="00DB12F4">
        <w:rPr>
          <w:rFonts w:ascii="Arial" w:hAnsi="Arial" w:cs="Arial"/>
          <w:b/>
          <w:bCs/>
          <w:i/>
          <w:sz w:val="22"/>
          <w:szCs w:val="22"/>
          <w:lang w:eastAsia="en-US"/>
        </w:rPr>
        <w:t xml:space="preserve">Nulový variant </w:t>
      </w:r>
    </w:p>
    <w:p w14:paraId="7C4B45F0" w14:textId="77777777" w:rsidR="00F37111" w:rsidRPr="002B71FE" w:rsidRDefault="00F37111" w:rsidP="00F37111">
      <w:pPr>
        <w:pStyle w:val="A-Text11"/>
      </w:pPr>
      <w:r>
        <w:t>„N</w:t>
      </w:r>
      <w:r w:rsidRPr="002B71FE">
        <w:t xml:space="preserve">ulový variant“ </w:t>
      </w:r>
      <w:r>
        <w:t xml:space="preserve">je </w:t>
      </w:r>
      <w:r w:rsidRPr="002B71FE">
        <w:t xml:space="preserve">variant stavu, ktorý by nastal, ak by sa navrhovaná činnosť nerealizovala. </w:t>
      </w:r>
    </w:p>
    <w:p w14:paraId="13626830" w14:textId="77777777" w:rsidR="00E00F90" w:rsidRPr="00DB12F4" w:rsidRDefault="00E00F90" w:rsidP="0093211F">
      <w:pPr>
        <w:pStyle w:val="A-Text11"/>
      </w:pPr>
      <w:r w:rsidRPr="00DB12F4">
        <w:t xml:space="preserve">Nie je reálne predpokladať, že by sa  ďalší vývoj územia odvíjal od súčasného využitia. </w:t>
      </w:r>
      <w:r w:rsidRPr="00DB12F4">
        <w:rPr>
          <w:rStyle w:val="StylMuralVlevo0cmPedsazen125cmCharChar"/>
          <w:iCs/>
        </w:rPr>
        <w:t xml:space="preserve">Vzhľadom na platný územný plán mesta je predpoklad rozvoja lokality v smere funkčného využitia stanoveného územným plánom. </w:t>
      </w:r>
      <w:r w:rsidRPr="00DB12F4">
        <w:t xml:space="preserve"> </w:t>
      </w:r>
    </w:p>
    <w:p w14:paraId="4143C591" w14:textId="77777777" w:rsidR="00E00F90" w:rsidRPr="00C16E25" w:rsidRDefault="00E00F90" w:rsidP="0093211F">
      <w:pPr>
        <w:pStyle w:val="A-Text11"/>
        <w:rPr>
          <w:b/>
          <w:bCs/>
          <w:i/>
          <w:iCs/>
          <w:szCs w:val="24"/>
        </w:rPr>
      </w:pPr>
      <w:r w:rsidRPr="00DB12F4">
        <w:rPr>
          <w:szCs w:val="24"/>
        </w:rPr>
        <w:t xml:space="preserve">Vzhľadom na atraktivitu územia a tiež na určenie územnoplánovacou dokumentáciou je reálny predpoklad, že aj v prípade, keby sa navrhovaná činnosť nerealizovala, bol by predložený </w:t>
      </w:r>
      <w:r w:rsidRPr="00C16E25">
        <w:rPr>
          <w:szCs w:val="24"/>
        </w:rPr>
        <w:t xml:space="preserve">obdobný návrh, ktorý by rešpektoval podmienky územného plánu. </w:t>
      </w:r>
      <w:r w:rsidRPr="00C16E25">
        <w:rPr>
          <w:b/>
          <w:bCs/>
          <w:i/>
          <w:iCs/>
          <w:szCs w:val="24"/>
        </w:rPr>
        <w:t xml:space="preserve"> </w:t>
      </w:r>
    </w:p>
    <w:p w14:paraId="3A2C39E4" w14:textId="77777777" w:rsidR="00E65CA9" w:rsidRPr="00C16E25" w:rsidRDefault="00E65CA9" w:rsidP="00E476FE">
      <w:pPr>
        <w:pStyle w:val="EIA2"/>
        <w:spacing w:before="120"/>
        <w:rPr>
          <w:rFonts w:cs="Arial"/>
          <w:bCs/>
          <w:i/>
          <w:iCs/>
          <w:szCs w:val="24"/>
          <w:lang w:eastAsia="en-US"/>
        </w:rPr>
      </w:pPr>
      <w:r w:rsidRPr="00C16E25">
        <w:rPr>
          <w:rFonts w:cs="Arial"/>
          <w:bCs/>
          <w:i/>
          <w:iCs/>
          <w:szCs w:val="24"/>
          <w:lang w:eastAsia="en-US"/>
        </w:rPr>
        <w:t xml:space="preserve">Navrhované  varianty </w:t>
      </w:r>
    </w:p>
    <w:p w14:paraId="4DB5B1CD" w14:textId="2AC22BC6" w:rsidR="004D149F" w:rsidRPr="00C16E25" w:rsidRDefault="004D149F" w:rsidP="0093211F">
      <w:pPr>
        <w:pStyle w:val="A-Text11"/>
      </w:pPr>
      <w:r w:rsidRPr="00C16E25">
        <w:t xml:space="preserve">Predkladaný zámer podáva základnú charakteristiku navrhovanej činnosti, základné údaje o súčasnom stave životného prostredia, základné údaje o predpokladaných vplyvoch na životné prostredie. Obsahuje tiež prvotné porovnanie variantov a návrh opatrení na vylúčenie alebo zníženie možných negatívnych vplyvov. Predpokladané vplyvy </w:t>
      </w:r>
      <w:r w:rsidR="00C16E25" w:rsidRPr="00C16E25">
        <w:t>S</w:t>
      </w:r>
      <w:r w:rsidRPr="00C16E25">
        <w:t xml:space="preserve">ú overené expertíznymi posudkami – štúdiami ktoré </w:t>
      </w:r>
      <w:r w:rsidR="00C16E25" w:rsidRPr="00C16E25">
        <w:t>s</w:t>
      </w:r>
      <w:r w:rsidRPr="00C16E25">
        <w:t>ú priložené k</w:t>
      </w:r>
      <w:r w:rsidR="00C16E25" w:rsidRPr="00C16E25">
        <w:t xml:space="preserve"> predkladanému zámeru </w:t>
      </w:r>
      <w:r w:rsidR="00506A53" w:rsidRPr="00C16E25">
        <w:t xml:space="preserve"> a </w:t>
      </w:r>
      <w:r w:rsidR="00C16E25" w:rsidRPr="00C16E25">
        <w:t>s</w:t>
      </w:r>
      <w:r w:rsidR="00506A53" w:rsidRPr="00C16E25">
        <w:t xml:space="preserve">ú </w:t>
      </w:r>
      <w:r w:rsidRPr="00C16E25">
        <w:t xml:space="preserve"> je</w:t>
      </w:r>
      <w:r w:rsidR="00C16E25" w:rsidRPr="00C16E25">
        <w:t>ho</w:t>
      </w:r>
      <w:r w:rsidRPr="00C16E25">
        <w:t xml:space="preserve"> súčasťou.    </w:t>
      </w:r>
    </w:p>
    <w:p w14:paraId="3A93384A" w14:textId="77777777" w:rsidR="00D118E3" w:rsidRPr="00C16E25" w:rsidRDefault="00D118E3" w:rsidP="0093211F">
      <w:pPr>
        <w:pStyle w:val="A-Text11"/>
      </w:pPr>
      <w:r w:rsidRPr="00C16E25">
        <w:t xml:space="preserve">Zámer je predkladaný v dvoch variantoch odlišujúcich sa v technologickom vybavení budovy, konkrétne s druhom záložného zdroja v prípade výpadku energií. Navrhované varianty sú porovnávané s nulovým variantom. </w:t>
      </w:r>
    </w:p>
    <w:p w14:paraId="264A249E" w14:textId="3A3AA2AD" w:rsidR="004D149F" w:rsidRPr="00C16E25" w:rsidRDefault="004D149F" w:rsidP="004D149F">
      <w:pPr>
        <w:widowControl/>
        <w:spacing w:before="120"/>
        <w:jc w:val="both"/>
        <w:rPr>
          <w:rFonts w:ascii="Arial" w:hAnsi="Arial" w:cs="Arial"/>
          <w:b/>
          <w:bCs/>
          <w:i/>
          <w:iCs/>
          <w:sz w:val="24"/>
          <w:szCs w:val="22"/>
          <w:lang w:eastAsia="en-US"/>
        </w:rPr>
      </w:pPr>
      <w:r w:rsidRPr="00C16E25">
        <w:rPr>
          <w:rFonts w:ascii="Arial" w:hAnsi="Arial" w:cs="Arial"/>
          <w:b/>
          <w:bCs/>
          <w:i/>
          <w:iCs/>
          <w:sz w:val="24"/>
          <w:szCs w:val="22"/>
          <w:lang w:eastAsia="en-US"/>
        </w:rPr>
        <w:t xml:space="preserve">Hodnotené sú varianty:  </w:t>
      </w:r>
    </w:p>
    <w:p w14:paraId="056B8EA7" w14:textId="77777777" w:rsidR="004D149F" w:rsidRPr="00C16E25" w:rsidRDefault="004D149F" w:rsidP="00DE561A">
      <w:pPr>
        <w:widowControl/>
        <w:numPr>
          <w:ilvl w:val="2"/>
          <w:numId w:val="4"/>
        </w:numPr>
        <w:tabs>
          <w:tab w:val="clear" w:pos="2160"/>
        </w:tabs>
        <w:ind w:left="567" w:firstLine="0"/>
        <w:jc w:val="both"/>
        <w:rPr>
          <w:rFonts w:ascii="Arial" w:hAnsi="Arial" w:cs="Arial"/>
          <w:b/>
          <w:bCs/>
          <w:i/>
          <w:iCs/>
          <w:sz w:val="24"/>
          <w:szCs w:val="28"/>
          <w:lang w:eastAsia="en-US"/>
        </w:rPr>
      </w:pPr>
      <w:r w:rsidRPr="00C16E25">
        <w:rPr>
          <w:rFonts w:ascii="Arial" w:hAnsi="Arial" w:cs="Arial"/>
          <w:b/>
          <w:bCs/>
          <w:i/>
          <w:iCs/>
          <w:sz w:val="24"/>
          <w:szCs w:val="28"/>
          <w:lang w:eastAsia="en-US"/>
        </w:rPr>
        <w:t xml:space="preserve">  Nulový variant  </w:t>
      </w:r>
    </w:p>
    <w:p w14:paraId="0A4C5A90" w14:textId="77777777" w:rsidR="004D149F" w:rsidRPr="00C16E25" w:rsidRDefault="004D149F" w:rsidP="00DE561A">
      <w:pPr>
        <w:widowControl/>
        <w:numPr>
          <w:ilvl w:val="2"/>
          <w:numId w:val="4"/>
        </w:numPr>
        <w:tabs>
          <w:tab w:val="clear" w:pos="2160"/>
        </w:tabs>
        <w:ind w:left="709" w:hanging="142"/>
        <w:jc w:val="both"/>
        <w:rPr>
          <w:rFonts w:ascii="Arial" w:hAnsi="Arial" w:cs="Arial"/>
          <w:b/>
          <w:bCs/>
          <w:i/>
          <w:iCs/>
          <w:sz w:val="24"/>
          <w:szCs w:val="22"/>
          <w:lang w:eastAsia="en-US"/>
        </w:rPr>
      </w:pPr>
      <w:r w:rsidRPr="00C16E25">
        <w:rPr>
          <w:rFonts w:ascii="Arial" w:hAnsi="Arial" w:cs="Arial"/>
          <w:b/>
          <w:bCs/>
          <w:i/>
          <w:iCs/>
          <w:sz w:val="24"/>
          <w:szCs w:val="22"/>
          <w:lang w:eastAsia="en-US"/>
        </w:rPr>
        <w:t xml:space="preserve">  Navrhované varianty </w:t>
      </w:r>
    </w:p>
    <w:p w14:paraId="2E3AFB23" w14:textId="3FC4C35D" w:rsidR="004D149F" w:rsidRPr="00C16E25" w:rsidRDefault="004D149F" w:rsidP="004D149F">
      <w:pPr>
        <w:pStyle w:val="NormalArial"/>
        <w:spacing w:before="120"/>
      </w:pPr>
      <w:r w:rsidRPr="00C16E25">
        <w:rPr>
          <w:i/>
        </w:rPr>
        <w:t>Nulový variant</w:t>
      </w:r>
    </w:p>
    <w:p w14:paraId="55E6C189" w14:textId="77777777" w:rsidR="00F37111" w:rsidRPr="002B71FE" w:rsidRDefault="00F37111" w:rsidP="00F37111">
      <w:pPr>
        <w:pStyle w:val="A-Text11"/>
      </w:pPr>
      <w:r>
        <w:t>„N</w:t>
      </w:r>
      <w:r w:rsidRPr="002B71FE">
        <w:t xml:space="preserve">ulový variant“ </w:t>
      </w:r>
      <w:r>
        <w:t xml:space="preserve">je </w:t>
      </w:r>
      <w:r w:rsidRPr="002B71FE">
        <w:t xml:space="preserve">variant stavu, ktorý by nastal, ak by sa navrhovaná činnosť nerealizovala. </w:t>
      </w:r>
    </w:p>
    <w:p w14:paraId="27C149BB" w14:textId="04371B64" w:rsidR="004D149F" w:rsidRPr="001544B3" w:rsidRDefault="00F37111" w:rsidP="004D149F">
      <w:pPr>
        <w:pStyle w:val="NormalArial"/>
        <w:spacing w:before="120"/>
      </w:pPr>
      <w:r>
        <w:rPr>
          <w:rStyle w:val="A-Text11Char"/>
        </w:rPr>
        <w:lastRenderedPageBreak/>
        <w:t xml:space="preserve">      </w:t>
      </w:r>
      <w:r w:rsidR="004D149F" w:rsidRPr="0093211F">
        <w:rPr>
          <w:rStyle w:val="A-Text11Char"/>
        </w:rPr>
        <w:t xml:space="preserve"> Nie je reálne predpokladať, že by sa  ďalší vývoj územia odvíjal od súčasného</w:t>
      </w:r>
      <w:r w:rsidR="004D149F" w:rsidRPr="001544B3">
        <w:t xml:space="preserve"> využitia. </w:t>
      </w:r>
      <w:r w:rsidR="004D149F" w:rsidRPr="001544B3">
        <w:rPr>
          <w:rStyle w:val="StylMuralVlevo0cmPedsazen125cmCharChar"/>
          <w:iCs/>
        </w:rPr>
        <w:t xml:space="preserve">Vzhľadom na platný územný plán mesta je predpoklad rozvoja lokality v smere funkčného využitia stanoveného územným plánom. </w:t>
      </w:r>
      <w:r w:rsidR="004D149F" w:rsidRPr="001544B3">
        <w:t xml:space="preserve"> </w:t>
      </w:r>
    </w:p>
    <w:p w14:paraId="3D364082" w14:textId="77777777" w:rsidR="004D149F" w:rsidRPr="001544B3" w:rsidRDefault="004D149F" w:rsidP="004D149F">
      <w:pPr>
        <w:pStyle w:val="EIA2"/>
        <w:spacing w:before="120"/>
        <w:rPr>
          <w:rFonts w:cs="Arial"/>
          <w:b w:val="0"/>
          <w:bCs/>
          <w:i/>
          <w:iCs/>
          <w:szCs w:val="24"/>
          <w:lang w:eastAsia="en-US"/>
        </w:rPr>
      </w:pPr>
      <w:r w:rsidRPr="001544B3">
        <w:rPr>
          <w:rFonts w:cs="Arial"/>
          <w:b w:val="0"/>
          <w:bCs/>
          <w:i/>
          <w:iCs/>
          <w:szCs w:val="24"/>
          <w:lang w:eastAsia="en-US"/>
        </w:rPr>
        <w:t xml:space="preserve">Navrhované   varianty </w:t>
      </w:r>
    </w:p>
    <w:p w14:paraId="217A60D1" w14:textId="69255E6F" w:rsidR="00482D1B" w:rsidRPr="00BF4BE0" w:rsidRDefault="00482D1B" w:rsidP="00482D1B">
      <w:pPr>
        <w:pStyle w:val="A-Text11"/>
      </w:pPr>
      <w:r w:rsidRPr="00BF4BE0">
        <w:rPr>
          <w:lang w:eastAsia="ar-SA"/>
        </w:rPr>
        <w:t xml:space="preserve">Navrhovanou činnosťou je </w:t>
      </w:r>
      <w:r w:rsidRPr="00BF4BE0">
        <w:t>výstavb</w:t>
      </w:r>
      <w:r>
        <w:t>a a prevád</w:t>
      </w:r>
      <w:r w:rsidR="00297C20">
        <w:t>z</w:t>
      </w:r>
      <w:r>
        <w:t xml:space="preserve">ka </w:t>
      </w:r>
      <w:r w:rsidRPr="00BF4BE0">
        <w:t xml:space="preserve"> bytového domu. Výstavba je navrhovaná </w:t>
      </w:r>
      <w:r w:rsidRPr="00BF4BE0">
        <w:rPr>
          <w:lang w:eastAsia="ar-SA"/>
        </w:rPr>
        <w:t xml:space="preserve">v Bratislavskom kraji, </w:t>
      </w:r>
      <w:r w:rsidRPr="00BF4BE0">
        <w:t xml:space="preserve">na území hlavného mesta SR Bratislavy, v okrese Bratislava II, v mestskej časti Bratislava – Ružinov. </w:t>
      </w:r>
    </w:p>
    <w:p w14:paraId="6EE0EAB8" w14:textId="77777777" w:rsidR="00482D1B" w:rsidRPr="00BF4BE0" w:rsidRDefault="00482D1B" w:rsidP="00482D1B">
      <w:pPr>
        <w:pStyle w:val="A-Text11"/>
      </w:pPr>
      <w:r w:rsidRPr="00BF4BE0">
        <w:t xml:space="preserve">Navrhovaná činnosť je zaradená vo väzbe na prílohu č. 8 k zákonu č. 24/2006 Z.z. o posudzovaní vplyvov na životné prostredie </w:t>
      </w:r>
      <w:r w:rsidRPr="0042671C">
        <w:t>kapitoly  č. 2, položka č. 14,</w:t>
      </w:r>
      <w:r>
        <w:t xml:space="preserve"> </w:t>
      </w:r>
      <w:r w:rsidRPr="00BF4BE0">
        <w:t xml:space="preserve">do  kapitoly č. 9,  položky  16a) a 16b). Vzhľadom na prekročenie prahovej hodnoty počtu parkovacích stojísk v položke  9/16b) v časti B  je potrebné absolvovať zisťovacie konanie. </w:t>
      </w:r>
    </w:p>
    <w:p w14:paraId="459988E8" w14:textId="77777777" w:rsidR="00482D1B" w:rsidRPr="00BF4BE0" w:rsidRDefault="00482D1B" w:rsidP="00482D1B">
      <w:pPr>
        <w:pStyle w:val="A-Text11"/>
        <w:rPr>
          <w:lang w:eastAsia="ar-SA"/>
        </w:rPr>
      </w:pPr>
      <w:r w:rsidRPr="00BF4BE0">
        <w:rPr>
          <w:lang w:eastAsia="ar-SA"/>
        </w:rPr>
        <w:t xml:space="preserve">Predkladaný zámer podáva základnú charakteristiku navrhovanej činnosti, základné údaje o súčasnom stave životného prostredia, základné údaje o predpokladaných vplyvoch na životné prostredie. Obsahuje tiež prvotné porovnanie variantov a návrh opatrení na vylúčenie alebo zníženie možných negatívnych vplyvov. Predpokladané vplyvy budú následne v správe o hodnotení overené expertíznymi posudkami.    </w:t>
      </w:r>
    </w:p>
    <w:p w14:paraId="2E26140F" w14:textId="77777777" w:rsidR="00482D1B" w:rsidRPr="00BF4BE0" w:rsidRDefault="00482D1B" w:rsidP="00482D1B">
      <w:pPr>
        <w:pStyle w:val="A-Text11"/>
        <w:rPr>
          <w:lang w:eastAsia="ar-SA"/>
        </w:rPr>
      </w:pPr>
      <w:r w:rsidRPr="00BF4BE0">
        <w:rPr>
          <w:lang w:eastAsia="ar-SA"/>
        </w:rPr>
        <w:t xml:space="preserve">Zámer je predkladaný v dvoch variantoch odlišujúcich sa v technologickom vybavení budovy, konkrétne druhom záložného zdroja v prípade výpadku energií. Navrhované varianty sú porovnávané s nulovým variantom. </w:t>
      </w:r>
    </w:p>
    <w:p w14:paraId="57E25C9B" w14:textId="2572C00C" w:rsidR="00E65CA9" w:rsidRPr="00482D1B" w:rsidRDefault="00E65CA9" w:rsidP="00482D1B">
      <w:pPr>
        <w:widowControl/>
        <w:spacing w:before="120"/>
        <w:jc w:val="both"/>
        <w:rPr>
          <w:rFonts w:ascii="Arial" w:hAnsi="Arial" w:cs="Arial"/>
          <w:b/>
          <w:i/>
          <w:sz w:val="22"/>
        </w:rPr>
      </w:pPr>
      <w:r w:rsidRPr="00482D1B">
        <w:rPr>
          <w:rFonts w:ascii="Arial" w:hAnsi="Arial" w:cs="Arial"/>
          <w:b/>
          <w:i/>
          <w:sz w:val="22"/>
        </w:rPr>
        <w:t>Návrh optimálneho variantu</w:t>
      </w:r>
    </w:p>
    <w:p w14:paraId="22079295" w14:textId="77777777" w:rsidR="00E65CA9" w:rsidRPr="00482D1B" w:rsidRDefault="00E65CA9" w:rsidP="0093211F">
      <w:pPr>
        <w:pStyle w:val="A-Text11"/>
      </w:pPr>
      <w:r w:rsidRPr="00482D1B">
        <w:t xml:space="preserve">Hodnotenie v predkladanom zámere je založené na predpokladaných vplyvoch a prvotnom poznaní podmienok lokality v tejto etape prípravy. V rámci podkladových materiálov boli realizované štúdie, na základe ktorých bolo možné predbežné hodnotenie a porovnanie variantov spresniť. </w:t>
      </w:r>
    </w:p>
    <w:p w14:paraId="178F23AA" w14:textId="0042589E" w:rsidR="00E65CA9" w:rsidRPr="00635E71" w:rsidRDefault="00E65CA9" w:rsidP="0093211F">
      <w:pPr>
        <w:pStyle w:val="A-Text11"/>
      </w:pPr>
      <w:r w:rsidRPr="00635E71">
        <w:t xml:space="preserve">Pre hodnotenie a výber variantu bola riešiteľským kolektívom stanovená skupina kritérií pre rozhodovanie podľa Prílohy č. 10 k zákonu č. 24/2006 Z.z. </w:t>
      </w:r>
      <w:r w:rsidRPr="00635E71">
        <w:rPr>
          <w:i/>
        </w:rPr>
        <w:t xml:space="preserve">(transpozícia prílohy č. III. Smernice 2011/92EÚ) a </w:t>
      </w:r>
      <w:r w:rsidRPr="00635E71">
        <w:t xml:space="preserve">kritérií vychádzajúcich zo štruktúry zámeru. Technické a ekonomické kritériá uprednostňujú realizáciu navrhovanej činnosti oproti nulovému variantu. Zhodnotí sa územie a vytvorí sa  nová ponuka služieb,  zamestnania a bývania. </w:t>
      </w:r>
    </w:p>
    <w:p w14:paraId="6957F9D0" w14:textId="77777777" w:rsidR="00E65CA9" w:rsidRPr="00635E71" w:rsidRDefault="00E65CA9" w:rsidP="0093211F">
      <w:pPr>
        <w:pStyle w:val="A-Text11"/>
      </w:pPr>
      <w:r w:rsidRPr="00635E71">
        <w:t xml:space="preserve">Niektoré environmentálne kritériá sú v mínusových hodnotách. Negatívne vplyvy, ktoré prináša urbanizácia najmä prostredníctvom hluku a emisií z dopravy a vzniku odpadov budú vyššie ako v súčasnosti. </w:t>
      </w:r>
    </w:p>
    <w:p w14:paraId="6F177E38" w14:textId="79BA2FDC" w:rsidR="00E65CA9" w:rsidRPr="00635E71" w:rsidRDefault="00E65CA9" w:rsidP="0093211F">
      <w:pPr>
        <w:pStyle w:val="A-Text11"/>
      </w:pPr>
      <w:r w:rsidRPr="00635E71">
        <w:t xml:space="preserve">Toto porovnanie platí len v prípade, kedy by bol objekt naďalej nevyužívaný. Určenie územnoplánovacou dokumentáciou však s  využitím lokality pre budúcnosť počíta. Súčasný stav využitia  nevyužíva potenciál lokality. Tieto vplyvy sú v navrhovaných variantoch porovnateľné. </w:t>
      </w:r>
      <w:r w:rsidR="00F025D4" w:rsidRPr="00635E71">
        <w:t xml:space="preserve">Vzhľadom na </w:t>
      </w:r>
      <w:r w:rsidR="00B773C5" w:rsidRPr="00635E71">
        <w:t xml:space="preserve">nižšie zaťaženie ovzdušia </w:t>
      </w:r>
      <w:r w:rsidR="00F025D4" w:rsidRPr="00635E71">
        <w:t xml:space="preserve"> je mierne favorizovaný </w:t>
      </w:r>
      <w:r w:rsidR="00F025D4" w:rsidRPr="00635E71">
        <w:rPr>
          <w:b/>
          <w:bCs/>
          <w:i/>
          <w:iCs/>
        </w:rPr>
        <w:t xml:space="preserve">Variant č. </w:t>
      </w:r>
      <w:r w:rsidR="00B773C5" w:rsidRPr="00635E71">
        <w:rPr>
          <w:b/>
          <w:bCs/>
          <w:i/>
          <w:iCs/>
        </w:rPr>
        <w:t>2</w:t>
      </w:r>
      <w:r w:rsidR="00F025D4" w:rsidRPr="00635E71">
        <w:t xml:space="preserve">. </w:t>
      </w:r>
    </w:p>
    <w:p w14:paraId="5D6ACFE7" w14:textId="77777777" w:rsidR="00D85F2E" w:rsidRPr="002B71FE" w:rsidRDefault="00E65CA9" w:rsidP="00D85F2E">
      <w:pPr>
        <w:pStyle w:val="A-Text11"/>
      </w:pPr>
      <w:r w:rsidRPr="00635E71">
        <w:t xml:space="preserve">Niektoré environmentálne kritériá uprednostňujú nulový variant, ale len v tom prípade, kedy by sa nerealizovala žiadna činnosť v území, teda ani v rozsahu schváleného územného plánu. </w:t>
      </w:r>
      <w:r w:rsidR="00D85F2E">
        <w:t>„N</w:t>
      </w:r>
      <w:r w:rsidR="00D85F2E" w:rsidRPr="002B71FE">
        <w:t xml:space="preserve">ulový variant“ </w:t>
      </w:r>
      <w:r w:rsidR="00D85F2E">
        <w:t xml:space="preserve">je </w:t>
      </w:r>
      <w:r w:rsidR="00D85F2E" w:rsidRPr="002B71FE">
        <w:t xml:space="preserve">variant stavu, ktorý by nastal, ak by sa navrhovaná činnosť nerealizovala. </w:t>
      </w:r>
    </w:p>
    <w:p w14:paraId="73522C7E" w14:textId="2F341E72" w:rsidR="00E65CA9" w:rsidRPr="00635E71" w:rsidRDefault="00E65CA9" w:rsidP="0093211F">
      <w:pPr>
        <w:pStyle w:val="A-Text11"/>
      </w:pPr>
      <w:r w:rsidRPr="00635E71">
        <w:t xml:space="preserve"> Nie je reálne predpokladať, že by sa  ďalší vývoj územia odvíjal od súčasného stavu, kedy sa lokalita  nevyužíva v zmysle územného plánu. </w:t>
      </w:r>
    </w:p>
    <w:p w14:paraId="3281CB3F" w14:textId="77777777" w:rsidR="00E65CA9" w:rsidRPr="00635E71" w:rsidRDefault="00E65CA9" w:rsidP="0093211F">
      <w:pPr>
        <w:pStyle w:val="A-Text11"/>
      </w:pPr>
      <w:r w:rsidRPr="00635E71">
        <w:lastRenderedPageBreak/>
        <w:t xml:space="preserve">Za podmienky prijatia navrhovaných opatrení a realizácie navrhovaných opatrení, možno realizáciu navrhovanej činnosti podľa </w:t>
      </w:r>
      <w:r w:rsidRPr="00635E71">
        <w:rPr>
          <w:b/>
          <w:i/>
        </w:rPr>
        <w:t xml:space="preserve">navrhovaných  variantov </w:t>
      </w:r>
      <w:r w:rsidRPr="00635E71">
        <w:t xml:space="preserve"> považovať za akceptovateľnú aj z environmentálnych hľadísk.  Podmienky legislatívy v oblasti ochrany a tvorby životného prostredia a ochrany zdravia obyvateľov musia byť v plnej miere akceptované. </w:t>
      </w:r>
    </w:p>
    <w:p w14:paraId="385EF1E6" w14:textId="22A4DE64" w:rsidR="00E65CA9" w:rsidRPr="00635E71" w:rsidRDefault="00E65CA9" w:rsidP="0093211F">
      <w:pPr>
        <w:pStyle w:val="A-Text11"/>
      </w:pPr>
      <w:r w:rsidRPr="00635E71">
        <w:t xml:space="preserve">Realizácia navrhovanej činnosti v obidvoch navrhovaných variantoch jednoznačne prispeje k odstráneniu </w:t>
      </w:r>
      <w:r w:rsidR="004D149F" w:rsidRPr="00635E71">
        <w:t xml:space="preserve">zbytkov po stavebnej </w:t>
      </w:r>
      <w:r w:rsidR="000B0D12" w:rsidRPr="00635E71">
        <w:t>činnosti</w:t>
      </w:r>
      <w:r w:rsidRPr="00635E71">
        <w:t xml:space="preserve">. </w:t>
      </w:r>
      <w:r w:rsidR="00F025D4" w:rsidRPr="00635E71">
        <w:t xml:space="preserve">Táto skutočnosť je významným pozitívom navrhovanej činnosti. </w:t>
      </w:r>
    </w:p>
    <w:p w14:paraId="2D72DF5F" w14:textId="77777777" w:rsidR="00E65CA9" w:rsidRPr="00635E71" w:rsidRDefault="00E65CA9" w:rsidP="0093211F">
      <w:pPr>
        <w:pStyle w:val="A-Text11"/>
      </w:pPr>
      <w:r w:rsidRPr="00635E71">
        <w:t xml:space="preserve">Navrhované riešenie musí byť  v súlade s ÚPN. Podmienky legislatívy v oblasti ochrany a tvorby životného prostredia a ochrany zdravia obyvateľov musia byť v plnej miere akceptované. </w:t>
      </w:r>
    </w:p>
    <w:p w14:paraId="2AEFF8AF" w14:textId="77777777" w:rsidR="00E65CA9" w:rsidRPr="00635E71" w:rsidRDefault="00E65CA9" w:rsidP="0093211F">
      <w:pPr>
        <w:pStyle w:val="A-Text11"/>
      </w:pPr>
      <w:r w:rsidRPr="00635E71">
        <w:t xml:space="preserve">Za podmienky dodržania príslušných legislatívnych noriem, podmienok uvedených v stavebnom povolení a navrhovaných opatrení budú očakávané vplyvy akceptovateľné. V žiadnom prípade nepresiahnu stanovené limity.  </w:t>
      </w:r>
    </w:p>
    <w:p w14:paraId="53241BC1" w14:textId="77777777" w:rsidR="00E65CA9" w:rsidRPr="00635E71" w:rsidRDefault="00E65CA9" w:rsidP="0093211F">
      <w:pPr>
        <w:pStyle w:val="A-Text11"/>
      </w:pPr>
      <w:r w:rsidRPr="00635E71">
        <w:t>Realizáciou navrhovanej činnosti  sa zhodnotí dosiaľ nevyužívaná lokalita v zmysle určenia územno-plánovacou dokumentáciou.</w:t>
      </w:r>
    </w:p>
    <w:p w14:paraId="2B498E36" w14:textId="77777777" w:rsidR="00E65CA9" w:rsidRPr="00635E71" w:rsidRDefault="00E65CA9" w:rsidP="0093211F">
      <w:pPr>
        <w:pStyle w:val="A-Text11"/>
      </w:pPr>
      <w:r w:rsidRPr="00635E71">
        <w:t xml:space="preserve">Varianty možno  z hľadiska predpokladaných vplyvov na životné prostredie považovať za akceptovateľné. </w:t>
      </w:r>
    </w:p>
    <w:p w14:paraId="46DD6A4B" w14:textId="2DA28BCC" w:rsidR="00E65CA9" w:rsidRDefault="003B1162" w:rsidP="003B1162">
      <w:pPr>
        <w:pStyle w:val="Zkladntext2"/>
        <w:spacing w:before="120" w:after="0" w:line="240" w:lineRule="auto"/>
        <w:ind w:firstLine="3686"/>
        <w:rPr>
          <w:rFonts w:ascii="Arial" w:hAnsi="Arial" w:cs="Arial"/>
          <w:sz w:val="28"/>
          <w:szCs w:val="28"/>
          <w:lang w:val="sk-SK"/>
        </w:rPr>
      </w:pPr>
      <w:r w:rsidRPr="00635E71">
        <w:rPr>
          <w:rFonts w:ascii="Arial" w:hAnsi="Arial" w:cs="Arial"/>
          <w:b/>
          <w:i/>
          <w:sz w:val="28"/>
          <w:szCs w:val="28"/>
          <w:lang w:val="sk-SK"/>
        </w:rPr>
        <w:t>O</w:t>
      </w:r>
      <w:r w:rsidR="00F025D4" w:rsidRPr="00635E71">
        <w:rPr>
          <w:rFonts w:ascii="Arial" w:hAnsi="Arial" w:cs="Arial"/>
          <w:b/>
          <w:i/>
          <w:sz w:val="28"/>
          <w:szCs w:val="28"/>
          <w:lang w:val="sk-SK"/>
        </w:rPr>
        <w:t xml:space="preserve">ptimálnym variantom </w:t>
      </w:r>
      <w:r w:rsidR="00E65CA9" w:rsidRPr="00635E71">
        <w:rPr>
          <w:rFonts w:ascii="Arial" w:hAnsi="Arial" w:cs="Arial"/>
          <w:b/>
          <w:i/>
          <w:sz w:val="28"/>
          <w:szCs w:val="28"/>
          <w:lang w:val="sk-SK"/>
        </w:rPr>
        <w:t xml:space="preserve"> </w:t>
      </w:r>
      <w:r w:rsidRPr="00635E71">
        <w:rPr>
          <w:rFonts w:ascii="Arial" w:hAnsi="Arial" w:cs="Arial"/>
          <w:b/>
          <w:i/>
          <w:sz w:val="28"/>
          <w:szCs w:val="28"/>
          <w:lang w:val="sk-SK"/>
        </w:rPr>
        <w:t xml:space="preserve">je </w:t>
      </w:r>
      <w:r w:rsidR="00E65CA9" w:rsidRPr="00635E71">
        <w:rPr>
          <w:rFonts w:ascii="Arial" w:hAnsi="Arial" w:cs="Arial"/>
          <w:b/>
          <w:i/>
          <w:sz w:val="28"/>
          <w:szCs w:val="28"/>
          <w:lang w:val="sk-SK"/>
        </w:rPr>
        <w:t xml:space="preserve">Variant č. </w:t>
      </w:r>
      <w:r w:rsidR="00D118E3" w:rsidRPr="00635E71">
        <w:rPr>
          <w:rFonts w:ascii="Arial" w:hAnsi="Arial" w:cs="Arial"/>
          <w:b/>
          <w:i/>
          <w:sz w:val="28"/>
          <w:szCs w:val="28"/>
          <w:lang w:val="sk-SK"/>
        </w:rPr>
        <w:t>2</w:t>
      </w:r>
      <w:r w:rsidR="00E65CA9" w:rsidRPr="00635E71">
        <w:rPr>
          <w:rFonts w:ascii="Arial" w:hAnsi="Arial" w:cs="Arial"/>
          <w:b/>
          <w:i/>
          <w:sz w:val="28"/>
          <w:szCs w:val="28"/>
          <w:lang w:val="sk-SK"/>
        </w:rPr>
        <w:t xml:space="preserve">. </w:t>
      </w:r>
      <w:r w:rsidR="00E65CA9" w:rsidRPr="00635E71">
        <w:rPr>
          <w:rFonts w:ascii="Arial" w:hAnsi="Arial" w:cs="Arial"/>
          <w:sz w:val="28"/>
          <w:szCs w:val="28"/>
          <w:lang w:val="sk-SK"/>
        </w:rPr>
        <w:t xml:space="preserve"> </w:t>
      </w:r>
    </w:p>
    <w:p w14:paraId="4FD9ED58" w14:textId="77777777" w:rsidR="0093211F" w:rsidRPr="00635E71" w:rsidRDefault="0093211F" w:rsidP="003B1162">
      <w:pPr>
        <w:pStyle w:val="Zkladntext2"/>
        <w:spacing w:before="120" w:after="0" w:line="240" w:lineRule="auto"/>
        <w:ind w:firstLine="3686"/>
        <w:rPr>
          <w:rFonts w:ascii="Arial" w:hAnsi="Arial" w:cs="Arial"/>
          <w:sz w:val="28"/>
          <w:szCs w:val="28"/>
          <w:lang w:val="sk-SK"/>
        </w:rPr>
      </w:pPr>
    </w:p>
    <w:p w14:paraId="36495EB1" w14:textId="619C964A" w:rsidR="00E65CA9" w:rsidRPr="00635E71" w:rsidRDefault="00E65CA9" w:rsidP="00E476FE">
      <w:pPr>
        <w:pStyle w:val="Nadpis1"/>
        <w:shd w:val="clear" w:color="auto" w:fill="auto"/>
        <w:spacing w:before="120" w:after="0"/>
        <w:rPr>
          <w:lang w:val="sk-SK"/>
        </w:rPr>
      </w:pPr>
      <w:bookmarkStart w:id="443" w:name="_Toc495993007"/>
      <w:bookmarkStart w:id="444" w:name="_Toc93916866"/>
      <w:r w:rsidRPr="00635E71">
        <w:rPr>
          <w:lang w:val="sk-SK"/>
        </w:rPr>
        <w:t>Mapová a iná obrazová dokumentácia</w:t>
      </w:r>
      <w:bookmarkEnd w:id="442"/>
      <w:bookmarkEnd w:id="443"/>
      <w:bookmarkEnd w:id="444"/>
      <w:r w:rsidRPr="00635E71">
        <w:rPr>
          <w:lang w:val="sk-SK"/>
        </w:rPr>
        <w:t xml:space="preserve"> </w:t>
      </w:r>
    </w:p>
    <w:p w14:paraId="37C28551" w14:textId="28E7393E" w:rsidR="00E65CA9" w:rsidRPr="00635E71" w:rsidRDefault="00E65CA9" w:rsidP="0093211F">
      <w:pPr>
        <w:pStyle w:val="A-Text11"/>
      </w:pPr>
      <w:bookmarkStart w:id="445" w:name="_Toc132078773"/>
      <w:r w:rsidRPr="00635E71">
        <w:t>Pre  zdokumentovanie uvedeného hodnotenia vplyvov v predkladanom Zámere  sú doložené</w:t>
      </w:r>
      <w:r w:rsidR="001D544D" w:rsidRPr="00635E71">
        <w:t xml:space="preserve"> prílohy</w:t>
      </w:r>
      <w:r w:rsidRPr="00635E71">
        <w:t>:</w:t>
      </w:r>
    </w:p>
    <w:p w14:paraId="0DD653BE" w14:textId="503C0C18" w:rsidR="00A655E0" w:rsidRPr="00635E71" w:rsidRDefault="00A655E0" w:rsidP="00A655E0">
      <w:pPr>
        <w:widowControl/>
        <w:spacing w:before="120"/>
        <w:jc w:val="both"/>
        <w:rPr>
          <w:rFonts w:ascii="Arial" w:hAnsi="Arial" w:cs="Arial"/>
          <w:b/>
          <w:bCs/>
          <w:i/>
          <w:iCs/>
          <w:sz w:val="24"/>
          <w:szCs w:val="24"/>
          <w:lang w:eastAsia="en-US"/>
        </w:rPr>
      </w:pPr>
      <w:r w:rsidRPr="00635E71">
        <w:rPr>
          <w:rFonts w:ascii="Arial" w:hAnsi="Arial" w:cs="Arial"/>
          <w:b/>
          <w:bCs/>
          <w:i/>
          <w:iCs/>
          <w:sz w:val="24"/>
          <w:szCs w:val="24"/>
          <w:lang w:eastAsia="en-US"/>
        </w:rPr>
        <w:t>Grafické prílohy</w:t>
      </w:r>
    </w:p>
    <w:p w14:paraId="59E0293C" w14:textId="079AD49E" w:rsidR="0029466C" w:rsidRPr="00BE6BCA" w:rsidRDefault="002B56E1" w:rsidP="00A05CD8">
      <w:pPr>
        <w:pStyle w:val="Odsekzoznamu"/>
        <w:numPr>
          <w:ilvl w:val="0"/>
          <w:numId w:val="40"/>
        </w:numPr>
        <w:rPr>
          <w:rFonts w:ascii="Arial" w:hAnsi="Arial" w:cs="Arial"/>
          <w:i/>
          <w:sz w:val="22"/>
          <w:szCs w:val="22"/>
        </w:rPr>
      </w:pPr>
      <w:r w:rsidRPr="00BE6BCA">
        <w:rPr>
          <w:rFonts w:ascii="Arial" w:hAnsi="Arial" w:cs="Arial"/>
          <w:i/>
          <w:sz w:val="22"/>
          <w:szCs w:val="22"/>
        </w:rPr>
        <w:t xml:space="preserve">Situácia  </w:t>
      </w:r>
      <w:r w:rsidR="0029466C" w:rsidRPr="00BE6BCA">
        <w:rPr>
          <w:rFonts w:ascii="Arial" w:hAnsi="Arial" w:cs="Arial"/>
          <w:i/>
          <w:sz w:val="22"/>
          <w:szCs w:val="22"/>
        </w:rPr>
        <w:t>s vyznačením lokality</w:t>
      </w:r>
    </w:p>
    <w:p w14:paraId="4BD18DF4" w14:textId="4B15BB63" w:rsidR="002B56E1" w:rsidRPr="00BE6BCA" w:rsidRDefault="002B56E1" w:rsidP="00A05CD8">
      <w:pPr>
        <w:pStyle w:val="Odsekzoznamu"/>
        <w:numPr>
          <w:ilvl w:val="0"/>
          <w:numId w:val="40"/>
        </w:numPr>
        <w:rPr>
          <w:rFonts w:ascii="Arial" w:hAnsi="Arial" w:cs="Arial"/>
          <w:i/>
          <w:sz w:val="22"/>
          <w:szCs w:val="22"/>
        </w:rPr>
      </w:pPr>
      <w:r w:rsidRPr="00BE6BCA">
        <w:rPr>
          <w:rFonts w:ascii="Arial" w:hAnsi="Arial" w:cs="Arial"/>
          <w:i/>
          <w:sz w:val="22"/>
          <w:szCs w:val="22"/>
        </w:rPr>
        <w:t>Situácia širš</w:t>
      </w:r>
      <w:r w:rsidR="00AF1D4C" w:rsidRPr="00BE6BCA">
        <w:rPr>
          <w:rFonts w:ascii="Arial" w:hAnsi="Arial" w:cs="Arial"/>
          <w:i/>
          <w:sz w:val="22"/>
          <w:szCs w:val="22"/>
        </w:rPr>
        <w:t>ích</w:t>
      </w:r>
      <w:r w:rsidRPr="00BE6BCA">
        <w:rPr>
          <w:rFonts w:ascii="Arial" w:hAnsi="Arial" w:cs="Arial"/>
          <w:i/>
          <w:sz w:val="22"/>
          <w:szCs w:val="22"/>
        </w:rPr>
        <w:t xml:space="preserve"> vzťah</w:t>
      </w:r>
      <w:r w:rsidR="00AF1D4C" w:rsidRPr="00BE6BCA">
        <w:rPr>
          <w:rFonts w:ascii="Arial" w:hAnsi="Arial" w:cs="Arial"/>
          <w:i/>
          <w:sz w:val="22"/>
          <w:szCs w:val="22"/>
        </w:rPr>
        <w:t>ov</w:t>
      </w:r>
    </w:p>
    <w:p w14:paraId="413FA7D3" w14:textId="6AE5F825" w:rsidR="002B56E1" w:rsidRPr="00BE6BCA" w:rsidRDefault="004E7467" w:rsidP="0095439F">
      <w:pPr>
        <w:pStyle w:val="Odsekzoznamu"/>
        <w:numPr>
          <w:ilvl w:val="0"/>
          <w:numId w:val="40"/>
        </w:numPr>
        <w:rPr>
          <w:rFonts w:ascii="Arial" w:hAnsi="Arial" w:cs="Arial"/>
          <w:i/>
          <w:sz w:val="22"/>
          <w:szCs w:val="22"/>
        </w:rPr>
      </w:pPr>
      <w:r w:rsidRPr="00BE6BCA">
        <w:rPr>
          <w:rFonts w:ascii="Arial" w:hAnsi="Arial" w:cs="Arial"/>
          <w:i/>
          <w:sz w:val="22"/>
          <w:szCs w:val="22"/>
        </w:rPr>
        <w:t>Koordinačná s</w:t>
      </w:r>
      <w:r w:rsidR="002B56E1" w:rsidRPr="00BE6BCA">
        <w:rPr>
          <w:rFonts w:ascii="Arial" w:hAnsi="Arial" w:cs="Arial"/>
          <w:i/>
          <w:sz w:val="22"/>
          <w:szCs w:val="22"/>
        </w:rPr>
        <w:t xml:space="preserve">ituácia </w:t>
      </w:r>
    </w:p>
    <w:p w14:paraId="6836B51B" w14:textId="59BAEF54" w:rsidR="002B56E1" w:rsidRPr="00BE6BCA" w:rsidRDefault="00C92F0D" w:rsidP="0095439F">
      <w:pPr>
        <w:pStyle w:val="Odsekzoznamu"/>
        <w:numPr>
          <w:ilvl w:val="0"/>
          <w:numId w:val="40"/>
        </w:numPr>
        <w:rPr>
          <w:rFonts w:ascii="Arial" w:hAnsi="Arial" w:cs="Arial"/>
          <w:i/>
          <w:sz w:val="22"/>
          <w:szCs w:val="22"/>
        </w:rPr>
      </w:pPr>
      <w:r w:rsidRPr="00BE6BCA">
        <w:rPr>
          <w:rFonts w:ascii="Arial" w:hAnsi="Arial" w:cs="Arial"/>
          <w:i/>
          <w:sz w:val="22"/>
          <w:szCs w:val="22"/>
        </w:rPr>
        <w:t>S</w:t>
      </w:r>
      <w:r w:rsidR="002B56E1" w:rsidRPr="00BE6BCA">
        <w:rPr>
          <w:rFonts w:ascii="Arial" w:hAnsi="Arial" w:cs="Arial"/>
          <w:i/>
          <w:sz w:val="22"/>
          <w:szCs w:val="22"/>
        </w:rPr>
        <w:t>ituácia</w:t>
      </w:r>
      <w:r w:rsidRPr="00BE6BCA">
        <w:rPr>
          <w:rFonts w:ascii="Arial" w:hAnsi="Arial" w:cs="Arial"/>
          <w:i/>
          <w:sz w:val="22"/>
          <w:szCs w:val="22"/>
        </w:rPr>
        <w:t xml:space="preserve">  plôch</w:t>
      </w:r>
    </w:p>
    <w:p w14:paraId="737C3E8E" w14:textId="739FF97A" w:rsidR="00D25D63" w:rsidRPr="00BE6BCA" w:rsidRDefault="00D25D63" w:rsidP="0095439F">
      <w:pPr>
        <w:pStyle w:val="Odsekzoznamu"/>
        <w:numPr>
          <w:ilvl w:val="0"/>
          <w:numId w:val="40"/>
        </w:numPr>
        <w:rPr>
          <w:rFonts w:ascii="Arial" w:hAnsi="Arial" w:cs="Arial"/>
          <w:i/>
          <w:sz w:val="22"/>
          <w:szCs w:val="22"/>
        </w:rPr>
      </w:pPr>
      <w:r w:rsidRPr="00BE6BCA">
        <w:rPr>
          <w:rFonts w:ascii="Arial" w:hAnsi="Arial" w:cs="Arial"/>
          <w:i/>
          <w:sz w:val="22"/>
          <w:szCs w:val="22"/>
        </w:rPr>
        <w:t>Dopravná situácia</w:t>
      </w:r>
    </w:p>
    <w:p w14:paraId="16E43A7D" w14:textId="63C762A5" w:rsidR="00CA59E8" w:rsidRPr="00BE6BCA" w:rsidRDefault="00167A9F" w:rsidP="0095439F">
      <w:pPr>
        <w:pStyle w:val="Odsekzoznamu"/>
        <w:numPr>
          <w:ilvl w:val="0"/>
          <w:numId w:val="40"/>
        </w:numPr>
        <w:rPr>
          <w:rFonts w:ascii="Arial" w:hAnsi="Arial" w:cs="Arial"/>
          <w:i/>
          <w:sz w:val="22"/>
          <w:szCs w:val="22"/>
        </w:rPr>
      </w:pPr>
      <w:r w:rsidRPr="00BE6BCA">
        <w:rPr>
          <w:rFonts w:ascii="Arial" w:hAnsi="Arial" w:cs="Arial"/>
          <w:i/>
          <w:sz w:val="22"/>
          <w:szCs w:val="22"/>
        </w:rPr>
        <w:t>Pôdorys</w:t>
      </w:r>
      <w:r w:rsidR="00D25D63" w:rsidRPr="00BE6BCA">
        <w:rPr>
          <w:rFonts w:ascii="Arial" w:hAnsi="Arial" w:cs="Arial"/>
          <w:i/>
          <w:sz w:val="22"/>
          <w:szCs w:val="22"/>
        </w:rPr>
        <w:t xml:space="preserve">  1.PP</w:t>
      </w:r>
    </w:p>
    <w:p w14:paraId="7320386B" w14:textId="7668E7F7" w:rsidR="00D25D63" w:rsidRPr="00BE6BCA" w:rsidRDefault="00D25D63" w:rsidP="0095439F">
      <w:pPr>
        <w:pStyle w:val="Odsekzoznamu"/>
        <w:numPr>
          <w:ilvl w:val="0"/>
          <w:numId w:val="40"/>
        </w:numPr>
        <w:rPr>
          <w:rFonts w:ascii="Arial" w:hAnsi="Arial" w:cs="Arial"/>
          <w:i/>
          <w:sz w:val="22"/>
          <w:szCs w:val="22"/>
        </w:rPr>
      </w:pPr>
      <w:r w:rsidRPr="00BE6BCA">
        <w:rPr>
          <w:rFonts w:ascii="Arial" w:hAnsi="Arial" w:cs="Arial"/>
          <w:i/>
          <w:sz w:val="22"/>
          <w:szCs w:val="22"/>
        </w:rPr>
        <w:t>Pôdorysy 1.</w:t>
      </w:r>
      <w:r w:rsidR="00BE6BCA" w:rsidRPr="00BE6BCA">
        <w:rPr>
          <w:rFonts w:ascii="Arial" w:hAnsi="Arial" w:cs="Arial"/>
          <w:i/>
          <w:sz w:val="22"/>
          <w:szCs w:val="22"/>
        </w:rPr>
        <w:t xml:space="preserve"> – 4. </w:t>
      </w:r>
      <w:r w:rsidRPr="00BE6BCA">
        <w:rPr>
          <w:rFonts w:ascii="Arial" w:hAnsi="Arial" w:cs="Arial"/>
          <w:i/>
          <w:sz w:val="22"/>
          <w:szCs w:val="22"/>
        </w:rPr>
        <w:t>NP</w:t>
      </w:r>
    </w:p>
    <w:p w14:paraId="35600E85" w14:textId="3197E4F8" w:rsidR="002B56E1" w:rsidRPr="00BE6BCA" w:rsidRDefault="000B184E" w:rsidP="0095439F">
      <w:pPr>
        <w:pStyle w:val="Odsekzoznamu"/>
        <w:numPr>
          <w:ilvl w:val="0"/>
          <w:numId w:val="40"/>
        </w:numPr>
        <w:rPr>
          <w:rFonts w:ascii="Arial" w:hAnsi="Arial" w:cs="Arial"/>
          <w:i/>
          <w:sz w:val="22"/>
          <w:szCs w:val="22"/>
        </w:rPr>
      </w:pPr>
      <w:r w:rsidRPr="00BE6BCA">
        <w:rPr>
          <w:rFonts w:ascii="Arial" w:hAnsi="Arial" w:cs="Arial"/>
          <w:i/>
          <w:sz w:val="22"/>
          <w:szCs w:val="22"/>
        </w:rPr>
        <w:t>R</w:t>
      </w:r>
      <w:r w:rsidR="002B56E1" w:rsidRPr="00BE6BCA">
        <w:rPr>
          <w:rFonts w:ascii="Arial" w:hAnsi="Arial" w:cs="Arial"/>
          <w:i/>
          <w:sz w:val="22"/>
          <w:szCs w:val="22"/>
        </w:rPr>
        <w:t>ez</w:t>
      </w:r>
      <w:r w:rsidR="00BE6BCA" w:rsidRPr="00BE6BCA">
        <w:rPr>
          <w:rFonts w:ascii="Arial" w:hAnsi="Arial" w:cs="Arial"/>
          <w:i/>
          <w:sz w:val="22"/>
          <w:szCs w:val="22"/>
        </w:rPr>
        <w:t>y</w:t>
      </w:r>
    </w:p>
    <w:p w14:paraId="15787838" w14:textId="2B37C9D9" w:rsidR="002B56E1" w:rsidRPr="00BE6BCA" w:rsidRDefault="00167A9F" w:rsidP="0095439F">
      <w:pPr>
        <w:pStyle w:val="Odsekzoznamu"/>
        <w:numPr>
          <w:ilvl w:val="0"/>
          <w:numId w:val="40"/>
        </w:numPr>
        <w:rPr>
          <w:rFonts w:ascii="Arial" w:hAnsi="Arial" w:cs="Arial"/>
          <w:i/>
          <w:sz w:val="22"/>
          <w:szCs w:val="22"/>
        </w:rPr>
      </w:pPr>
      <w:r w:rsidRPr="00BE6BCA">
        <w:rPr>
          <w:rFonts w:ascii="Arial" w:hAnsi="Arial" w:cs="Arial"/>
          <w:i/>
          <w:sz w:val="22"/>
          <w:szCs w:val="22"/>
        </w:rPr>
        <w:t>Pohľad</w:t>
      </w:r>
      <w:r w:rsidR="00BE6BCA" w:rsidRPr="00BE6BCA">
        <w:rPr>
          <w:rFonts w:ascii="Arial" w:hAnsi="Arial" w:cs="Arial"/>
          <w:i/>
          <w:sz w:val="22"/>
          <w:szCs w:val="22"/>
        </w:rPr>
        <w:t>y</w:t>
      </w:r>
    </w:p>
    <w:p w14:paraId="22AFE9D4" w14:textId="77777777" w:rsidR="00D118E3" w:rsidRPr="00BE6BCA" w:rsidRDefault="00D118E3" w:rsidP="00E476FE">
      <w:pPr>
        <w:widowControl/>
        <w:jc w:val="both"/>
        <w:rPr>
          <w:rFonts w:ascii="Arial" w:hAnsi="Arial" w:cs="Arial"/>
          <w:i/>
          <w:sz w:val="22"/>
          <w:szCs w:val="22"/>
          <w:lang w:eastAsia="en-US"/>
        </w:rPr>
      </w:pPr>
    </w:p>
    <w:p w14:paraId="6F8AD1C4" w14:textId="77777777" w:rsidR="00E65CA9" w:rsidRPr="00D5539F" w:rsidRDefault="00E65CA9" w:rsidP="00E476FE">
      <w:pPr>
        <w:pStyle w:val="Nadpis1"/>
        <w:shd w:val="clear" w:color="auto" w:fill="auto"/>
        <w:spacing w:before="120" w:after="0"/>
        <w:rPr>
          <w:lang w:val="sk-SK"/>
        </w:rPr>
      </w:pPr>
      <w:bookmarkStart w:id="446" w:name="_Toc495993008"/>
      <w:r w:rsidRPr="00D5539F">
        <w:rPr>
          <w:lang w:val="sk-SK"/>
        </w:rPr>
        <w:t xml:space="preserve">   </w:t>
      </w:r>
      <w:bookmarkStart w:id="447" w:name="_Toc93916867"/>
      <w:r w:rsidRPr="00D5539F">
        <w:rPr>
          <w:lang w:val="sk-SK"/>
        </w:rPr>
        <w:t>Doplňujúce informácie k zámeru.</w:t>
      </w:r>
      <w:bookmarkEnd w:id="445"/>
      <w:bookmarkEnd w:id="446"/>
      <w:bookmarkEnd w:id="447"/>
    </w:p>
    <w:p w14:paraId="3B9E4A3C" w14:textId="2ED20CCF" w:rsidR="00E65CA9" w:rsidRPr="004A7717" w:rsidRDefault="00E65CA9" w:rsidP="008C6F96">
      <w:pPr>
        <w:pStyle w:val="Nadpis2"/>
      </w:pPr>
      <w:bookmarkStart w:id="448" w:name="_Toc132078774"/>
      <w:bookmarkStart w:id="449" w:name="_Toc495993009"/>
      <w:bookmarkStart w:id="450" w:name="_Toc93916868"/>
      <w:r w:rsidRPr="004A7717">
        <w:t>Zoznam textovej a grafickej dokumentácie, ktorá sa vypracovala pre zámer a zoznam hlavných použitých materiálov.</w:t>
      </w:r>
      <w:bookmarkEnd w:id="448"/>
      <w:bookmarkEnd w:id="449"/>
      <w:bookmarkEnd w:id="450"/>
    </w:p>
    <w:p w14:paraId="4292A75B" w14:textId="77777777" w:rsidR="00E65CA9" w:rsidRPr="000A2BC4" w:rsidRDefault="00E65CA9" w:rsidP="00E476FE">
      <w:pPr>
        <w:widowControl/>
        <w:spacing w:before="120"/>
        <w:jc w:val="both"/>
        <w:rPr>
          <w:rFonts w:ascii="Arial" w:hAnsi="Arial" w:cs="Arial"/>
          <w:b/>
          <w:bCs/>
          <w:sz w:val="22"/>
          <w:szCs w:val="22"/>
          <w:lang w:eastAsia="en-US"/>
        </w:rPr>
      </w:pPr>
      <w:bookmarkStart w:id="451" w:name="_Toc132078775"/>
      <w:r w:rsidRPr="000A2BC4">
        <w:rPr>
          <w:rFonts w:ascii="Arial" w:hAnsi="Arial" w:cs="Arial"/>
          <w:b/>
          <w:bCs/>
          <w:sz w:val="22"/>
          <w:szCs w:val="22"/>
          <w:lang w:eastAsia="en-US"/>
        </w:rPr>
        <w:t>Pre vypracovanie zámeru boli použité predovšetkým:</w:t>
      </w:r>
    </w:p>
    <w:p w14:paraId="0F2B1372" w14:textId="77777777" w:rsidR="00E65CA9" w:rsidRPr="00ED741D" w:rsidRDefault="00E65CA9" w:rsidP="0095439F">
      <w:pPr>
        <w:widowControl/>
        <w:numPr>
          <w:ilvl w:val="0"/>
          <w:numId w:val="10"/>
        </w:numPr>
        <w:ind w:left="714" w:hanging="357"/>
        <w:jc w:val="both"/>
        <w:rPr>
          <w:rFonts w:ascii="Arial" w:hAnsi="Arial" w:cs="Arial"/>
          <w:i/>
          <w:iCs/>
          <w:sz w:val="22"/>
          <w:szCs w:val="22"/>
          <w:lang w:eastAsia="en-US"/>
        </w:rPr>
      </w:pPr>
      <w:r w:rsidRPr="00ED741D">
        <w:rPr>
          <w:rFonts w:ascii="Arial" w:hAnsi="Arial" w:cs="Arial"/>
          <w:i/>
          <w:iCs/>
          <w:sz w:val="22"/>
          <w:szCs w:val="22"/>
          <w:lang w:eastAsia="en-US"/>
        </w:rPr>
        <w:t>Rozpracovaná dokumentácia pre územné rozhodnutie</w:t>
      </w:r>
    </w:p>
    <w:p w14:paraId="0295B789" w14:textId="77777777" w:rsidR="00E65CA9" w:rsidRPr="00ED741D" w:rsidRDefault="00E65CA9" w:rsidP="0095439F">
      <w:pPr>
        <w:widowControl/>
        <w:numPr>
          <w:ilvl w:val="0"/>
          <w:numId w:val="10"/>
        </w:numPr>
        <w:ind w:left="714" w:hanging="357"/>
        <w:jc w:val="both"/>
        <w:rPr>
          <w:rFonts w:ascii="Arial" w:hAnsi="Arial" w:cs="Arial"/>
          <w:i/>
          <w:iCs/>
          <w:sz w:val="22"/>
          <w:szCs w:val="22"/>
          <w:lang w:eastAsia="en-US"/>
        </w:rPr>
      </w:pPr>
      <w:r w:rsidRPr="00ED741D">
        <w:rPr>
          <w:rFonts w:ascii="Arial" w:hAnsi="Arial" w:cs="Arial"/>
          <w:i/>
          <w:iCs/>
          <w:sz w:val="22"/>
          <w:szCs w:val="22"/>
          <w:lang w:eastAsia="en-US"/>
        </w:rPr>
        <w:t>Aktuálny územný plán hl. m. SR Bratislavy</w:t>
      </w:r>
    </w:p>
    <w:p w14:paraId="44AEC24F" w14:textId="0D96AB68" w:rsidR="00E65CA9" w:rsidRDefault="00E65CA9" w:rsidP="0095439F">
      <w:pPr>
        <w:widowControl/>
        <w:numPr>
          <w:ilvl w:val="0"/>
          <w:numId w:val="10"/>
        </w:numPr>
        <w:ind w:left="714" w:hanging="357"/>
        <w:jc w:val="both"/>
        <w:rPr>
          <w:rFonts w:ascii="Arial" w:hAnsi="Arial" w:cs="Arial"/>
          <w:i/>
          <w:iCs/>
          <w:sz w:val="22"/>
          <w:szCs w:val="22"/>
          <w:lang w:eastAsia="en-US"/>
        </w:rPr>
      </w:pPr>
      <w:r w:rsidRPr="00ED741D">
        <w:rPr>
          <w:rFonts w:ascii="Arial" w:hAnsi="Arial" w:cs="Arial"/>
          <w:i/>
          <w:iCs/>
          <w:sz w:val="22"/>
          <w:szCs w:val="22"/>
          <w:lang w:eastAsia="en-US"/>
        </w:rPr>
        <w:t>Informácie navrhovateľa a</w:t>
      </w:r>
      <w:r w:rsidR="00BE6BCA">
        <w:rPr>
          <w:rFonts w:ascii="Arial" w:hAnsi="Arial" w:cs="Arial"/>
          <w:i/>
          <w:iCs/>
          <w:sz w:val="22"/>
          <w:szCs w:val="22"/>
          <w:lang w:eastAsia="en-US"/>
        </w:rPr>
        <w:t> </w:t>
      </w:r>
      <w:r w:rsidRPr="00ED741D">
        <w:rPr>
          <w:rFonts w:ascii="Arial" w:hAnsi="Arial" w:cs="Arial"/>
          <w:i/>
          <w:iCs/>
          <w:sz w:val="22"/>
          <w:szCs w:val="22"/>
          <w:lang w:eastAsia="en-US"/>
        </w:rPr>
        <w:t>projektanta</w:t>
      </w:r>
    </w:p>
    <w:p w14:paraId="660C9096" w14:textId="28B18C0A" w:rsidR="00BE6BCA" w:rsidRDefault="00BE6BCA" w:rsidP="0095439F">
      <w:pPr>
        <w:widowControl/>
        <w:numPr>
          <w:ilvl w:val="0"/>
          <w:numId w:val="10"/>
        </w:numPr>
        <w:ind w:left="714" w:hanging="357"/>
        <w:jc w:val="both"/>
        <w:rPr>
          <w:rFonts w:ascii="Arial" w:hAnsi="Arial" w:cs="Arial"/>
          <w:i/>
          <w:iCs/>
          <w:sz w:val="22"/>
          <w:szCs w:val="22"/>
          <w:lang w:eastAsia="en-US"/>
        </w:rPr>
      </w:pPr>
      <w:r>
        <w:rPr>
          <w:rFonts w:ascii="Arial" w:hAnsi="Arial" w:cs="Arial"/>
          <w:i/>
          <w:iCs/>
          <w:sz w:val="22"/>
          <w:szCs w:val="22"/>
          <w:lang w:eastAsia="en-US"/>
        </w:rPr>
        <w:lastRenderedPageBreak/>
        <w:t xml:space="preserve">Štúdie </w:t>
      </w:r>
      <w:r w:rsidR="00440BE8">
        <w:rPr>
          <w:rFonts w:ascii="Arial" w:hAnsi="Arial" w:cs="Arial"/>
          <w:i/>
          <w:iCs/>
          <w:sz w:val="22"/>
          <w:szCs w:val="22"/>
          <w:lang w:eastAsia="en-US"/>
        </w:rPr>
        <w:t>priložené</w:t>
      </w:r>
      <w:r>
        <w:rPr>
          <w:rFonts w:ascii="Arial" w:hAnsi="Arial" w:cs="Arial"/>
          <w:i/>
          <w:iCs/>
          <w:sz w:val="22"/>
          <w:szCs w:val="22"/>
          <w:lang w:eastAsia="en-US"/>
        </w:rPr>
        <w:t xml:space="preserve"> k zámeru</w:t>
      </w:r>
    </w:p>
    <w:p w14:paraId="4B6FD778" w14:textId="77777777" w:rsidR="009B23C7" w:rsidRDefault="009B23C7" w:rsidP="000A2BC4">
      <w:pPr>
        <w:widowControl/>
        <w:jc w:val="both"/>
        <w:rPr>
          <w:rFonts w:ascii="Arial" w:hAnsi="Arial" w:cs="Arial"/>
          <w:b/>
          <w:bCs/>
          <w:i/>
          <w:iCs/>
          <w:sz w:val="22"/>
          <w:szCs w:val="22"/>
          <w:lang w:eastAsia="en-US"/>
        </w:rPr>
      </w:pPr>
    </w:p>
    <w:p w14:paraId="164A9B58" w14:textId="1CAA038B" w:rsidR="000A2BC4" w:rsidRPr="000A2BC4" w:rsidRDefault="000A2BC4" w:rsidP="000A2BC4">
      <w:pPr>
        <w:widowControl/>
        <w:jc w:val="both"/>
        <w:rPr>
          <w:rFonts w:ascii="Arial" w:hAnsi="Arial" w:cs="Arial"/>
          <w:b/>
          <w:bCs/>
          <w:i/>
          <w:iCs/>
          <w:sz w:val="22"/>
          <w:szCs w:val="22"/>
          <w:lang w:eastAsia="en-US"/>
        </w:rPr>
      </w:pPr>
      <w:r w:rsidRPr="000A2BC4">
        <w:rPr>
          <w:rFonts w:ascii="Arial" w:hAnsi="Arial" w:cs="Arial"/>
          <w:b/>
          <w:bCs/>
          <w:i/>
          <w:iCs/>
          <w:sz w:val="22"/>
          <w:szCs w:val="22"/>
          <w:lang w:eastAsia="en-US"/>
        </w:rPr>
        <w:t>Ďalšie zdroje</w:t>
      </w:r>
    </w:p>
    <w:p w14:paraId="1F7B6DDA" w14:textId="77777777" w:rsidR="00227ED6" w:rsidRPr="00ED741D" w:rsidRDefault="00227ED6" w:rsidP="00105784">
      <w:pPr>
        <w:shd w:val="clear" w:color="auto" w:fill="FFFFFF"/>
        <w:spacing w:before="120"/>
        <w:jc w:val="both"/>
        <w:rPr>
          <w:rFonts w:ascii="Arial" w:hAnsi="Arial" w:cs="Arial"/>
          <w:sz w:val="22"/>
          <w:szCs w:val="22"/>
        </w:rPr>
      </w:pPr>
      <w:r w:rsidRPr="00ED741D">
        <w:rPr>
          <w:rFonts w:ascii="Arial" w:hAnsi="Arial" w:cs="Arial"/>
          <w:sz w:val="22"/>
          <w:szCs w:val="22"/>
        </w:rPr>
        <w:t>Atlas krajiny SR, Mazúr, E., Lukniš, M., 2002</w:t>
      </w:r>
    </w:p>
    <w:p w14:paraId="5D320442" w14:textId="77777777" w:rsidR="00227ED6" w:rsidRPr="00ED741D" w:rsidRDefault="00227ED6" w:rsidP="00105784">
      <w:pPr>
        <w:shd w:val="clear" w:color="auto" w:fill="FFFFFF"/>
        <w:spacing w:before="120"/>
        <w:jc w:val="both"/>
        <w:rPr>
          <w:rFonts w:ascii="Arial" w:hAnsi="Arial" w:cs="Arial"/>
          <w:sz w:val="22"/>
          <w:szCs w:val="22"/>
        </w:rPr>
      </w:pPr>
      <w:r w:rsidRPr="00ED741D">
        <w:rPr>
          <w:rFonts w:ascii="Arial" w:hAnsi="Arial" w:cs="Arial"/>
          <w:sz w:val="22"/>
          <w:szCs w:val="22"/>
        </w:rPr>
        <w:t>Geologická mapa Slovenska 1: 500 000, V. Bezál et al., Štátny geologický ústav Dionýza Štúra, Bratislava, 1996</w:t>
      </w:r>
    </w:p>
    <w:p w14:paraId="62DA3D6D" w14:textId="77777777" w:rsidR="00227ED6" w:rsidRPr="00ED741D" w:rsidRDefault="00227ED6" w:rsidP="00105784">
      <w:pPr>
        <w:shd w:val="clear" w:color="auto" w:fill="FFFFFF"/>
        <w:spacing w:before="120"/>
        <w:jc w:val="both"/>
        <w:rPr>
          <w:rFonts w:ascii="Arial" w:hAnsi="Arial" w:cs="Arial"/>
          <w:sz w:val="22"/>
          <w:szCs w:val="22"/>
        </w:rPr>
      </w:pPr>
      <w:r w:rsidRPr="00ED741D">
        <w:rPr>
          <w:rFonts w:ascii="Arial" w:hAnsi="Arial" w:cs="Arial"/>
          <w:sz w:val="22"/>
          <w:szCs w:val="22"/>
        </w:rPr>
        <w:t>Hodnotenie Kvality povrchových vôd Slovenska za rok 2020, SHMÚ, Bratislava, 2021</w:t>
      </w:r>
    </w:p>
    <w:p w14:paraId="69737C8D" w14:textId="77777777" w:rsidR="00227ED6" w:rsidRPr="00ED741D" w:rsidRDefault="00227ED6" w:rsidP="00105784">
      <w:pPr>
        <w:shd w:val="clear" w:color="auto" w:fill="FFFFFF"/>
        <w:spacing w:before="120"/>
        <w:jc w:val="both"/>
        <w:rPr>
          <w:rFonts w:ascii="Arial" w:hAnsi="Arial" w:cs="Arial"/>
          <w:sz w:val="22"/>
          <w:szCs w:val="22"/>
        </w:rPr>
      </w:pPr>
      <w:r w:rsidRPr="00ED741D">
        <w:rPr>
          <w:rFonts w:ascii="Arial" w:hAnsi="Arial" w:cs="Arial"/>
          <w:sz w:val="22"/>
          <w:szCs w:val="22"/>
        </w:rPr>
        <w:t>Hydrogeologická rajonizácia Slovenska, Slovenský hydrometeorologický ústav, Bratislava, 1984</w:t>
      </w:r>
    </w:p>
    <w:p w14:paraId="0E7E1407" w14:textId="77777777" w:rsidR="00227ED6" w:rsidRPr="00ED741D" w:rsidRDefault="00227ED6" w:rsidP="00105784">
      <w:pPr>
        <w:shd w:val="clear" w:color="auto" w:fill="FFFFFF"/>
        <w:spacing w:before="120"/>
        <w:jc w:val="both"/>
        <w:rPr>
          <w:rFonts w:ascii="Arial" w:hAnsi="Arial" w:cs="Arial"/>
          <w:sz w:val="22"/>
          <w:szCs w:val="22"/>
        </w:rPr>
      </w:pPr>
      <w:r w:rsidRPr="00ED741D">
        <w:rPr>
          <w:rFonts w:ascii="Arial" w:hAnsi="Arial" w:cs="Arial"/>
          <w:sz w:val="22"/>
          <w:szCs w:val="22"/>
        </w:rPr>
        <w:t>Hydrogeologické a hydrochemické mapy v mierke 1:50 000, P. Malík, Štátny geologický ústav Dionýza Štúra, Bratislava, 2001</w:t>
      </w:r>
    </w:p>
    <w:p w14:paraId="15D30C1D" w14:textId="77777777" w:rsidR="00227ED6" w:rsidRPr="00ED741D" w:rsidRDefault="00227ED6" w:rsidP="00105784">
      <w:pPr>
        <w:shd w:val="clear" w:color="auto" w:fill="FFFFFF"/>
        <w:spacing w:before="120"/>
        <w:jc w:val="both"/>
        <w:rPr>
          <w:rFonts w:ascii="Arial" w:hAnsi="Arial" w:cs="Arial"/>
          <w:sz w:val="22"/>
          <w:szCs w:val="22"/>
        </w:rPr>
      </w:pPr>
      <w:r w:rsidRPr="00ED741D">
        <w:rPr>
          <w:rFonts w:ascii="Arial" w:hAnsi="Arial" w:cs="Arial"/>
          <w:sz w:val="22"/>
          <w:szCs w:val="22"/>
        </w:rPr>
        <w:t>Hydrologická ročenka – Podzemné vody 2020, SHMÚ, Bratislava, 2021</w:t>
      </w:r>
    </w:p>
    <w:p w14:paraId="5C847785" w14:textId="77777777" w:rsidR="00227ED6" w:rsidRPr="00ED741D" w:rsidRDefault="00227ED6" w:rsidP="00105784">
      <w:pPr>
        <w:shd w:val="clear" w:color="auto" w:fill="FFFFFF"/>
        <w:jc w:val="both"/>
        <w:rPr>
          <w:rFonts w:ascii="Arial" w:hAnsi="Arial" w:cs="Arial"/>
          <w:sz w:val="22"/>
          <w:szCs w:val="22"/>
        </w:rPr>
      </w:pPr>
      <w:r w:rsidRPr="00ED741D">
        <w:rPr>
          <w:rFonts w:ascii="Arial" w:hAnsi="Arial" w:cs="Arial"/>
          <w:sz w:val="22"/>
          <w:szCs w:val="22"/>
        </w:rPr>
        <w:t>Hydrologická ročenka – Povrchové vody 2019, SHMÚ, Bratislava, 2020</w:t>
      </w:r>
    </w:p>
    <w:p w14:paraId="60EA11FD" w14:textId="77777777" w:rsidR="00227ED6" w:rsidRDefault="00227ED6" w:rsidP="00105784">
      <w:pPr>
        <w:shd w:val="clear" w:color="auto" w:fill="FFFFFF"/>
        <w:spacing w:before="120"/>
        <w:jc w:val="both"/>
        <w:rPr>
          <w:rFonts w:ascii="Arial" w:hAnsi="Arial" w:cs="Arial"/>
          <w:sz w:val="22"/>
          <w:szCs w:val="22"/>
        </w:rPr>
      </w:pPr>
      <w:r w:rsidRPr="00ED741D">
        <w:rPr>
          <w:rFonts w:ascii="Arial" w:hAnsi="Arial" w:cs="Arial"/>
          <w:sz w:val="22"/>
          <w:szCs w:val="22"/>
        </w:rPr>
        <w:t>Kvalita podzemných vôd na Slovensku 2019, SHMÚ Bratislava, 2020</w:t>
      </w:r>
    </w:p>
    <w:p w14:paraId="0EC10D9A" w14:textId="77777777" w:rsidR="00227ED6" w:rsidRPr="00ED741D" w:rsidRDefault="00227ED6" w:rsidP="00105784">
      <w:pPr>
        <w:shd w:val="clear" w:color="auto" w:fill="FFFFFF"/>
        <w:spacing w:before="120"/>
        <w:jc w:val="both"/>
        <w:rPr>
          <w:rFonts w:ascii="Arial" w:hAnsi="Arial" w:cs="Arial"/>
          <w:sz w:val="22"/>
          <w:szCs w:val="22"/>
        </w:rPr>
      </w:pPr>
      <w:r w:rsidRPr="00ED741D">
        <w:rPr>
          <w:rFonts w:ascii="Arial" w:hAnsi="Arial" w:cs="Arial"/>
          <w:sz w:val="22"/>
          <w:szCs w:val="22"/>
        </w:rPr>
        <w:t>Mapa Inžinierskogeologických rajónov Slovenska, M. Hrašna, A. Klukanová, Atlas krajiny SR, 2002, M 1: 50000 a P. Liška, M 1:50000, Štátny geologický ústav Dionýza Štúra, Bratislava, 2017</w:t>
      </w:r>
    </w:p>
    <w:p w14:paraId="1F3375A2" w14:textId="77777777" w:rsidR="00227ED6" w:rsidRPr="00ED741D" w:rsidRDefault="00227ED6" w:rsidP="00105784">
      <w:pPr>
        <w:shd w:val="clear" w:color="auto" w:fill="FFFFFF"/>
        <w:spacing w:before="120"/>
        <w:jc w:val="both"/>
        <w:rPr>
          <w:rFonts w:ascii="Arial" w:hAnsi="Arial" w:cs="Arial"/>
          <w:sz w:val="22"/>
          <w:szCs w:val="22"/>
        </w:rPr>
      </w:pPr>
      <w:r w:rsidRPr="00ED741D">
        <w:rPr>
          <w:rFonts w:ascii="Arial" w:hAnsi="Arial" w:cs="Arial"/>
          <w:sz w:val="22"/>
          <w:szCs w:val="22"/>
        </w:rPr>
        <w:t>Mapa Nerastné suroviny Slovenska, J. Zuberec, M. Tréger, J. Lexa a P. Baláž, M 1:500000, Štátny geologický ústav Dionýza Štúra, Bratislava, 2004</w:t>
      </w:r>
    </w:p>
    <w:p w14:paraId="14349388" w14:textId="77777777" w:rsidR="00227ED6" w:rsidRPr="00ED741D" w:rsidRDefault="00227ED6" w:rsidP="00105784">
      <w:pPr>
        <w:shd w:val="clear" w:color="auto" w:fill="FFFFFF"/>
        <w:spacing w:before="120"/>
        <w:jc w:val="both"/>
        <w:rPr>
          <w:rFonts w:ascii="Arial" w:hAnsi="Arial" w:cs="Arial"/>
          <w:sz w:val="22"/>
          <w:szCs w:val="22"/>
        </w:rPr>
      </w:pPr>
      <w:r w:rsidRPr="00ED741D">
        <w:rPr>
          <w:rFonts w:ascii="Arial" w:hAnsi="Arial" w:cs="Arial"/>
          <w:sz w:val="22"/>
          <w:szCs w:val="22"/>
        </w:rPr>
        <w:t>Podrobný inžinierskogeologický prieskum Bratislava – Galvaniho 6 – rozšírenie haly, Drill s.r.o., Bratislava, 2019</w:t>
      </w:r>
    </w:p>
    <w:p w14:paraId="400C8D6A" w14:textId="77777777" w:rsidR="00227ED6" w:rsidRPr="00ED741D" w:rsidRDefault="00227ED6" w:rsidP="00105784">
      <w:pPr>
        <w:shd w:val="clear" w:color="auto" w:fill="FFFFFF"/>
        <w:spacing w:before="120"/>
        <w:jc w:val="both"/>
        <w:rPr>
          <w:rFonts w:ascii="Arial" w:hAnsi="Arial" w:cs="Arial"/>
          <w:sz w:val="22"/>
          <w:szCs w:val="22"/>
        </w:rPr>
      </w:pPr>
      <w:r w:rsidRPr="00ED741D">
        <w:rPr>
          <w:rFonts w:ascii="Arial" w:hAnsi="Arial" w:cs="Arial"/>
          <w:sz w:val="22"/>
          <w:szCs w:val="22"/>
        </w:rPr>
        <w:t>Prehľadná geologická mapa kvartéru Slovenskej republiky M 1:200000, J. Maglay et al., Štátny geologický ústav Dionýza Štúra, Bratislava, 2011</w:t>
      </w:r>
    </w:p>
    <w:p w14:paraId="3C9A0083" w14:textId="77777777" w:rsidR="00227ED6" w:rsidRPr="00253FCC" w:rsidRDefault="00227ED6" w:rsidP="00227ED6">
      <w:pPr>
        <w:shd w:val="clear" w:color="auto" w:fill="FFFFFF"/>
        <w:spacing w:before="120"/>
        <w:jc w:val="both"/>
        <w:rPr>
          <w:rFonts w:ascii="Arial" w:hAnsi="Arial" w:cs="Arial"/>
          <w:sz w:val="22"/>
          <w:szCs w:val="22"/>
        </w:rPr>
      </w:pPr>
      <w:r w:rsidRPr="00253FCC">
        <w:rPr>
          <w:rFonts w:ascii="Arial" w:hAnsi="Arial" w:cs="Arial"/>
          <w:sz w:val="22"/>
          <w:szCs w:val="22"/>
        </w:rPr>
        <w:t>Program hospodárskeho a sociálneho rozvoja Hlavného mesta SR Bratislavy, Kilián, J., Horanská, E., Vlasák, T., Kulka, D., Vozáb, J., Adámek, P., Bleha, B., Buček, J. Korec, P. , Horňák, M., Tremboš, P., 2010</w:t>
      </w:r>
    </w:p>
    <w:p w14:paraId="7B1275BB" w14:textId="77777777" w:rsidR="00227ED6" w:rsidRPr="00ED741D" w:rsidRDefault="00227ED6" w:rsidP="00105784">
      <w:pPr>
        <w:shd w:val="clear" w:color="auto" w:fill="FFFFFF"/>
        <w:spacing w:before="120"/>
        <w:jc w:val="both"/>
        <w:rPr>
          <w:rFonts w:ascii="Arial" w:hAnsi="Arial" w:cs="Arial"/>
          <w:sz w:val="22"/>
          <w:szCs w:val="22"/>
        </w:rPr>
      </w:pPr>
      <w:r w:rsidRPr="00ED741D">
        <w:rPr>
          <w:rFonts w:ascii="Arial" w:hAnsi="Arial" w:cs="Arial"/>
          <w:sz w:val="22"/>
          <w:szCs w:val="22"/>
        </w:rPr>
        <w:t>Regionálne geologické členenie Slovenska M 1:500000, D. Vass et al., Štátny geologický ústav Dionýza Štúra, Bratislava, 1988</w:t>
      </w:r>
    </w:p>
    <w:p w14:paraId="0E3B8677" w14:textId="77777777" w:rsidR="00227ED6" w:rsidRPr="00ED741D" w:rsidRDefault="00227ED6" w:rsidP="00105784">
      <w:pPr>
        <w:shd w:val="clear" w:color="auto" w:fill="FFFFFF"/>
        <w:spacing w:before="120" w:after="120"/>
        <w:jc w:val="both"/>
        <w:rPr>
          <w:rFonts w:ascii="Arial" w:hAnsi="Arial" w:cs="Arial"/>
          <w:sz w:val="22"/>
          <w:szCs w:val="22"/>
        </w:rPr>
      </w:pPr>
      <w:r w:rsidRPr="00ED741D">
        <w:rPr>
          <w:rFonts w:ascii="Arial" w:hAnsi="Arial" w:cs="Arial"/>
          <w:sz w:val="22"/>
          <w:szCs w:val="22"/>
        </w:rPr>
        <w:t>Ročenky klimatologických pozorovaní meteorologických staníc na území SR v roku 2016-2020, SHMÚ, Bratislava, 2016-2020</w:t>
      </w:r>
    </w:p>
    <w:p w14:paraId="1CA23CB4" w14:textId="77777777" w:rsidR="00227ED6" w:rsidRDefault="00227ED6" w:rsidP="00105784">
      <w:pPr>
        <w:shd w:val="clear" w:color="auto" w:fill="FFFFFF"/>
        <w:spacing w:before="120"/>
        <w:jc w:val="both"/>
        <w:rPr>
          <w:rFonts w:ascii="Arial" w:hAnsi="Arial" w:cs="Arial"/>
          <w:sz w:val="22"/>
          <w:szCs w:val="22"/>
        </w:rPr>
      </w:pPr>
      <w:r w:rsidRPr="00247B42">
        <w:rPr>
          <w:rFonts w:ascii="Arial" w:hAnsi="Arial" w:cs="Arial"/>
          <w:sz w:val="22"/>
          <w:szCs w:val="22"/>
        </w:rPr>
        <w:t>Správ</w:t>
      </w:r>
      <w:r>
        <w:rPr>
          <w:rFonts w:ascii="Arial" w:hAnsi="Arial" w:cs="Arial"/>
          <w:sz w:val="22"/>
          <w:szCs w:val="22"/>
        </w:rPr>
        <w:t>a</w:t>
      </w:r>
      <w:r w:rsidRPr="00247B42">
        <w:rPr>
          <w:rFonts w:ascii="Arial" w:hAnsi="Arial" w:cs="Arial"/>
          <w:sz w:val="22"/>
          <w:szCs w:val="22"/>
        </w:rPr>
        <w:t xml:space="preserve"> o kvalite ovzdušia v SR – 2019 a</w:t>
      </w:r>
      <w:r>
        <w:rPr>
          <w:rFonts w:ascii="Arial" w:hAnsi="Arial" w:cs="Arial"/>
          <w:sz w:val="22"/>
          <w:szCs w:val="22"/>
        </w:rPr>
        <w:t> </w:t>
      </w:r>
      <w:r w:rsidRPr="00247B42">
        <w:rPr>
          <w:rFonts w:ascii="Arial" w:hAnsi="Arial" w:cs="Arial"/>
          <w:sz w:val="22"/>
          <w:szCs w:val="22"/>
        </w:rPr>
        <w:t>2020</w:t>
      </w:r>
      <w:r>
        <w:rPr>
          <w:rFonts w:ascii="Arial" w:hAnsi="Arial" w:cs="Arial"/>
          <w:sz w:val="22"/>
          <w:szCs w:val="22"/>
        </w:rPr>
        <w:t>,</w:t>
      </w:r>
      <w:r w:rsidRPr="00247B42">
        <w:rPr>
          <w:rFonts w:ascii="Arial" w:hAnsi="Arial" w:cs="Arial"/>
          <w:sz w:val="22"/>
          <w:szCs w:val="22"/>
        </w:rPr>
        <w:t xml:space="preserve"> </w:t>
      </w:r>
      <w:r w:rsidRPr="00ED741D">
        <w:rPr>
          <w:rFonts w:ascii="Arial" w:hAnsi="Arial" w:cs="Arial"/>
          <w:sz w:val="22"/>
          <w:szCs w:val="22"/>
        </w:rPr>
        <w:t>SHMÚ, Bratislava, 2020</w:t>
      </w:r>
      <w:r>
        <w:rPr>
          <w:rFonts w:ascii="Arial" w:hAnsi="Arial" w:cs="Arial"/>
          <w:sz w:val="22"/>
          <w:szCs w:val="22"/>
        </w:rPr>
        <w:t>,2021</w:t>
      </w:r>
    </w:p>
    <w:p w14:paraId="16FF8515" w14:textId="77777777" w:rsidR="00227ED6" w:rsidRPr="00ED741D" w:rsidRDefault="00227ED6" w:rsidP="00105784">
      <w:pPr>
        <w:shd w:val="clear" w:color="auto" w:fill="FFFFFF"/>
        <w:spacing w:before="120"/>
        <w:jc w:val="both"/>
        <w:rPr>
          <w:rFonts w:ascii="Arial" w:hAnsi="Arial" w:cs="Arial"/>
          <w:sz w:val="22"/>
          <w:szCs w:val="22"/>
        </w:rPr>
      </w:pPr>
      <w:r w:rsidRPr="00ED741D">
        <w:rPr>
          <w:rFonts w:ascii="Arial" w:hAnsi="Arial" w:cs="Arial"/>
          <w:sz w:val="22"/>
          <w:szCs w:val="22"/>
        </w:rPr>
        <w:t>STN 73 0036 - Seizmické zaťaženia stavebných konštrukcií</w:t>
      </w:r>
    </w:p>
    <w:p w14:paraId="63A1393D" w14:textId="77777777" w:rsidR="00227ED6" w:rsidRPr="00ED741D" w:rsidRDefault="00227ED6" w:rsidP="00105784">
      <w:pPr>
        <w:shd w:val="clear" w:color="auto" w:fill="FFFFFF"/>
        <w:spacing w:before="120"/>
        <w:jc w:val="both"/>
        <w:rPr>
          <w:rFonts w:ascii="Arial" w:hAnsi="Arial" w:cs="Arial"/>
          <w:sz w:val="22"/>
          <w:szCs w:val="22"/>
        </w:rPr>
      </w:pPr>
      <w:r w:rsidRPr="00ED741D">
        <w:rPr>
          <w:rFonts w:ascii="Arial" w:hAnsi="Arial" w:cs="Arial"/>
          <w:sz w:val="22"/>
          <w:szCs w:val="22"/>
        </w:rPr>
        <w:t>STN EN 1998-1/NA/Z2 Eurokód 8 „Navrhovanie konštrukcií na seizmickú odolnosť“</w:t>
      </w:r>
    </w:p>
    <w:p w14:paraId="3B1DC55B" w14:textId="77777777" w:rsidR="00227ED6" w:rsidRPr="00ED741D" w:rsidRDefault="00227ED6" w:rsidP="00105784">
      <w:pPr>
        <w:shd w:val="clear" w:color="auto" w:fill="FFFFFF"/>
        <w:spacing w:before="120"/>
        <w:jc w:val="both"/>
        <w:rPr>
          <w:rFonts w:ascii="Arial" w:hAnsi="Arial" w:cs="Arial"/>
          <w:sz w:val="22"/>
          <w:szCs w:val="22"/>
        </w:rPr>
      </w:pPr>
      <w:r w:rsidRPr="00247B42">
        <w:rPr>
          <w:rFonts w:ascii="Arial" w:hAnsi="Arial" w:cs="Arial"/>
          <w:sz w:val="22"/>
          <w:szCs w:val="22"/>
        </w:rPr>
        <w:t>Štúdia demografického potenciálu hlavného mesta Slovenskej republiky Bratislavy do roku 2050</w:t>
      </w:r>
      <w:r>
        <w:rPr>
          <w:rFonts w:ascii="Arial" w:hAnsi="Arial" w:cs="Arial"/>
          <w:sz w:val="22"/>
          <w:szCs w:val="22"/>
        </w:rPr>
        <w:t>,</w:t>
      </w:r>
      <w:r w:rsidRPr="00681868">
        <w:rPr>
          <w:rFonts w:ascii="Arial" w:hAnsi="Arial" w:cs="Arial"/>
          <w:sz w:val="22"/>
          <w:szCs w:val="22"/>
        </w:rPr>
        <w:t xml:space="preserve"> Branislav Bleha, Branislav Šprocha, Boris Vaňo</w:t>
      </w:r>
      <w:r>
        <w:rPr>
          <w:rFonts w:ascii="Arial" w:hAnsi="Arial" w:cs="Arial"/>
          <w:sz w:val="22"/>
          <w:szCs w:val="22"/>
        </w:rPr>
        <w:t xml:space="preserve">, </w:t>
      </w:r>
      <w:r w:rsidRPr="00681868">
        <w:rPr>
          <w:rFonts w:ascii="Arial" w:hAnsi="Arial" w:cs="Arial"/>
          <w:sz w:val="22"/>
          <w:szCs w:val="22"/>
        </w:rPr>
        <w:t xml:space="preserve"> INFOSTAT</w:t>
      </w:r>
      <w:r>
        <w:rPr>
          <w:rFonts w:ascii="Arial" w:hAnsi="Arial" w:cs="Arial"/>
          <w:sz w:val="22"/>
          <w:szCs w:val="22"/>
        </w:rPr>
        <w:t xml:space="preserve">, </w:t>
      </w:r>
      <w:r w:rsidRPr="00681868">
        <w:rPr>
          <w:rFonts w:ascii="Arial" w:hAnsi="Arial" w:cs="Arial"/>
          <w:sz w:val="22"/>
          <w:szCs w:val="22"/>
        </w:rPr>
        <w:t>2017</w:t>
      </w:r>
    </w:p>
    <w:p w14:paraId="002918FE" w14:textId="77777777" w:rsidR="00227ED6" w:rsidRDefault="00227ED6" w:rsidP="00105784">
      <w:pPr>
        <w:shd w:val="clear" w:color="auto" w:fill="FFFFFF"/>
        <w:spacing w:before="120"/>
        <w:jc w:val="both"/>
        <w:rPr>
          <w:rFonts w:ascii="Arial" w:hAnsi="Arial" w:cs="Arial"/>
          <w:sz w:val="22"/>
          <w:szCs w:val="22"/>
        </w:rPr>
      </w:pPr>
      <w:r w:rsidRPr="00247B42">
        <w:rPr>
          <w:rFonts w:ascii="Arial" w:hAnsi="Arial" w:cs="Arial"/>
          <w:sz w:val="22"/>
          <w:szCs w:val="22"/>
        </w:rPr>
        <w:t>Štúdia kvality ovzdušia v aglomerácii Bratislava, SHMÚ, 2020</w:t>
      </w:r>
    </w:p>
    <w:p w14:paraId="43B06F16" w14:textId="77777777" w:rsidR="00227ED6" w:rsidRPr="00ED741D" w:rsidRDefault="00227ED6" w:rsidP="00105784">
      <w:pPr>
        <w:shd w:val="clear" w:color="auto" w:fill="FFFFFF"/>
        <w:spacing w:before="120"/>
        <w:jc w:val="both"/>
        <w:rPr>
          <w:rFonts w:ascii="Arial" w:hAnsi="Arial" w:cs="Arial"/>
          <w:sz w:val="22"/>
          <w:szCs w:val="22"/>
        </w:rPr>
      </w:pPr>
      <w:r w:rsidRPr="00ED741D">
        <w:rPr>
          <w:rFonts w:ascii="Arial" w:hAnsi="Arial" w:cs="Arial"/>
          <w:sz w:val="22"/>
          <w:szCs w:val="22"/>
        </w:rPr>
        <w:t>Vyhodnotenie čerpacích skúšok na vrtoch (HN-1, HN-2, HN-3) na lokalite Bratislava – Trnávka, Vodné zdroje n. p., Bratislava, 1981</w:t>
      </w:r>
    </w:p>
    <w:p w14:paraId="62A27C47" w14:textId="77777777" w:rsidR="00227ED6" w:rsidRPr="00580CBA" w:rsidRDefault="00227ED6" w:rsidP="00227ED6">
      <w:pPr>
        <w:shd w:val="clear" w:color="auto" w:fill="FFFFFF"/>
        <w:spacing w:before="120"/>
        <w:jc w:val="both"/>
        <w:rPr>
          <w:rFonts w:ascii="Arial" w:hAnsi="Arial" w:cs="Arial"/>
          <w:sz w:val="22"/>
          <w:szCs w:val="22"/>
        </w:rPr>
      </w:pPr>
      <w:r w:rsidRPr="00580CBA">
        <w:rPr>
          <w:rFonts w:ascii="Arial" w:hAnsi="Arial" w:cs="Arial"/>
          <w:sz w:val="22"/>
          <w:szCs w:val="22"/>
        </w:rPr>
        <w:t>Zdravotnícka ročenka Slovenskej republiky, Národné centrum zdravotníckych informácií, 2020</w:t>
      </w:r>
    </w:p>
    <w:p w14:paraId="2224B00C" w14:textId="77777777" w:rsidR="006D7B3B" w:rsidRPr="00ED741D" w:rsidRDefault="006D7B3B" w:rsidP="00F56995">
      <w:pPr>
        <w:widowControl/>
        <w:jc w:val="both"/>
        <w:rPr>
          <w:rFonts w:ascii="Arial" w:hAnsi="Arial" w:cs="Arial"/>
          <w:i/>
          <w:iCs/>
          <w:sz w:val="22"/>
          <w:szCs w:val="22"/>
          <w:lang w:eastAsia="en-US"/>
        </w:rPr>
      </w:pPr>
    </w:p>
    <w:p w14:paraId="62F094D1" w14:textId="2FB3AC54" w:rsidR="00F56995" w:rsidRPr="00ED741D" w:rsidRDefault="00BA02DE" w:rsidP="00F56995">
      <w:pPr>
        <w:widowControl/>
        <w:jc w:val="both"/>
        <w:rPr>
          <w:rFonts w:ascii="Arial" w:hAnsi="Arial" w:cs="Arial"/>
          <w:b/>
          <w:bCs/>
          <w:i/>
          <w:iCs/>
          <w:sz w:val="22"/>
          <w:szCs w:val="22"/>
          <w:lang w:eastAsia="en-US"/>
        </w:rPr>
      </w:pPr>
      <w:r w:rsidRPr="00ED741D">
        <w:rPr>
          <w:rFonts w:ascii="Arial" w:hAnsi="Arial" w:cs="Arial"/>
          <w:b/>
          <w:bCs/>
          <w:i/>
          <w:iCs/>
          <w:sz w:val="22"/>
          <w:szCs w:val="22"/>
          <w:lang w:eastAsia="en-US"/>
        </w:rPr>
        <w:t>Internetové zdroje</w:t>
      </w:r>
    </w:p>
    <w:p w14:paraId="42DC6B90" w14:textId="15338893" w:rsidR="00F56995" w:rsidRDefault="00BA02DE" w:rsidP="00F56995">
      <w:pPr>
        <w:widowControl/>
        <w:jc w:val="both"/>
        <w:rPr>
          <w:rFonts w:ascii="Arial" w:hAnsi="Arial" w:cs="Arial"/>
          <w:i/>
          <w:iCs/>
          <w:sz w:val="22"/>
          <w:szCs w:val="22"/>
          <w:lang w:eastAsia="en-US"/>
        </w:rPr>
      </w:pPr>
      <w:r w:rsidRPr="00ED741D">
        <w:rPr>
          <w:rFonts w:ascii="Arial" w:hAnsi="Arial" w:cs="Arial"/>
          <w:i/>
          <w:iCs/>
          <w:sz w:val="22"/>
          <w:szCs w:val="22"/>
          <w:lang w:eastAsia="en-US"/>
        </w:rPr>
        <w:t>https://www.ruzinov.sk/sk/content/view/pamatihodnosti#subor_obytnych_domov, Pamätihodnosti, Ružinov (Online)</w:t>
      </w:r>
    </w:p>
    <w:p w14:paraId="750B24AC" w14:textId="71EC1510" w:rsidR="00D57DAC" w:rsidRPr="00ED741D" w:rsidRDefault="00D57DAC" w:rsidP="00F56995">
      <w:pPr>
        <w:widowControl/>
        <w:jc w:val="both"/>
        <w:rPr>
          <w:rFonts w:ascii="Arial" w:hAnsi="Arial" w:cs="Arial"/>
          <w:i/>
          <w:iCs/>
          <w:sz w:val="22"/>
          <w:szCs w:val="22"/>
          <w:lang w:eastAsia="en-US"/>
        </w:rPr>
      </w:pPr>
      <w:r w:rsidRPr="00D57DAC">
        <w:rPr>
          <w:rFonts w:ascii="Arial" w:hAnsi="Arial" w:cs="Arial"/>
          <w:i/>
          <w:iCs/>
          <w:sz w:val="22"/>
          <w:szCs w:val="22"/>
          <w:lang w:eastAsia="en-US"/>
        </w:rPr>
        <w:lastRenderedPageBreak/>
        <w:t>https://www.scitanie.sk/obyvatelia/zakladne-vysledky/pocet-obyvatelov/SR/SK0/SR</w:t>
      </w:r>
      <w:r>
        <w:rPr>
          <w:rFonts w:ascii="Arial" w:hAnsi="Arial" w:cs="Arial"/>
          <w:i/>
          <w:iCs/>
          <w:sz w:val="22"/>
          <w:szCs w:val="22"/>
          <w:lang w:eastAsia="en-US"/>
        </w:rPr>
        <w:t>, Sčítanie obyvateľov, domov a bytov, Obyvatelia – základné výsledky (Online)</w:t>
      </w:r>
    </w:p>
    <w:p w14:paraId="4349F0ED" w14:textId="77777777" w:rsidR="00BA02DE" w:rsidRPr="004A7717" w:rsidRDefault="00BA02DE" w:rsidP="00F56995">
      <w:pPr>
        <w:widowControl/>
        <w:jc w:val="both"/>
        <w:rPr>
          <w:rFonts w:ascii="Arial" w:hAnsi="Arial" w:cs="Arial"/>
          <w:i/>
          <w:iCs/>
          <w:color w:val="FF0000"/>
          <w:sz w:val="22"/>
          <w:szCs w:val="24"/>
          <w:lang w:eastAsia="en-US"/>
        </w:rPr>
      </w:pPr>
    </w:p>
    <w:p w14:paraId="4DD7D6BD" w14:textId="209A2B16" w:rsidR="00E65CA9" w:rsidRPr="004A7717" w:rsidRDefault="00E65CA9" w:rsidP="008C6F96">
      <w:pPr>
        <w:pStyle w:val="Nadpis2"/>
      </w:pPr>
      <w:bookmarkStart w:id="452" w:name="_Toc495993010"/>
      <w:bookmarkStart w:id="453" w:name="_Toc93916869"/>
      <w:r w:rsidRPr="004A7717">
        <w:t>Zoznam vyjadrení a stanovísk vyžiadaných k navrhovanej činnosti pred vypracovaním zámeru</w:t>
      </w:r>
      <w:bookmarkEnd w:id="452"/>
      <w:bookmarkEnd w:id="453"/>
    </w:p>
    <w:p w14:paraId="39B630D4" w14:textId="1D7BFCB9" w:rsidR="005A025B" w:rsidRDefault="00E65CA9" w:rsidP="006F316B">
      <w:pPr>
        <w:pStyle w:val="A-Text11"/>
      </w:pPr>
      <w:r w:rsidRPr="005A025B">
        <w:t xml:space="preserve">V rámci prípravy navrhovanej činnosti investor konzultoval podmienky realizácie s príslušnými orgánmi verejnej správy a správcami inžinierskych sietí o podmienkach realizácie. V tejto etape prípravy však neboli  vyžiadané k navrhovanej činnosti vyjadrenia alebo stanoviská dotknutých orgánov.  </w:t>
      </w:r>
    </w:p>
    <w:p w14:paraId="389B1887" w14:textId="3E562776" w:rsidR="005A025B" w:rsidRPr="005A025B" w:rsidRDefault="005A025B" w:rsidP="006F316B">
      <w:pPr>
        <w:pStyle w:val="A-Text11"/>
      </w:pPr>
      <w:r>
        <w:t xml:space="preserve">Navrhovateľ </w:t>
      </w:r>
      <w:r w:rsidR="00E82F59">
        <w:t xml:space="preserve">požiadal  </w:t>
      </w:r>
      <w:r w:rsidR="00CF3B4A">
        <w:t xml:space="preserve">Magistrát hlavného </w:t>
      </w:r>
      <w:r w:rsidR="00E82F59">
        <w:t>mest</w:t>
      </w:r>
      <w:r w:rsidR="00CF3B4A">
        <w:t xml:space="preserve">a SR Bratislavy o určenie rozsahu dopravno-kapacitného posúdenia. </w:t>
      </w:r>
      <w:r w:rsidR="00E82F59">
        <w:t xml:space="preserve"> </w:t>
      </w:r>
      <w:r w:rsidR="0067206F">
        <w:t xml:space="preserve">V odpovedi listom č. </w:t>
      </w:r>
      <w:r w:rsidR="00CC271D">
        <w:t xml:space="preserve">MAGS </w:t>
      </w:r>
      <w:r w:rsidR="00C52F6A">
        <w:t xml:space="preserve">/ODI/62866/2021 zo dňa </w:t>
      </w:r>
      <w:r w:rsidR="00F66633">
        <w:t xml:space="preserve">6.10.2021 sa uvádza, že </w:t>
      </w:r>
      <w:r w:rsidR="00911493">
        <w:t xml:space="preserve">vzhľadom na </w:t>
      </w:r>
      <w:r w:rsidR="00DD5C19">
        <w:t xml:space="preserve">uvedený počet parkovacích miest </w:t>
      </w:r>
      <w:r w:rsidR="009B5535">
        <w:t xml:space="preserve">dokladovať dopravno-kapacitné posúdenie. </w:t>
      </w:r>
      <w:r w:rsidR="00DD5C19">
        <w:t xml:space="preserve"> </w:t>
      </w:r>
    </w:p>
    <w:p w14:paraId="6C55EBD8" w14:textId="136F8E63" w:rsidR="00E65CA9" w:rsidRPr="004A7717" w:rsidRDefault="00E65CA9" w:rsidP="006F316B">
      <w:pPr>
        <w:pStyle w:val="A-Text11"/>
        <w:rPr>
          <w:color w:val="FF0000"/>
        </w:rPr>
      </w:pPr>
      <w:r w:rsidRPr="004A7717">
        <w:rPr>
          <w:color w:val="FF0000"/>
        </w:rPr>
        <w:t xml:space="preserve"> </w:t>
      </w:r>
    </w:p>
    <w:p w14:paraId="09DD9D69" w14:textId="51C7E7A1" w:rsidR="00E65CA9" w:rsidRPr="004A7717" w:rsidRDefault="00E65CA9" w:rsidP="008C6F96">
      <w:pPr>
        <w:pStyle w:val="Nadpis2"/>
      </w:pPr>
      <w:bookmarkStart w:id="454" w:name="_Toc495993011"/>
      <w:bookmarkStart w:id="455" w:name="_Toc93916870"/>
      <w:r w:rsidRPr="004A7717">
        <w:t>Ďalšie doplňujúce informácie o doterajšom postupe prípravy zámeru a posudzovaní jeho predpokladaných  vplyvov</w:t>
      </w:r>
      <w:bookmarkEnd w:id="451"/>
      <w:bookmarkEnd w:id="454"/>
      <w:bookmarkEnd w:id="455"/>
    </w:p>
    <w:p w14:paraId="15EC73C1" w14:textId="313B7DD9" w:rsidR="00E65CA9" w:rsidRPr="00E82F59" w:rsidRDefault="00E65CA9" w:rsidP="006F316B">
      <w:pPr>
        <w:pStyle w:val="A-Text11"/>
        <w:rPr>
          <w:bCs/>
          <w:kern w:val="32"/>
        </w:rPr>
      </w:pPr>
      <w:r w:rsidRPr="00E82F59">
        <w:t>Investor zabezpečil vypracovanie dokumentácie pre územné rozhodnutie, ktorá b</w:t>
      </w:r>
      <w:r w:rsidR="000B0D12" w:rsidRPr="00E82F59">
        <w:t>ude</w:t>
      </w:r>
      <w:r w:rsidRPr="00E82F59">
        <w:t xml:space="preserve"> podkladom pre hodnotenie v rámci </w:t>
      </w:r>
      <w:r w:rsidR="000B0D12" w:rsidRPr="00E82F59">
        <w:t xml:space="preserve">správy o hodnotení </w:t>
      </w:r>
      <w:r w:rsidRPr="00E82F59">
        <w:t xml:space="preserve"> podľa zákona č. 24/2006 Z.z. o posudzovaní vplyvov na životné prostredie.  </w:t>
      </w:r>
      <w:r w:rsidRPr="00E82F59">
        <w:rPr>
          <w:bCs/>
          <w:kern w:val="32"/>
        </w:rPr>
        <w:t xml:space="preserve"> </w:t>
      </w:r>
    </w:p>
    <w:p w14:paraId="6C885FB1" w14:textId="77777777" w:rsidR="000B0D12" w:rsidRPr="00E82F59" w:rsidRDefault="000B0D12" w:rsidP="006F316B">
      <w:pPr>
        <w:pStyle w:val="A-Text11"/>
        <w:rPr>
          <w:i/>
          <w:iCs/>
        </w:rPr>
      </w:pPr>
      <w:r w:rsidRPr="00E82F59">
        <w:t>Povoľujúci orgán, ktorý rozhoduje o povolení činnosti, nemôže vydať rozhodnutie bez ukončeného procesu posudzovania vplyvov navrhovanej činnosti na životné prostredie v zmysle zákona č. 24/2006 Z.z., ktorý je účinný od 1.2.2006.</w:t>
      </w:r>
    </w:p>
    <w:p w14:paraId="46CBFE90" w14:textId="77777777" w:rsidR="000B0D12" w:rsidRPr="00E82F59" w:rsidRDefault="000B0D12" w:rsidP="006F316B">
      <w:pPr>
        <w:pStyle w:val="A-Text11"/>
      </w:pPr>
      <w:r w:rsidRPr="00E82F59">
        <w:t>Pri stavbách ide o územné rozhodnutie, ako prvé povolenie činnosti v zmysle vyššie uvedeného.</w:t>
      </w:r>
    </w:p>
    <w:p w14:paraId="1AF1BE7F" w14:textId="77777777" w:rsidR="000B0D12" w:rsidRPr="00E82F59" w:rsidRDefault="000B0D12" w:rsidP="006F316B">
      <w:pPr>
        <w:pStyle w:val="A-Text11"/>
      </w:pPr>
      <w:r w:rsidRPr="00E82F59">
        <w:t xml:space="preserve">Činnosti, ktoré je potrebné posudzovať podľa zákona č. 24/2006 Z.z.  sú uvedené v prílohe č. 8 k zákonu. V tejto prílohe sú uvedené prahové hodnoty na základe ktorých sa navrhovaná činnosť posudzuje v zisťovacom konaní, alebo je potrebné absolvovať povinné hodnotenie. </w:t>
      </w:r>
    </w:p>
    <w:p w14:paraId="0B23C7FF" w14:textId="4078B945" w:rsidR="00320C99" w:rsidRPr="00320C99" w:rsidRDefault="00320C99" w:rsidP="006F316B">
      <w:pPr>
        <w:pStyle w:val="A-Text11"/>
      </w:pPr>
      <w:r w:rsidRPr="00320C99">
        <w:t xml:space="preserve">Podľa §18, zákona č. 24/2006 Z.z. o posudzovaní vplyvov na životné prostredie v znení neskorších predpisov, navrhovaná činnosť uvedená v prílohe č. 8  je na základe prahových hodnôt predmetom zisťovacieho konania, pretože v obidvoch navrhovaných variantoch kapacitne bude obsahovať od 100 do 500 parkovacích stojísk v celkovom </w:t>
      </w:r>
      <w:r w:rsidR="00002B9D" w:rsidRPr="00002B9D">
        <w:t>počte 137 PM.</w:t>
      </w:r>
    </w:p>
    <w:p w14:paraId="4725BBFE" w14:textId="6B6F24EF" w:rsidR="000B0D12" w:rsidRPr="00E82F59" w:rsidRDefault="00320C99" w:rsidP="006F316B">
      <w:pPr>
        <w:pStyle w:val="A-Text11"/>
      </w:pPr>
      <w:r>
        <w:t>P</w:t>
      </w:r>
      <w:r w:rsidR="000B0D12" w:rsidRPr="00E82F59">
        <w:t xml:space="preserve">roces </w:t>
      </w:r>
      <w:r>
        <w:t xml:space="preserve">zisťovacieho konania </w:t>
      </w:r>
      <w:r w:rsidR="000B0D12" w:rsidRPr="00E82F59">
        <w:t xml:space="preserve"> začína doručením  „zámeru“ príslušnému orgánu. Podrobnosti o obsahu a štruktúre zámeru obsahuje príloha č. 9 k zákonu. </w:t>
      </w:r>
    </w:p>
    <w:p w14:paraId="32382C76" w14:textId="77777777" w:rsidR="000B0D12" w:rsidRPr="00FC497E" w:rsidRDefault="000B0D12" w:rsidP="006F316B">
      <w:pPr>
        <w:pStyle w:val="A-Text11"/>
      </w:pPr>
      <w:r w:rsidRPr="00FC497E">
        <w:t xml:space="preserve">Zámer podľa §22 ods. (3) musí obsahovať najmenej dve variantné riešenia a nulový variant. Nulový variant je stav, ktorý by nastal, keby sa navrhovaná činnosť nerealizovala. </w:t>
      </w:r>
    </w:p>
    <w:p w14:paraId="353FE55F" w14:textId="617D38CE" w:rsidR="000B0D12" w:rsidRPr="00FC497E" w:rsidRDefault="000B0D12" w:rsidP="006F316B">
      <w:pPr>
        <w:pStyle w:val="A-Text11"/>
      </w:pPr>
      <w:r w:rsidRPr="00FC497E">
        <w:t>Po odovzdaní zámeru na príslušný orgán, tento podľa §23 ods. (1) do sedem</w:t>
      </w:r>
      <w:r w:rsidR="00016954" w:rsidRPr="00FC497E">
        <w:t xml:space="preserve"> </w:t>
      </w:r>
      <w:r w:rsidRPr="00FC497E">
        <w:t>pracovných dní doručí zámer:</w:t>
      </w:r>
    </w:p>
    <w:p w14:paraId="6F4F34FE" w14:textId="77777777" w:rsidR="000B0D12" w:rsidRPr="00FC497E" w:rsidRDefault="000B0D12" w:rsidP="0095439F">
      <w:pPr>
        <w:widowControl/>
        <w:numPr>
          <w:ilvl w:val="0"/>
          <w:numId w:val="23"/>
        </w:numPr>
        <w:tabs>
          <w:tab w:val="num" w:pos="1134"/>
        </w:tabs>
        <w:jc w:val="both"/>
        <w:rPr>
          <w:rFonts w:ascii="Arial" w:hAnsi="Arial" w:cs="Arial"/>
          <w:i/>
          <w:iCs/>
          <w:sz w:val="22"/>
          <w:szCs w:val="22"/>
        </w:rPr>
      </w:pPr>
      <w:r w:rsidRPr="00FC497E">
        <w:rPr>
          <w:rFonts w:ascii="Arial" w:hAnsi="Arial" w:cs="Arial"/>
          <w:sz w:val="22"/>
          <w:szCs w:val="22"/>
        </w:rPr>
        <w:t xml:space="preserve">rezortnému orgánu </w:t>
      </w:r>
      <w:r w:rsidRPr="00FC497E">
        <w:rPr>
          <w:rFonts w:ascii="Arial" w:hAnsi="Arial" w:cs="Arial"/>
          <w:i/>
          <w:iCs/>
          <w:sz w:val="22"/>
          <w:szCs w:val="22"/>
        </w:rPr>
        <w:t>(príslušný ústredný orgán štátnej správy)</w:t>
      </w:r>
    </w:p>
    <w:p w14:paraId="4CB0D90D" w14:textId="77777777" w:rsidR="000B0D12" w:rsidRPr="00FC497E" w:rsidRDefault="000B0D12" w:rsidP="0095439F">
      <w:pPr>
        <w:widowControl/>
        <w:numPr>
          <w:ilvl w:val="0"/>
          <w:numId w:val="23"/>
        </w:numPr>
        <w:tabs>
          <w:tab w:val="num" w:pos="1134"/>
        </w:tabs>
        <w:jc w:val="both"/>
        <w:rPr>
          <w:rFonts w:ascii="Arial" w:hAnsi="Arial" w:cs="Arial"/>
          <w:sz w:val="22"/>
          <w:szCs w:val="22"/>
        </w:rPr>
      </w:pPr>
      <w:r w:rsidRPr="00FC497E">
        <w:rPr>
          <w:rFonts w:ascii="Arial" w:hAnsi="Arial" w:cs="Arial"/>
          <w:sz w:val="22"/>
          <w:szCs w:val="22"/>
        </w:rPr>
        <w:t xml:space="preserve">povoľujúcemu orgánu </w:t>
      </w:r>
      <w:r w:rsidRPr="00FC497E">
        <w:rPr>
          <w:rFonts w:ascii="Arial" w:hAnsi="Arial" w:cs="Arial"/>
          <w:i/>
          <w:iCs/>
          <w:sz w:val="22"/>
          <w:szCs w:val="22"/>
        </w:rPr>
        <w:t>(stavebný úrad)</w:t>
      </w:r>
    </w:p>
    <w:p w14:paraId="3783AD67" w14:textId="77777777" w:rsidR="000B0D12" w:rsidRPr="00FC497E" w:rsidRDefault="000B0D12" w:rsidP="0095439F">
      <w:pPr>
        <w:widowControl/>
        <w:numPr>
          <w:ilvl w:val="0"/>
          <w:numId w:val="23"/>
        </w:numPr>
        <w:tabs>
          <w:tab w:val="num" w:pos="1134"/>
        </w:tabs>
        <w:jc w:val="both"/>
        <w:rPr>
          <w:rFonts w:ascii="Arial" w:hAnsi="Arial" w:cs="Arial"/>
          <w:sz w:val="22"/>
          <w:szCs w:val="22"/>
        </w:rPr>
      </w:pPr>
      <w:r w:rsidRPr="00FC497E">
        <w:rPr>
          <w:rFonts w:ascii="Arial" w:hAnsi="Arial" w:cs="Arial"/>
          <w:sz w:val="22"/>
          <w:szCs w:val="22"/>
        </w:rPr>
        <w:t xml:space="preserve">dotknutému orgánu </w:t>
      </w:r>
      <w:r w:rsidRPr="00FC497E">
        <w:rPr>
          <w:rFonts w:ascii="Arial" w:hAnsi="Arial" w:cs="Arial"/>
          <w:i/>
          <w:iCs/>
          <w:sz w:val="22"/>
          <w:szCs w:val="22"/>
        </w:rPr>
        <w:t>(orgány štátnej správy, ktorých  posudok, resp. súhlas podmieňuje povolenie)</w:t>
      </w:r>
      <w:r w:rsidRPr="00FC497E">
        <w:rPr>
          <w:rFonts w:ascii="Arial" w:hAnsi="Arial" w:cs="Arial"/>
          <w:sz w:val="22"/>
          <w:szCs w:val="22"/>
        </w:rPr>
        <w:t xml:space="preserve">    </w:t>
      </w:r>
    </w:p>
    <w:p w14:paraId="51A00E8D" w14:textId="77777777" w:rsidR="000B0D12" w:rsidRPr="00FC497E" w:rsidRDefault="000B0D12" w:rsidP="0095439F">
      <w:pPr>
        <w:widowControl/>
        <w:numPr>
          <w:ilvl w:val="0"/>
          <w:numId w:val="23"/>
        </w:numPr>
        <w:tabs>
          <w:tab w:val="num" w:pos="1134"/>
        </w:tabs>
        <w:jc w:val="both"/>
        <w:rPr>
          <w:rFonts w:ascii="Arial" w:hAnsi="Arial" w:cs="Arial"/>
          <w:sz w:val="22"/>
          <w:szCs w:val="22"/>
        </w:rPr>
      </w:pPr>
      <w:r w:rsidRPr="00FC497E">
        <w:rPr>
          <w:rFonts w:ascii="Arial" w:hAnsi="Arial" w:cs="Arial"/>
          <w:sz w:val="22"/>
          <w:szCs w:val="22"/>
        </w:rPr>
        <w:lastRenderedPageBreak/>
        <w:t xml:space="preserve">dotknutej obci </w:t>
      </w:r>
      <w:r w:rsidRPr="00FC497E">
        <w:rPr>
          <w:rFonts w:ascii="Arial" w:hAnsi="Arial" w:cs="Arial"/>
          <w:i/>
          <w:iCs/>
          <w:sz w:val="22"/>
          <w:szCs w:val="22"/>
        </w:rPr>
        <w:t>(obec, ktorej územie zasiahne vplyv činnosti)</w:t>
      </w:r>
    </w:p>
    <w:p w14:paraId="045B11AA" w14:textId="217F559E" w:rsidR="000B0D12" w:rsidRPr="00A4125B" w:rsidRDefault="000B0D12" w:rsidP="006F316B">
      <w:pPr>
        <w:pStyle w:val="A-Text11"/>
      </w:pPr>
      <w:r w:rsidRPr="00A4125B">
        <w:t xml:space="preserve">Tieto orgány, podľa §23 ods. (4),  majú 21 dní na doručenie stanovísk príslušnému orgánu. </w:t>
      </w:r>
    </w:p>
    <w:p w14:paraId="7D40D3A4" w14:textId="67E29B89" w:rsidR="00070989" w:rsidRPr="00A4125B" w:rsidRDefault="007D2096" w:rsidP="006F316B">
      <w:pPr>
        <w:pStyle w:val="A-Text11"/>
        <w:rPr>
          <w:bCs/>
          <w:kern w:val="32"/>
        </w:rPr>
      </w:pPr>
      <w:r w:rsidRPr="00A4125B">
        <w:rPr>
          <w:bCs/>
          <w:kern w:val="32"/>
        </w:rPr>
        <w:t xml:space="preserve">Na základe obsahu doručených stanovísk </w:t>
      </w:r>
      <w:r w:rsidR="00A4125B" w:rsidRPr="00A4125B">
        <w:rPr>
          <w:bCs/>
          <w:kern w:val="32"/>
        </w:rPr>
        <w:t xml:space="preserve">príslušný orgán vydá rozhodnutie. </w:t>
      </w:r>
    </w:p>
    <w:p w14:paraId="3B4CC1D2" w14:textId="16493260" w:rsidR="00E65CA9" w:rsidRPr="00070989" w:rsidRDefault="00E65CA9" w:rsidP="006F316B">
      <w:pPr>
        <w:pStyle w:val="A-Text11"/>
        <w:rPr>
          <w:bCs/>
          <w:kern w:val="32"/>
        </w:rPr>
      </w:pPr>
      <w:r w:rsidRPr="00070989">
        <w:rPr>
          <w:bCs/>
          <w:kern w:val="32"/>
        </w:rPr>
        <w:t>Dokumentáci</w:t>
      </w:r>
      <w:r w:rsidR="0049536B" w:rsidRPr="00070989">
        <w:rPr>
          <w:bCs/>
          <w:kern w:val="32"/>
        </w:rPr>
        <w:t>e</w:t>
      </w:r>
      <w:r w:rsidRPr="00070989">
        <w:rPr>
          <w:bCs/>
          <w:kern w:val="32"/>
        </w:rPr>
        <w:t xml:space="preserve"> bud</w:t>
      </w:r>
      <w:r w:rsidR="0049536B" w:rsidRPr="00070989">
        <w:rPr>
          <w:bCs/>
          <w:kern w:val="32"/>
        </w:rPr>
        <w:t>ú</w:t>
      </w:r>
      <w:r w:rsidRPr="00070989">
        <w:rPr>
          <w:bCs/>
          <w:kern w:val="32"/>
        </w:rPr>
        <w:t xml:space="preserve"> na základe odporúčaní </w:t>
      </w:r>
      <w:r w:rsidR="002D6202">
        <w:rPr>
          <w:bCs/>
          <w:kern w:val="32"/>
        </w:rPr>
        <w:t>uvedené v rozhodnut</w:t>
      </w:r>
      <w:r w:rsidR="00002B9D">
        <w:rPr>
          <w:bCs/>
          <w:kern w:val="32"/>
        </w:rPr>
        <w:t>í</w:t>
      </w:r>
      <w:r w:rsidRPr="00070989">
        <w:rPr>
          <w:bCs/>
          <w:kern w:val="32"/>
        </w:rPr>
        <w:t xml:space="preserve"> dopracovan</w:t>
      </w:r>
      <w:r w:rsidR="0049536B" w:rsidRPr="00070989">
        <w:rPr>
          <w:bCs/>
          <w:kern w:val="32"/>
        </w:rPr>
        <w:t>é</w:t>
      </w:r>
      <w:r w:rsidRPr="00070989">
        <w:rPr>
          <w:bCs/>
          <w:kern w:val="32"/>
        </w:rPr>
        <w:t xml:space="preserve"> a predložen</w:t>
      </w:r>
      <w:r w:rsidR="0049536B" w:rsidRPr="00070989">
        <w:rPr>
          <w:bCs/>
          <w:kern w:val="32"/>
        </w:rPr>
        <w:t>é</w:t>
      </w:r>
      <w:r w:rsidRPr="00070989">
        <w:rPr>
          <w:bCs/>
          <w:kern w:val="32"/>
        </w:rPr>
        <w:t xml:space="preserve"> na </w:t>
      </w:r>
      <w:r w:rsidR="00506A53" w:rsidRPr="00070989">
        <w:rPr>
          <w:bCs/>
          <w:kern w:val="32"/>
        </w:rPr>
        <w:t xml:space="preserve">následné </w:t>
      </w:r>
      <w:r w:rsidRPr="00070989">
        <w:rPr>
          <w:bCs/>
          <w:kern w:val="32"/>
        </w:rPr>
        <w:t>povoľova</w:t>
      </w:r>
      <w:r w:rsidR="0049536B" w:rsidRPr="00070989">
        <w:rPr>
          <w:bCs/>
          <w:kern w:val="32"/>
        </w:rPr>
        <w:t xml:space="preserve">cie konania </w:t>
      </w:r>
      <w:r w:rsidRPr="00070989">
        <w:rPr>
          <w:bCs/>
          <w:kern w:val="32"/>
        </w:rPr>
        <w:t xml:space="preserve"> podľa stavebného zákona. </w:t>
      </w:r>
    </w:p>
    <w:p w14:paraId="47741286" w14:textId="77777777" w:rsidR="00E65CA9" w:rsidRPr="00070989" w:rsidRDefault="00E65CA9" w:rsidP="00E476FE">
      <w:pPr>
        <w:pStyle w:val="Nadpis1"/>
        <w:shd w:val="clear" w:color="auto" w:fill="auto"/>
        <w:spacing w:before="120" w:after="0"/>
        <w:rPr>
          <w:lang w:val="sk-SK"/>
        </w:rPr>
      </w:pPr>
      <w:bookmarkStart w:id="456" w:name="_Toc132078776"/>
      <w:bookmarkStart w:id="457" w:name="_Toc495993012"/>
      <w:bookmarkStart w:id="458" w:name="_Toc93916871"/>
      <w:r w:rsidRPr="00070989">
        <w:rPr>
          <w:lang w:val="sk-SK"/>
        </w:rPr>
        <w:t>Miesto a dátum vypracovania zámeru</w:t>
      </w:r>
      <w:bookmarkEnd w:id="456"/>
      <w:bookmarkEnd w:id="457"/>
      <w:bookmarkEnd w:id="458"/>
    </w:p>
    <w:p w14:paraId="4AF76749" w14:textId="50BDDEC0" w:rsidR="00E65CA9" w:rsidRPr="00070989" w:rsidRDefault="00E65CA9" w:rsidP="006F316B">
      <w:pPr>
        <w:pStyle w:val="A-Text11"/>
      </w:pPr>
      <w:r w:rsidRPr="00070989">
        <w:t xml:space="preserve">Zámer </w:t>
      </w:r>
      <w:r w:rsidR="000B0D12" w:rsidRPr="00070989">
        <w:t xml:space="preserve">v rámci povinného hodnotenia zmeny navrhovanej činnosti </w:t>
      </w:r>
      <w:r w:rsidR="00552E0B" w:rsidRPr="00070989">
        <w:t xml:space="preserve"> </w:t>
      </w:r>
      <w:r w:rsidRPr="00070989">
        <w:t xml:space="preserve">bol vypracovaný na pracovisku  spoločnosti IVASO, s.r.o. Pezinok, </w:t>
      </w:r>
      <w:r w:rsidR="00364E3F">
        <w:t>január</w:t>
      </w:r>
      <w:r w:rsidR="00BE5562" w:rsidRPr="00070989">
        <w:t xml:space="preserve"> </w:t>
      </w:r>
      <w:r w:rsidR="00785F10" w:rsidRPr="00070989">
        <w:t>20</w:t>
      </w:r>
      <w:r w:rsidR="00EB2D5A" w:rsidRPr="00070989">
        <w:t>2</w:t>
      </w:r>
      <w:r w:rsidR="00364E3F">
        <w:t>2</w:t>
      </w:r>
      <w:r w:rsidRPr="00070989">
        <w:t xml:space="preserve">. </w:t>
      </w:r>
    </w:p>
    <w:p w14:paraId="57143B72" w14:textId="77777777" w:rsidR="00E65CA9" w:rsidRPr="00070989" w:rsidRDefault="00E65CA9" w:rsidP="00E476FE">
      <w:pPr>
        <w:pStyle w:val="Nadpis1"/>
        <w:shd w:val="clear" w:color="auto" w:fill="auto"/>
        <w:spacing w:before="120" w:after="0"/>
        <w:rPr>
          <w:lang w:val="sk-SK"/>
        </w:rPr>
      </w:pPr>
      <w:bookmarkStart w:id="459" w:name="_Toc132078777"/>
      <w:bookmarkStart w:id="460" w:name="_Toc495993013"/>
      <w:bookmarkStart w:id="461" w:name="_Toc93916872"/>
      <w:r w:rsidRPr="00070989">
        <w:rPr>
          <w:lang w:val="sk-SK"/>
        </w:rPr>
        <w:t>Potvrdenie správnosti údajov</w:t>
      </w:r>
      <w:bookmarkEnd w:id="459"/>
      <w:bookmarkEnd w:id="460"/>
      <w:bookmarkEnd w:id="461"/>
    </w:p>
    <w:p w14:paraId="3E396F90" w14:textId="77777777" w:rsidR="00E65CA9" w:rsidRPr="00070989" w:rsidRDefault="00E65CA9" w:rsidP="008C6F96">
      <w:pPr>
        <w:pStyle w:val="Nadpis2"/>
      </w:pPr>
      <w:bookmarkStart w:id="462" w:name="_Toc132078778"/>
      <w:bookmarkStart w:id="463" w:name="_Toc495993014"/>
      <w:bookmarkStart w:id="464" w:name="_Toc93916873"/>
      <w:r w:rsidRPr="00070989">
        <w:t>Spracovatelia zámeru</w:t>
      </w:r>
      <w:bookmarkEnd w:id="462"/>
      <w:bookmarkEnd w:id="463"/>
      <w:bookmarkEnd w:id="464"/>
    </w:p>
    <w:p w14:paraId="3C79B769" w14:textId="77777777" w:rsidR="00454C86" w:rsidRPr="00070989" w:rsidRDefault="00454C86" w:rsidP="00454C86">
      <w:pPr>
        <w:pStyle w:val="Hlavika"/>
        <w:spacing w:before="120"/>
        <w:rPr>
          <w:rFonts w:ascii="Arial" w:hAnsi="Arial" w:cs="Arial"/>
          <w:sz w:val="22"/>
          <w:lang w:val="sk-SK"/>
        </w:rPr>
      </w:pPr>
      <w:r w:rsidRPr="00070989">
        <w:rPr>
          <w:rFonts w:ascii="Arial" w:hAnsi="Arial" w:cs="Arial"/>
          <w:sz w:val="22"/>
          <w:lang w:val="sk-SK"/>
        </w:rPr>
        <w:t xml:space="preserve">Riešiteľská organizácia: </w:t>
      </w:r>
    </w:p>
    <w:p w14:paraId="247E17A7" w14:textId="77777777" w:rsidR="00454C86" w:rsidRPr="00070989" w:rsidRDefault="00454C86" w:rsidP="00454C86">
      <w:pPr>
        <w:ind w:firstLine="2160"/>
        <w:jc w:val="both"/>
        <w:rPr>
          <w:rFonts w:ascii="Arial" w:hAnsi="Arial" w:cs="Arial"/>
          <w:sz w:val="22"/>
        </w:rPr>
      </w:pPr>
      <w:r w:rsidRPr="00070989">
        <w:rPr>
          <w:rFonts w:ascii="Arial" w:hAnsi="Arial" w:cs="Arial"/>
          <w:sz w:val="22"/>
        </w:rPr>
        <w:t>IVASO, s.r.o. Pezinok</w:t>
      </w:r>
    </w:p>
    <w:p w14:paraId="145E39B6" w14:textId="77777777" w:rsidR="00454C86" w:rsidRPr="00070989" w:rsidRDefault="00454C86" w:rsidP="00454C86">
      <w:pPr>
        <w:jc w:val="both"/>
        <w:rPr>
          <w:rFonts w:ascii="Arial" w:hAnsi="Arial" w:cs="Arial"/>
          <w:sz w:val="22"/>
        </w:rPr>
      </w:pPr>
    </w:p>
    <w:p w14:paraId="2D7D1E7D" w14:textId="77777777" w:rsidR="00454C86" w:rsidRPr="00070989" w:rsidRDefault="00454C86" w:rsidP="00454C86">
      <w:pPr>
        <w:rPr>
          <w:rFonts w:ascii="Arial" w:hAnsi="Arial" w:cs="Arial"/>
          <w:sz w:val="22"/>
          <w:szCs w:val="22"/>
        </w:rPr>
      </w:pPr>
      <w:r w:rsidRPr="00070989">
        <w:rPr>
          <w:rFonts w:ascii="Arial" w:hAnsi="Arial" w:cs="Arial"/>
          <w:sz w:val="22"/>
          <w:szCs w:val="22"/>
        </w:rPr>
        <w:t>Riešiteľský   kolektív:</w:t>
      </w:r>
    </w:p>
    <w:p w14:paraId="34077050" w14:textId="77777777" w:rsidR="00454C86" w:rsidRPr="00070989" w:rsidRDefault="00454C86" w:rsidP="00454C86">
      <w:pPr>
        <w:pStyle w:val="text0"/>
        <w:widowControl/>
        <w:spacing w:before="0"/>
        <w:rPr>
          <w:rFonts w:cs="Arial"/>
          <w:i/>
          <w:sz w:val="22"/>
          <w:szCs w:val="22"/>
          <w:lang w:val="sk-SK"/>
        </w:rPr>
      </w:pPr>
      <w:r w:rsidRPr="00070989">
        <w:rPr>
          <w:rFonts w:cs="Arial"/>
          <w:i/>
          <w:sz w:val="22"/>
          <w:szCs w:val="22"/>
          <w:lang w:val="sk-SK"/>
        </w:rPr>
        <w:t xml:space="preserve">Koordinátor:  </w:t>
      </w:r>
      <w:r w:rsidRPr="00070989">
        <w:rPr>
          <w:rFonts w:cs="Arial"/>
          <w:i/>
          <w:sz w:val="22"/>
          <w:szCs w:val="22"/>
          <w:lang w:val="sk-SK"/>
        </w:rPr>
        <w:tab/>
      </w:r>
      <w:r w:rsidRPr="00070989">
        <w:rPr>
          <w:rFonts w:cs="Arial"/>
          <w:i/>
          <w:sz w:val="22"/>
          <w:szCs w:val="22"/>
          <w:lang w:val="sk-SK"/>
        </w:rPr>
        <w:tab/>
        <w:t>Ing. Jozef  Marko, CSc.</w:t>
      </w:r>
    </w:p>
    <w:p w14:paraId="1C6C6ACE" w14:textId="21E3B1CD" w:rsidR="00E65CA9" w:rsidRPr="00070989" w:rsidRDefault="00E65CA9" w:rsidP="003C4995">
      <w:pPr>
        <w:pStyle w:val="Hlavika"/>
        <w:tabs>
          <w:tab w:val="left" w:pos="708"/>
        </w:tabs>
        <w:spacing w:before="120"/>
        <w:rPr>
          <w:rFonts w:ascii="Arial" w:hAnsi="Arial" w:cs="Arial"/>
          <w:sz w:val="22"/>
          <w:lang w:val="sk-SK"/>
        </w:rPr>
      </w:pPr>
      <w:r w:rsidRPr="00070989">
        <w:rPr>
          <w:rFonts w:ascii="Arial" w:hAnsi="Arial" w:cs="Arial"/>
          <w:sz w:val="22"/>
          <w:lang w:val="sk-SK"/>
        </w:rPr>
        <w:t>Riešite</w:t>
      </w:r>
      <w:r w:rsidR="00454C86" w:rsidRPr="00070989">
        <w:rPr>
          <w:rFonts w:ascii="Arial" w:hAnsi="Arial" w:cs="Arial"/>
          <w:sz w:val="22"/>
          <w:lang w:val="sk-SK"/>
        </w:rPr>
        <w:t>lia</w:t>
      </w:r>
      <w:r w:rsidRPr="00070989">
        <w:rPr>
          <w:rFonts w:ascii="Arial" w:hAnsi="Arial" w:cs="Arial"/>
          <w:sz w:val="22"/>
          <w:lang w:val="sk-SK"/>
        </w:rPr>
        <w:t xml:space="preserve">: </w:t>
      </w:r>
    </w:p>
    <w:p w14:paraId="66D6E63F" w14:textId="77777777" w:rsidR="00454C86" w:rsidRPr="00070989" w:rsidRDefault="00454C86" w:rsidP="003C4995">
      <w:pPr>
        <w:pStyle w:val="Hlavika"/>
        <w:tabs>
          <w:tab w:val="left" w:pos="708"/>
        </w:tabs>
        <w:ind w:firstLine="2127"/>
        <w:rPr>
          <w:rFonts w:ascii="Arial" w:hAnsi="Arial" w:cs="Arial"/>
          <w:i/>
          <w:iCs/>
          <w:sz w:val="22"/>
          <w:lang w:val="sk-SK"/>
        </w:rPr>
      </w:pPr>
      <w:r w:rsidRPr="00070989">
        <w:rPr>
          <w:rFonts w:ascii="Arial" w:hAnsi="Arial" w:cs="Arial"/>
          <w:i/>
          <w:iCs/>
          <w:sz w:val="22"/>
          <w:lang w:val="sk-SK"/>
        </w:rPr>
        <w:t>RNDr. Mária Barančoková, PhD.</w:t>
      </w:r>
    </w:p>
    <w:p w14:paraId="5D4BDA13" w14:textId="77777777" w:rsidR="00454C86" w:rsidRPr="00070989" w:rsidRDefault="00454C86" w:rsidP="00454C86">
      <w:pPr>
        <w:pStyle w:val="Hlavika"/>
        <w:tabs>
          <w:tab w:val="left" w:pos="708"/>
        </w:tabs>
        <w:ind w:firstLine="2127"/>
        <w:rPr>
          <w:rFonts w:ascii="Arial" w:hAnsi="Arial" w:cs="Arial"/>
          <w:i/>
          <w:iCs/>
          <w:sz w:val="22"/>
          <w:lang w:val="sk-SK"/>
        </w:rPr>
      </w:pPr>
      <w:r w:rsidRPr="00070989">
        <w:rPr>
          <w:rFonts w:ascii="Arial" w:hAnsi="Arial" w:cs="Arial"/>
          <w:i/>
          <w:iCs/>
          <w:sz w:val="22"/>
          <w:lang w:val="sk-SK"/>
        </w:rPr>
        <w:t>RNDr. Peter Barančok, CSc.</w:t>
      </w:r>
    </w:p>
    <w:p w14:paraId="41F9E6EA" w14:textId="77777777" w:rsidR="007807C1" w:rsidRPr="00070989" w:rsidRDefault="007807C1" w:rsidP="003C4995">
      <w:pPr>
        <w:pStyle w:val="Hlavika"/>
        <w:tabs>
          <w:tab w:val="left" w:pos="708"/>
        </w:tabs>
        <w:ind w:firstLine="2127"/>
        <w:rPr>
          <w:rFonts w:ascii="Arial" w:hAnsi="Arial" w:cs="Arial"/>
          <w:i/>
          <w:iCs/>
          <w:sz w:val="22"/>
          <w:lang w:val="sk-SK"/>
        </w:rPr>
      </w:pPr>
      <w:r w:rsidRPr="00070989">
        <w:rPr>
          <w:rFonts w:ascii="Arial" w:hAnsi="Arial" w:cs="Arial"/>
          <w:i/>
          <w:iCs/>
          <w:sz w:val="22"/>
          <w:lang w:val="sk-SK"/>
        </w:rPr>
        <w:t>Mgr. Milan Candrák</w:t>
      </w:r>
    </w:p>
    <w:p w14:paraId="448EB0C6" w14:textId="6702BF06" w:rsidR="00AA07AC" w:rsidRPr="00070989" w:rsidRDefault="00AA07AC" w:rsidP="003C4995">
      <w:pPr>
        <w:pStyle w:val="Hlavika"/>
        <w:tabs>
          <w:tab w:val="left" w:pos="708"/>
        </w:tabs>
        <w:ind w:firstLine="2127"/>
        <w:rPr>
          <w:rFonts w:ascii="Arial" w:hAnsi="Arial" w:cs="Arial"/>
          <w:i/>
          <w:iCs/>
          <w:sz w:val="22"/>
          <w:lang w:val="sk-SK"/>
        </w:rPr>
      </w:pPr>
      <w:r w:rsidRPr="00070989">
        <w:rPr>
          <w:rFonts w:ascii="Arial" w:hAnsi="Arial" w:cs="Arial"/>
          <w:i/>
          <w:iCs/>
          <w:sz w:val="22"/>
          <w:lang w:val="sk-SK"/>
        </w:rPr>
        <w:t>Mgr. Miroslava Gazdaricová</w:t>
      </w:r>
    </w:p>
    <w:p w14:paraId="2B1C7AF2" w14:textId="00868AFD" w:rsidR="00785F10" w:rsidRPr="00070989" w:rsidRDefault="00785F10" w:rsidP="003C4995">
      <w:pPr>
        <w:pStyle w:val="Hlavika"/>
        <w:tabs>
          <w:tab w:val="left" w:pos="708"/>
        </w:tabs>
        <w:ind w:firstLine="2127"/>
        <w:rPr>
          <w:rFonts w:ascii="Arial" w:hAnsi="Arial" w:cs="Arial"/>
          <w:i/>
          <w:iCs/>
          <w:sz w:val="22"/>
          <w:lang w:val="sk-SK"/>
        </w:rPr>
      </w:pPr>
      <w:r w:rsidRPr="00070989">
        <w:rPr>
          <w:rFonts w:ascii="Arial" w:hAnsi="Arial" w:cs="Arial"/>
          <w:i/>
          <w:iCs/>
          <w:sz w:val="22"/>
          <w:lang w:val="sk-SK"/>
        </w:rPr>
        <w:t>Mgr. Veronika Kovácsová</w:t>
      </w:r>
    </w:p>
    <w:p w14:paraId="05C11873" w14:textId="36C9DC14" w:rsidR="00B83892" w:rsidRDefault="00B83892" w:rsidP="003C4995">
      <w:pPr>
        <w:pStyle w:val="Hlavika"/>
        <w:tabs>
          <w:tab w:val="left" w:pos="708"/>
        </w:tabs>
        <w:ind w:firstLine="2127"/>
        <w:rPr>
          <w:rFonts w:ascii="Arial" w:hAnsi="Arial" w:cs="Arial"/>
          <w:i/>
          <w:iCs/>
          <w:sz w:val="22"/>
          <w:lang w:val="sk-SK"/>
        </w:rPr>
      </w:pPr>
      <w:r>
        <w:rPr>
          <w:rFonts w:ascii="Arial" w:hAnsi="Arial" w:cs="Arial"/>
          <w:i/>
          <w:iCs/>
          <w:sz w:val="22"/>
          <w:lang w:val="sk-SK"/>
        </w:rPr>
        <w:t xml:space="preserve">Ing. Matej Filús </w:t>
      </w:r>
    </w:p>
    <w:p w14:paraId="7EA56AE1" w14:textId="06BC6D7D" w:rsidR="00454C86" w:rsidRPr="00070989" w:rsidRDefault="00454C86" w:rsidP="003C4995">
      <w:pPr>
        <w:pStyle w:val="Hlavika"/>
        <w:tabs>
          <w:tab w:val="left" w:pos="708"/>
        </w:tabs>
        <w:ind w:firstLine="2127"/>
        <w:rPr>
          <w:rFonts w:ascii="Arial" w:hAnsi="Arial" w:cs="Arial"/>
          <w:i/>
          <w:iCs/>
          <w:sz w:val="22"/>
          <w:lang w:val="sk-SK"/>
        </w:rPr>
      </w:pPr>
      <w:r w:rsidRPr="00070989">
        <w:rPr>
          <w:rFonts w:ascii="Arial" w:hAnsi="Arial" w:cs="Arial"/>
          <w:i/>
          <w:iCs/>
          <w:sz w:val="22"/>
          <w:lang w:val="sk-SK"/>
        </w:rPr>
        <w:t>Ing. Jaroslav Hruškovič</w:t>
      </w:r>
    </w:p>
    <w:p w14:paraId="2B023931" w14:textId="77777777" w:rsidR="00E65CA9" w:rsidRPr="00070989" w:rsidRDefault="00E65CA9" w:rsidP="003C4995">
      <w:pPr>
        <w:pStyle w:val="Hlavika"/>
        <w:tabs>
          <w:tab w:val="left" w:pos="708"/>
        </w:tabs>
        <w:ind w:firstLine="2127"/>
        <w:rPr>
          <w:rFonts w:ascii="Arial" w:hAnsi="Arial" w:cs="Arial"/>
          <w:i/>
          <w:iCs/>
          <w:sz w:val="22"/>
          <w:lang w:val="sk-SK"/>
        </w:rPr>
      </w:pPr>
      <w:r w:rsidRPr="00070989">
        <w:rPr>
          <w:rFonts w:ascii="Arial" w:hAnsi="Arial" w:cs="Arial"/>
          <w:i/>
          <w:iCs/>
          <w:sz w:val="22"/>
          <w:lang w:val="sk-SK"/>
        </w:rPr>
        <w:t>Ing. Jozef Marko, CSc.</w:t>
      </w:r>
    </w:p>
    <w:p w14:paraId="0F58E598" w14:textId="77777777" w:rsidR="00E65CA9" w:rsidRPr="00070989" w:rsidRDefault="00E65CA9" w:rsidP="003C4995">
      <w:pPr>
        <w:pStyle w:val="Hlavika"/>
        <w:tabs>
          <w:tab w:val="left" w:pos="708"/>
        </w:tabs>
        <w:ind w:firstLine="2127"/>
        <w:rPr>
          <w:rFonts w:ascii="Arial" w:hAnsi="Arial" w:cs="Arial"/>
          <w:i/>
          <w:iCs/>
          <w:sz w:val="22"/>
          <w:lang w:val="sk-SK"/>
        </w:rPr>
      </w:pPr>
      <w:r w:rsidRPr="00070989">
        <w:rPr>
          <w:rFonts w:ascii="Arial" w:hAnsi="Arial" w:cs="Arial"/>
          <w:i/>
          <w:iCs/>
          <w:sz w:val="22"/>
          <w:lang w:val="sk-SK"/>
        </w:rPr>
        <w:t>Ing. Soňa Marková</w:t>
      </w:r>
    </w:p>
    <w:p w14:paraId="456AED2C" w14:textId="77777777" w:rsidR="00E65CA9" w:rsidRPr="00070989" w:rsidRDefault="00E65CA9" w:rsidP="003C4995">
      <w:pPr>
        <w:pStyle w:val="Hlavika"/>
        <w:tabs>
          <w:tab w:val="left" w:pos="708"/>
        </w:tabs>
        <w:ind w:firstLine="2127"/>
        <w:rPr>
          <w:rFonts w:ascii="Arial" w:hAnsi="Arial" w:cs="Arial"/>
          <w:i/>
          <w:iCs/>
          <w:sz w:val="22"/>
          <w:lang w:val="sk-SK"/>
        </w:rPr>
      </w:pPr>
      <w:r w:rsidRPr="00070989">
        <w:rPr>
          <w:rFonts w:ascii="Arial" w:hAnsi="Arial" w:cs="Arial"/>
          <w:i/>
          <w:iCs/>
          <w:sz w:val="22"/>
          <w:lang w:val="sk-SK"/>
        </w:rPr>
        <w:t>Mgr. Ľudovít Molnár</w:t>
      </w:r>
    </w:p>
    <w:p w14:paraId="321979F7" w14:textId="77777777" w:rsidR="00E65CA9" w:rsidRPr="00070989" w:rsidRDefault="00E65CA9" w:rsidP="003C4995">
      <w:pPr>
        <w:pStyle w:val="Hlavika"/>
        <w:tabs>
          <w:tab w:val="left" w:pos="708"/>
        </w:tabs>
        <w:ind w:firstLine="2127"/>
        <w:rPr>
          <w:rFonts w:ascii="Arial" w:hAnsi="Arial" w:cs="Arial"/>
          <w:i/>
          <w:iCs/>
          <w:sz w:val="22"/>
          <w:lang w:val="sk-SK"/>
        </w:rPr>
      </w:pPr>
      <w:r w:rsidRPr="00070989">
        <w:rPr>
          <w:rFonts w:ascii="Arial" w:hAnsi="Arial" w:cs="Arial"/>
          <w:i/>
          <w:iCs/>
          <w:sz w:val="22"/>
          <w:lang w:val="sk-SK"/>
        </w:rPr>
        <w:t>Mgr. Anna Molnárová</w:t>
      </w:r>
    </w:p>
    <w:p w14:paraId="2EF84C1A" w14:textId="0AF7F643" w:rsidR="00E65CA9" w:rsidRPr="00070989" w:rsidRDefault="00E65CA9" w:rsidP="00454C86">
      <w:pPr>
        <w:pStyle w:val="text0"/>
        <w:widowControl/>
        <w:ind w:left="1416" w:hanging="1416"/>
        <w:rPr>
          <w:rFonts w:cs="Arial"/>
          <w:sz w:val="22"/>
          <w:szCs w:val="22"/>
          <w:lang w:val="sk-SK" w:eastAsia="en-US"/>
        </w:rPr>
      </w:pPr>
      <w:r w:rsidRPr="00070989">
        <w:rPr>
          <w:rFonts w:cs="Arial"/>
          <w:sz w:val="22"/>
          <w:szCs w:val="22"/>
          <w:lang w:val="sk-SK" w:eastAsia="en-US"/>
        </w:rPr>
        <w:t>Kolektív spracovateľov</w:t>
      </w:r>
      <w:r w:rsidR="00454C86" w:rsidRPr="00070989">
        <w:rPr>
          <w:rFonts w:cs="Arial"/>
          <w:sz w:val="22"/>
          <w:szCs w:val="22"/>
          <w:lang w:val="sk-SK" w:eastAsia="en-US"/>
        </w:rPr>
        <w:t xml:space="preserve">  projektovej dokumentácie</w:t>
      </w:r>
      <w:r w:rsidR="003A55F2" w:rsidRPr="00070989">
        <w:rPr>
          <w:rFonts w:cs="Arial"/>
          <w:sz w:val="22"/>
          <w:szCs w:val="22"/>
          <w:lang w:val="sk-SK" w:eastAsia="en-US"/>
        </w:rPr>
        <w:t xml:space="preserve">. </w:t>
      </w:r>
      <w:r w:rsidRPr="00070989">
        <w:rPr>
          <w:rFonts w:cs="Arial"/>
          <w:sz w:val="22"/>
          <w:szCs w:val="22"/>
          <w:lang w:val="sk-SK" w:eastAsia="en-US"/>
        </w:rPr>
        <w:t xml:space="preserve"> </w:t>
      </w:r>
    </w:p>
    <w:p w14:paraId="068C3FF0" w14:textId="77777777" w:rsidR="00454C86" w:rsidRPr="004A7717" w:rsidRDefault="00454C86" w:rsidP="00E476FE">
      <w:pPr>
        <w:pStyle w:val="text0"/>
        <w:widowControl/>
        <w:ind w:left="1416" w:firstLine="708"/>
        <w:rPr>
          <w:rFonts w:cs="Arial"/>
          <w:color w:val="FF0000"/>
          <w:sz w:val="22"/>
          <w:szCs w:val="22"/>
          <w:lang w:val="sk-SK" w:eastAsia="en-US"/>
        </w:rPr>
      </w:pPr>
    </w:p>
    <w:p w14:paraId="4D7DA065" w14:textId="77777777" w:rsidR="00E65CA9" w:rsidRPr="004A7717" w:rsidRDefault="00E65CA9" w:rsidP="008C6F96">
      <w:pPr>
        <w:pStyle w:val="Nadpis2"/>
      </w:pPr>
      <w:bookmarkStart w:id="465" w:name="_Toc132078779"/>
      <w:bookmarkStart w:id="466" w:name="_Toc495993015"/>
      <w:bookmarkStart w:id="467" w:name="_Toc93916874"/>
      <w:r w:rsidRPr="004A7717">
        <w:t>Potvrdenie správnosti údajov podpisom spracovateľa zámeru a oprávneného zástupcu navrhovateľa</w:t>
      </w:r>
      <w:bookmarkEnd w:id="465"/>
      <w:bookmarkEnd w:id="466"/>
      <w:bookmarkEnd w:id="467"/>
      <w:r w:rsidRPr="004A7717">
        <w:t xml:space="preserve">               </w:t>
      </w:r>
    </w:p>
    <w:p w14:paraId="1398B205" w14:textId="392BF230" w:rsidR="00E65CA9" w:rsidRPr="004A7717" w:rsidRDefault="00E65CA9" w:rsidP="00E476FE">
      <w:pPr>
        <w:pStyle w:val="Hlavika"/>
        <w:tabs>
          <w:tab w:val="clear" w:pos="4703"/>
          <w:tab w:val="clear" w:pos="9406"/>
        </w:tabs>
        <w:spacing w:before="120"/>
        <w:rPr>
          <w:rFonts w:ascii="Arial" w:hAnsi="Arial" w:cs="Arial"/>
          <w:color w:val="FF0000"/>
          <w:sz w:val="22"/>
          <w:lang w:val="sk-SK"/>
        </w:rPr>
      </w:pPr>
      <w:r w:rsidRPr="00FF2E2C">
        <w:rPr>
          <w:rFonts w:ascii="Arial" w:hAnsi="Arial" w:cs="Arial"/>
          <w:sz w:val="22"/>
          <w:lang w:val="sk-SK"/>
        </w:rPr>
        <w:t xml:space="preserve">Dňa: </w:t>
      </w:r>
      <w:r w:rsidR="00FF2E2C" w:rsidRPr="00FF2E2C">
        <w:rPr>
          <w:rFonts w:ascii="Arial" w:hAnsi="Arial" w:cs="Arial"/>
          <w:sz w:val="22"/>
          <w:lang w:val="sk-SK"/>
        </w:rPr>
        <w:t>9</w:t>
      </w:r>
      <w:r w:rsidRPr="00FF2E2C">
        <w:rPr>
          <w:rFonts w:ascii="Arial" w:hAnsi="Arial" w:cs="Arial"/>
          <w:sz w:val="22"/>
          <w:lang w:val="sk-SK"/>
        </w:rPr>
        <w:t xml:space="preserve"> </w:t>
      </w:r>
      <w:r w:rsidR="00FF2E2C" w:rsidRPr="00FF2E2C">
        <w:rPr>
          <w:rFonts w:ascii="Arial" w:hAnsi="Arial" w:cs="Arial"/>
          <w:sz w:val="22"/>
          <w:lang w:val="sk-SK"/>
        </w:rPr>
        <w:t>február</w:t>
      </w:r>
      <w:r w:rsidRPr="00FF2E2C">
        <w:rPr>
          <w:rFonts w:ascii="Arial" w:hAnsi="Arial" w:cs="Arial"/>
          <w:sz w:val="22"/>
          <w:lang w:val="sk-SK"/>
        </w:rPr>
        <w:t xml:space="preserve"> 20</w:t>
      </w:r>
      <w:r w:rsidR="00495F0E" w:rsidRPr="00FF2E2C">
        <w:rPr>
          <w:rFonts w:ascii="Arial" w:hAnsi="Arial" w:cs="Arial"/>
          <w:sz w:val="22"/>
          <w:lang w:val="sk-SK"/>
        </w:rPr>
        <w:t>2</w:t>
      </w:r>
      <w:r w:rsidR="00725F06" w:rsidRPr="00FF2E2C">
        <w:rPr>
          <w:rFonts w:ascii="Arial" w:hAnsi="Arial" w:cs="Arial"/>
          <w:sz w:val="22"/>
          <w:lang w:val="sk-SK"/>
        </w:rPr>
        <w:t>2</w:t>
      </w:r>
      <w:r w:rsidRPr="004A7717">
        <w:rPr>
          <w:rFonts w:ascii="Arial" w:hAnsi="Arial" w:cs="Arial"/>
          <w:color w:val="FF0000"/>
          <w:sz w:val="22"/>
          <w:lang w:val="sk-SK"/>
        </w:rPr>
        <w:tab/>
        <w:t xml:space="preserve"> </w:t>
      </w:r>
      <w:r w:rsidRPr="004A7717">
        <w:rPr>
          <w:rFonts w:ascii="Arial" w:hAnsi="Arial" w:cs="Arial"/>
          <w:color w:val="FF0000"/>
          <w:sz w:val="22"/>
          <w:lang w:val="sk-SK"/>
        </w:rPr>
        <w:tab/>
      </w:r>
      <w:r w:rsidRPr="004A7717">
        <w:rPr>
          <w:rFonts w:ascii="Arial" w:hAnsi="Arial" w:cs="Arial"/>
          <w:color w:val="FF0000"/>
          <w:sz w:val="22"/>
          <w:lang w:val="sk-SK"/>
        </w:rPr>
        <w:tab/>
      </w:r>
      <w:r w:rsidRPr="004A7717">
        <w:rPr>
          <w:rFonts w:ascii="Arial" w:hAnsi="Arial" w:cs="Arial"/>
          <w:color w:val="FF0000"/>
          <w:sz w:val="22"/>
          <w:lang w:val="sk-SK"/>
        </w:rPr>
        <w:tab/>
      </w:r>
      <w:r w:rsidRPr="004A7717">
        <w:rPr>
          <w:rFonts w:ascii="Arial" w:hAnsi="Arial" w:cs="Arial"/>
          <w:color w:val="FF0000"/>
          <w:sz w:val="22"/>
          <w:lang w:val="sk-SK"/>
        </w:rPr>
        <w:tab/>
      </w:r>
      <w:r w:rsidRPr="004A7717">
        <w:rPr>
          <w:rFonts w:ascii="Arial" w:hAnsi="Arial" w:cs="Arial"/>
          <w:color w:val="FF0000"/>
          <w:sz w:val="22"/>
          <w:lang w:val="sk-SK"/>
        </w:rPr>
        <w:tab/>
      </w:r>
    </w:p>
    <w:p w14:paraId="63F2229C" w14:textId="6FE6DA5F" w:rsidR="00E65CA9" w:rsidRPr="004A7717" w:rsidRDefault="00E65CA9" w:rsidP="00E476FE">
      <w:pPr>
        <w:widowControl/>
        <w:spacing w:before="120"/>
        <w:jc w:val="both"/>
        <w:rPr>
          <w:rFonts w:ascii="Arial" w:hAnsi="Arial" w:cs="Arial"/>
          <w:color w:val="FF0000"/>
          <w:sz w:val="22"/>
          <w:szCs w:val="24"/>
          <w:lang w:eastAsia="en-US"/>
        </w:rPr>
      </w:pPr>
    </w:p>
    <w:p w14:paraId="5B26AEBC" w14:textId="36D0768A" w:rsidR="0049536B" w:rsidRPr="004A7717" w:rsidRDefault="0049536B" w:rsidP="00E476FE">
      <w:pPr>
        <w:widowControl/>
        <w:spacing w:before="120"/>
        <w:jc w:val="both"/>
        <w:rPr>
          <w:rFonts w:ascii="Arial" w:hAnsi="Arial" w:cs="Arial"/>
          <w:color w:val="FF0000"/>
          <w:sz w:val="22"/>
          <w:szCs w:val="24"/>
          <w:lang w:eastAsia="en-US"/>
        </w:rPr>
      </w:pPr>
    </w:p>
    <w:p w14:paraId="76605662" w14:textId="77777777" w:rsidR="0049273E" w:rsidRPr="004A7717" w:rsidRDefault="0049273E" w:rsidP="00E476FE">
      <w:pPr>
        <w:widowControl/>
        <w:spacing w:before="120"/>
        <w:jc w:val="both"/>
        <w:rPr>
          <w:rFonts w:ascii="Arial" w:hAnsi="Arial" w:cs="Arial"/>
          <w:color w:val="FF0000"/>
          <w:sz w:val="22"/>
          <w:szCs w:val="24"/>
          <w:lang w:eastAsia="en-US"/>
        </w:rPr>
      </w:pPr>
    </w:p>
    <w:p w14:paraId="69B6E910" w14:textId="2917F8F5" w:rsidR="00EB2D5A" w:rsidRPr="006F769F" w:rsidRDefault="00EB2D5A" w:rsidP="00E476FE">
      <w:pPr>
        <w:widowControl/>
        <w:spacing w:before="120"/>
        <w:jc w:val="both"/>
        <w:rPr>
          <w:rFonts w:ascii="Arial" w:hAnsi="Arial" w:cs="Arial"/>
          <w:sz w:val="22"/>
          <w:szCs w:val="24"/>
          <w:lang w:eastAsia="en-US"/>
        </w:rPr>
      </w:pPr>
    </w:p>
    <w:p w14:paraId="760A49FF" w14:textId="77777777" w:rsidR="00E65CA9" w:rsidRPr="006F769F" w:rsidRDefault="00E65CA9" w:rsidP="00E476FE">
      <w:pPr>
        <w:widowControl/>
        <w:spacing w:before="120"/>
        <w:jc w:val="both"/>
        <w:rPr>
          <w:rFonts w:ascii="Arial" w:hAnsi="Arial" w:cs="Arial"/>
          <w:sz w:val="22"/>
          <w:szCs w:val="24"/>
          <w:lang w:eastAsia="en-US"/>
        </w:rPr>
      </w:pPr>
      <w:r w:rsidRPr="006F769F">
        <w:rPr>
          <w:rFonts w:ascii="Arial" w:hAnsi="Arial" w:cs="Arial"/>
          <w:sz w:val="22"/>
          <w:szCs w:val="24"/>
          <w:lang w:eastAsia="en-US"/>
        </w:rPr>
        <w:t xml:space="preserve">   Hlavný riešiteľ zámeru </w:t>
      </w:r>
      <w:r w:rsidRPr="006F769F">
        <w:rPr>
          <w:rFonts w:ascii="Arial" w:hAnsi="Arial" w:cs="Arial"/>
          <w:sz w:val="22"/>
          <w:szCs w:val="24"/>
          <w:lang w:eastAsia="en-US"/>
        </w:rPr>
        <w:tab/>
      </w:r>
      <w:r w:rsidRPr="006F769F">
        <w:rPr>
          <w:rFonts w:ascii="Arial" w:hAnsi="Arial" w:cs="Arial"/>
          <w:sz w:val="22"/>
          <w:szCs w:val="24"/>
          <w:lang w:eastAsia="en-US"/>
        </w:rPr>
        <w:tab/>
      </w:r>
      <w:r w:rsidRPr="006F769F">
        <w:rPr>
          <w:rFonts w:ascii="Arial" w:hAnsi="Arial" w:cs="Arial"/>
          <w:sz w:val="22"/>
          <w:szCs w:val="24"/>
          <w:lang w:eastAsia="en-US"/>
        </w:rPr>
        <w:tab/>
      </w:r>
      <w:r w:rsidRPr="006F769F">
        <w:rPr>
          <w:rFonts w:ascii="Arial" w:hAnsi="Arial" w:cs="Arial"/>
          <w:sz w:val="22"/>
          <w:szCs w:val="24"/>
          <w:lang w:eastAsia="en-US"/>
        </w:rPr>
        <w:tab/>
      </w:r>
      <w:r w:rsidRPr="006F769F">
        <w:rPr>
          <w:rFonts w:ascii="Arial" w:hAnsi="Arial" w:cs="Arial"/>
          <w:sz w:val="22"/>
          <w:szCs w:val="24"/>
          <w:lang w:eastAsia="en-US"/>
        </w:rPr>
        <w:tab/>
        <w:t xml:space="preserve">Oprávnený zástupca navrhovateľa </w:t>
      </w:r>
    </w:p>
    <w:p w14:paraId="5F0EF8CC" w14:textId="3D8A61D1" w:rsidR="0014774C" w:rsidRPr="00AC0AE3" w:rsidRDefault="0014774C" w:rsidP="0014774C">
      <w:pPr>
        <w:widowControl/>
        <w:ind w:left="1134" w:hanging="1134"/>
        <w:rPr>
          <w:rFonts w:ascii="Arial" w:hAnsi="Arial" w:cs="Arial"/>
          <w:sz w:val="22"/>
          <w:szCs w:val="24"/>
          <w:lang w:eastAsia="ar-SA"/>
        </w:rPr>
      </w:pPr>
      <w:r>
        <w:rPr>
          <w:rFonts w:ascii="Arial" w:hAnsi="Arial" w:cs="Arial"/>
          <w:sz w:val="22"/>
          <w:szCs w:val="24"/>
          <w:lang w:eastAsia="en-US"/>
        </w:rPr>
        <w:t xml:space="preserve">    I</w:t>
      </w:r>
      <w:r w:rsidR="00E65CA9" w:rsidRPr="006F769F">
        <w:rPr>
          <w:rFonts w:ascii="Arial" w:hAnsi="Arial" w:cs="Arial"/>
          <w:sz w:val="22"/>
          <w:szCs w:val="24"/>
          <w:lang w:eastAsia="en-US"/>
        </w:rPr>
        <w:t>ng. Jozef  Marko, CSc.</w:t>
      </w:r>
      <w:r w:rsidR="00E65CA9" w:rsidRPr="006F769F">
        <w:rPr>
          <w:rFonts w:ascii="Arial" w:hAnsi="Arial" w:cs="Arial"/>
          <w:sz w:val="22"/>
          <w:szCs w:val="24"/>
          <w:lang w:eastAsia="en-US"/>
        </w:rPr>
        <w:tab/>
      </w:r>
      <w:r w:rsidR="00E65CA9" w:rsidRPr="006F769F">
        <w:rPr>
          <w:rFonts w:ascii="Arial" w:hAnsi="Arial" w:cs="Arial"/>
          <w:sz w:val="22"/>
          <w:szCs w:val="24"/>
          <w:lang w:eastAsia="en-US"/>
        </w:rPr>
        <w:tab/>
      </w:r>
      <w:r w:rsidR="00E65CA9" w:rsidRPr="006F769F">
        <w:rPr>
          <w:rFonts w:ascii="Arial" w:hAnsi="Arial" w:cs="Arial"/>
          <w:sz w:val="22"/>
          <w:szCs w:val="24"/>
          <w:lang w:eastAsia="en-US"/>
        </w:rPr>
        <w:tab/>
      </w:r>
      <w:r w:rsidR="00E65CA9" w:rsidRPr="006F769F">
        <w:rPr>
          <w:rFonts w:ascii="Arial" w:hAnsi="Arial" w:cs="Arial"/>
          <w:sz w:val="22"/>
          <w:szCs w:val="24"/>
          <w:lang w:eastAsia="en-US"/>
        </w:rPr>
        <w:tab/>
      </w:r>
      <w:r w:rsidR="00C2666D" w:rsidRPr="006F769F">
        <w:rPr>
          <w:rFonts w:ascii="Arial" w:hAnsi="Arial" w:cs="Arial"/>
          <w:sz w:val="22"/>
          <w:szCs w:val="24"/>
          <w:lang w:eastAsia="en-US"/>
        </w:rPr>
        <w:t xml:space="preserve">             </w:t>
      </w:r>
      <w:r w:rsidR="00672DC1" w:rsidRPr="006F769F">
        <w:rPr>
          <w:rFonts w:ascii="Arial" w:hAnsi="Arial" w:cs="Arial"/>
          <w:sz w:val="22"/>
          <w:szCs w:val="24"/>
          <w:lang w:eastAsia="en-US"/>
        </w:rPr>
        <w:t xml:space="preserve">            </w:t>
      </w:r>
      <w:r w:rsidRPr="00AC0AE3">
        <w:rPr>
          <w:rFonts w:ascii="Arial" w:hAnsi="Arial" w:cs="Arial"/>
          <w:sz w:val="22"/>
          <w:szCs w:val="24"/>
          <w:lang w:eastAsia="ar-SA"/>
        </w:rPr>
        <w:t>Ing. Matúš Močáry</w:t>
      </w:r>
    </w:p>
    <w:p w14:paraId="50432134" w14:textId="5C6B9DB9" w:rsidR="00E65CA9" w:rsidRPr="006F769F" w:rsidRDefault="00E65CA9" w:rsidP="009A7D60">
      <w:pPr>
        <w:widowControl/>
        <w:ind w:left="142"/>
        <w:rPr>
          <w:rFonts w:ascii="Arial" w:hAnsi="Arial" w:cs="Arial"/>
          <w:bCs/>
          <w:iCs/>
          <w:sz w:val="22"/>
          <w:szCs w:val="22"/>
          <w:lang w:eastAsia="ar-SA"/>
        </w:rPr>
      </w:pPr>
    </w:p>
    <w:sectPr w:rsidR="00E65CA9" w:rsidRPr="006F769F" w:rsidSect="001A333B">
      <w:headerReference w:type="default" r:id="rId87"/>
      <w:footerReference w:type="default" r:id="rId88"/>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87B706" w14:textId="77777777" w:rsidR="002F0B86" w:rsidRDefault="002F0B86" w:rsidP="006D764F">
      <w:pPr>
        <w:widowControl/>
        <w:jc w:val="both"/>
        <w:rPr>
          <w:rFonts w:ascii="Arial Narrow" w:hAnsi="Arial Narrow"/>
          <w:szCs w:val="24"/>
          <w:lang w:eastAsia="en-US"/>
        </w:rPr>
      </w:pPr>
      <w:r>
        <w:rPr>
          <w:rFonts w:ascii="Arial Narrow" w:hAnsi="Arial Narrow"/>
          <w:szCs w:val="24"/>
          <w:lang w:eastAsia="en-US"/>
        </w:rPr>
        <w:separator/>
      </w:r>
    </w:p>
  </w:endnote>
  <w:endnote w:type="continuationSeparator" w:id="0">
    <w:p w14:paraId="2B08028F" w14:textId="77777777" w:rsidR="002F0B86" w:rsidRDefault="002F0B86" w:rsidP="006D764F">
      <w:pPr>
        <w:widowControl/>
        <w:jc w:val="both"/>
        <w:rPr>
          <w:rFonts w:ascii="Arial Narrow" w:hAnsi="Arial Narrow"/>
          <w:szCs w:val="24"/>
          <w:lang w:eastAsia="en-US"/>
        </w:rPr>
      </w:pPr>
      <w:r>
        <w:rPr>
          <w:rFonts w:ascii="Arial Narrow" w:hAnsi="Arial Narrow"/>
          <w:szCs w:val="24"/>
          <w:lang w:eastAsia="en-US"/>
        </w:rPr>
        <w:continuationSeparator/>
      </w:r>
    </w:p>
  </w:endnote>
  <w:endnote w:type="continuationNotice" w:id="1">
    <w:p w14:paraId="3C430732" w14:textId="77777777" w:rsidR="002F0B86" w:rsidRDefault="002F0B8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tarSymbol">
    <w:altName w:val="MS Mincho"/>
    <w:charset w:val="8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EE"/>
    <w:family w:val="roman"/>
    <w:pitch w:val="variable"/>
    <w:sig w:usb0="E00006FF" w:usb1="420024FF" w:usb2="02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NimbusSanDEE-Bold">
    <w:altName w:val="Yu Gothic"/>
    <w:panose1 w:val="00000000000000000000"/>
    <w:charset w:val="80"/>
    <w:family w:val="auto"/>
    <w:notTrueType/>
    <w:pitch w:val="default"/>
    <w:sig w:usb0="00000001" w:usb1="08070000" w:usb2="00000010" w:usb3="00000000" w:csb0="00020000" w:csb1="00000000"/>
  </w:font>
  <w:font w:name="CenturyGothic">
    <w:altName w:val="MS Gothic"/>
    <w:panose1 w:val="00000000000000000000"/>
    <w:charset w:val="80"/>
    <w:family w:val="auto"/>
    <w:notTrueType/>
    <w:pitch w:val="default"/>
    <w:sig w:usb0="00000001" w:usb1="08070000" w:usb2="00000010" w:usb3="00000000" w:csb0="00020000" w:csb1="00000000"/>
  </w:font>
  <w:font w:name="ArialNarrow">
    <w:panose1 w:val="00000000000000000000"/>
    <w:charset w:val="80"/>
    <w:family w:val="auto"/>
    <w:notTrueType/>
    <w:pitch w:val="default"/>
    <w:sig w:usb0="00000001" w:usb1="08070000" w:usb2="00000010" w:usb3="00000000" w:csb0="00020000" w:csb1="00000000"/>
  </w:font>
  <w:font w:name="Arial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6B1B6" w14:textId="77777777" w:rsidR="000E1ED4" w:rsidRDefault="000E1ED4" w:rsidP="006D764F">
    <w:pPr>
      <w:pStyle w:val="Hlavika"/>
    </w:pPr>
  </w:p>
  <w:p w14:paraId="077C5B34" w14:textId="77777777" w:rsidR="000E1ED4" w:rsidRDefault="000E1ED4" w:rsidP="006D764F">
    <w:pPr>
      <w:widowControl/>
      <w:jc w:val="both"/>
      <w:rPr>
        <w:rFonts w:ascii="Arial Narrow" w:hAnsi="Arial Narrow"/>
        <w:szCs w:val="24"/>
        <w:lang w:eastAsia="en-US"/>
      </w:rPr>
    </w:pPr>
  </w:p>
  <w:p w14:paraId="48C38353" w14:textId="77777777" w:rsidR="000E1ED4" w:rsidRPr="00420F1A" w:rsidRDefault="000E1ED4" w:rsidP="006D764F">
    <w:pPr>
      <w:pStyle w:val="Pta"/>
      <w:pBdr>
        <w:top w:val="single" w:sz="4" w:space="1" w:color="auto"/>
      </w:pBdr>
      <w:jc w:val="center"/>
      <w:rPr>
        <w:sz w:val="18"/>
        <w:szCs w:val="22"/>
      </w:rPr>
    </w:pPr>
    <w:r w:rsidRPr="00420F1A">
      <w:rPr>
        <w:sz w:val="18"/>
        <w:szCs w:val="22"/>
      </w:rPr>
      <w:t xml:space="preserve">Strana </w:t>
    </w:r>
    <w:r w:rsidRPr="00420F1A">
      <w:rPr>
        <w:b/>
        <w:bCs/>
      </w:rPr>
      <w:fldChar w:fldCharType="begin"/>
    </w:r>
    <w:r w:rsidRPr="00420F1A">
      <w:rPr>
        <w:b/>
        <w:bCs/>
      </w:rPr>
      <w:instrText xml:space="preserve"> PAGE </w:instrText>
    </w:r>
    <w:r w:rsidRPr="00420F1A">
      <w:rPr>
        <w:b/>
        <w:bCs/>
      </w:rPr>
      <w:fldChar w:fldCharType="separate"/>
    </w:r>
    <w:r w:rsidRPr="00420F1A">
      <w:rPr>
        <w:b/>
        <w:bCs/>
        <w:noProof/>
      </w:rPr>
      <w:t>1</w:t>
    </w:r>
    <w:r w:rsidRPr="00420F1A">
      <w:rPr>
        <w:b/>
        <w:bCs/>
        <w:noProof/>
      </w:rPr>
      <w:fldChar w:fldCharType="end"/>
    </w:r>
    <w:r w:rsidRPr="00420F1A">
      <w:rPr>
        <w:sz w:val="18"/>
        <w:szCs w:val="22"/>
      </w:rPr>
      <w:t xml:space="preserve"> z </w:t>
    </w:r>
    <w:r w:rsidRPr="00420F1A">
      <w:rPr>
        <w:noProof/>
        <w:sz w:val="18"/>
        <w:szCs w:val="22"/>
      </w:rPr>
      <w:fldChar w:fldCharType="begin"/>
    </w:r>
    <w:r w:rsidRPr="00420F1A">
      <w:rPr>
        <w:noProof/>
        <w:sz w:val="18"/>
        <w:szCs w:val="22"/>
      </w:rPr>
      <w:instrText xml:space="preserve"> NUMPAGES </w:instrText>
    </w:r>
    <w:r w:rsidRPr="00420F1A">
      <w:rPr>
        <w:noProof/>
        <w:sz w:val="18"/>
        <w:szCs w:val="22"/>
      </w:rPr>
      <w:fldChar w:fldCharType="separate"/>
    </w:r>
    <w:r w:rsidRPr="00420F1A">
      <w:rPr>
        <w:noProof/>
        <w:sz w:val="18"/>
        <w:szCs w:val="22"/>
      </w:rPr>
      <w:t>167</w:t>
    </w:r>
    <w:r w:rsidRPr="00420F1A">
      <w:rPr>
        <w:noProof/>
        <w:sz w:val="18"/>
        <w:szCs w:val="22"/>
      </w:rPr>
      <w:fldChar w:fldCharType="end"/>
    </w:r>
  </w:p>
  <w:p w14:paraId="0F91F227" w14:textId="77777777" w:rsidR="000E1ED4" w:rsidRDefault="000E1ED4">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5C9177" w14:textId="77777777" w:rsidR="002F0B86" w:rsidRDefault="002F0B86" w:rsidP="006D764F">
      <w:pPr>
        <w:widowControl/>
        <w:jc w:val="both"/>
        <w:rPr>
          <w:rFonts w:ascii="Arial Narrow" w:hAnsi="Arial Narrow"/>
          <w:szCs w:val="24"/>
          <w:lang w:eastAsia="en-US"/>
        </w:rPr>
      </w:pPr>
      <w:r>
        <w:rPr>
          <w:rFonts w:ascii="Arial Narrow" w:hAnsi="Arial Narrow"/>
          <w:szCs w:val="24"/>
          <w:lang w:eastAsia="en-US"/>
        </w:rPr>
        <w:separator/>
      </w:r>
    </w:p>
  </w:footnote>
  <w:footnote w:type="continuationSeparator" w:id="0">
    <w:p w14:paraId="46A7D32F" w14:textId="77777777" w:rsidR="002F0B86" w:rsidRDefault="002F0B86" w:rsidP="006D764F">
      <w:pPr>
        <w:widowControl/>
        <w:jc w:val="both"/>
        <w:rPr>
          <w:rFonts w:ascii="Arial Narrow" w:hAnsi="Arial Narrow"/>
          <w:szCs w:val="24"/>
          <w:lang w:eastAsia="en-US"/>
        </w:rPr>
      </w:pPr>
      <w:r>
        <w:rPr>
          <w:rFonts w:ascii="Arial Narrow" w:hAnsi="Arial Narrow"/>
          <w:szCs w:val="24"/>
          <w:lang w:eastAsia="en-US"/>
        </w:rPr>
        <w:continuationSeparator/>
      </w:r>
    </w:p>
  </w:footnote>
  <w:footnote w:type="continuationNotice" w:id="1">
    <w:p w14:paraId="3573C329" w14:textId="77777777" w:rsidR="002F0B86" w:rsidRDefault="002F0B8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7B3B69" w14:textId="71726426" w:rsidR="000E1ED4" w:rsidRPr="00216E9E" w:rsidRDefault="007D5480" w:rsidP="00BA7130">
    <w:pPr>
      <w:pStyle w:val="Hlavika"/>
      <w:pBdr>
        <w:bottom w:val="single" w:sz="4" w:space="1" w:color="auto"/>
      </w:pBdr>
      <w:tabs>
        <w:tab w:val="clear" w:pos="4703"/>
        <w:tab w:val="clear" w:pos="9406"/>
        <w:tab w:val="center" w:pos="4536"/>
        <w:tab w:val="right" w:pos="9072"/>
      </w:tabs>
      <w:jc w:val="left"/>
      <w:rPr>
        <w:i/>
        <w:iCs/>
      </w:rPr>
    </w:pPr>
    <w:r>
      <w:rPr>
        <w:i/>
        <w:iCs/>
        <w:lang w:val="sk-SK"/>
      </w:rPr>
      <w:t xml:space="preserve">Bytový dom Terchovská </w:t>
    </w:r>
    <w:r>
      <w:rPr>
        <w:i/>
        <w:iCs/>
        <w:lang w:val="sk-SK"/>
      </w:rPr>
      <w:tab/>
    </w:r>
    <w:r w:rsidR="002732A7">
      <w:rPr>
        <w:i/>
        <w:iCs/>
        <w:lang w:val="sk-SK"/>
      </w:rPr>
      <w:tab/>
    </w:r>
    <w:r w:rsidR="00BA7130">
      <w:rPr>
        <w:i/>
        <w:iCs/>
        <w:lang w:val="sk-SK"/>
      </w:rPr>
      <w:t>Zámer pre zisťovacie konanie</w:t>
    </w:r>
  </w:p>
  <w:p w14:paraId="5DA312C5" w14:textId="6D530EC4" w:rsidR="000E1ED4" w:rsidRDefault="000E1ED4" w:rsidP="006D764F">
    <w:pPr>
      <w:pStyle w:val="Hlavika"/>
      <w:jc w:val="right"/>
      <w:rPr>
        <w:b/>
        <w:bCs/>
        <w:i/>
        <w:iCs/>
      </w:rPr>
    </w:pPr>
    <w:r>
      <w:rPr>
        <w:b/>
        <w:bCs/>
        <w:i/>
        <w:iCs/>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rPr>
        <w:rFonts w:cs="Times New Roman"/>
      </w:rPr>
    </w:lvl>
  </w:abstractNum>
  <w:abstractNum w:abstractNumId="1" w15:restartNumberingAfterBreak="0">
    <w:nsid w:val="00000002"/>
    <w:multiLevelType w:val="multilevel"/>
    <w:tmpl w:val="EB907A60"/>
    <w:name w:val="WW8Num2"/>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2" w15:restartNumberingAfterBreak="0">
    <w:nsid w:val="0000001C"/>
    <w:multiLevelType w:val="multilevel"/>
    <w:tmpl w:val="0000001C"/>
    <w:name w:val="WW8Num29"/>
    <w:lvl w:ilvl="0">
      <w:start w:val="1"/>
      <w:numFmt w:val="bullet"/>
      <w:lvlText w:val=""/>
      <w:lvlJc w:val="left"/>
      <w:pPr>
        <w:tabs>
          <w:tab w:val="num" w:pos="720"/>
        </w:tabs>
      </w:pPr>
      <w:rPr>
        <w:rFonts w:ascii="Symbol" w:hAnsi="Symbol"/>
      </w:rPr>
    </w:lvl>
    <w:lvl w:ilvl="1">
      <w:start w:val="1"/>
      <w:numFmt w:val="bullet"/>
      <w:lvlText w:val=""/>
      <w:lvlJc w:val="left"/>
      <w:pPr>
        <w:tabs>
          <w:tab w:val="num" w:pos="1080"/>
        </w:tabs>
      </w:pPr>
      <w:rPr>
        <w:rFonts w:ascii="Wingdings 2" w:hAnsi="Wingdings 2"/>
      </w:rPr>
    </w:lvl>
    <w:lvl w:ilvl="2">
      <w:start w:val="1"/>
      <w:numFmt w:val="bullet"/>
      <w:lvlText w:val="■"/>
      <w:lvlJc w:val="left"/>
      <w:pPr>
        <w:tabs>
          <w:tab w:val="num" w:pos="1440"/>
        </w:tabs>
      </w:pPr>
      <w:rPr>
        <w:rFonts w:ascii="StarSymbol" w:eastAsia="StarSymbol"/>
      </w:rPr>
    </w:lvl>
    <w:lvl w:ilvl="3">
      <w:start w:val="1"/>
      <w:numFmt w:val="bullet"/>
      <w:lvlText w:val=""/>
      <w:lvlJc w:val="left"/>
      <w:pPr>
        <w:tabs>
          <w:tab w:val="num" w:pos="1800"/>
        </w:tabs>
      </w:pPr>
      <w:rPr>
        <w:rFonts w:ascii="Wingdings" w:hAnsi="Wingdings"/>
        <w:sz w:val="18"/>
      </w:rPr>
    </w:lvl>
    <w:lvl w:ilvl="4">
      <w:start w:val="1"/>
      <w:numFmt w:val="bullet"/>
      <w:lvlText w:val=""/>
      <w:lvlJc w:val="left"/>
      <w:pPr>
        <w:tabs>
          <w:tab w:val="num" w:pos="2160"/>
        </w:tabs>
      </w:pPr>
      <w:rPr>
        <w:rFonts w:ascii="Wingdings 2" w:hAnsi="Wingdings 2"/>
      </w:rPr>
    </w:lvl>
    <w:lvl w:ilvl="5">
      <w:start w:val="1"/>
      <w:numFmt w:val="bullet"/>
      <w:lvlText w:val="■"/>
      <w:lvlJc w:val="left"/>
      <w:pPr>
        <w:tabs>
          <w:tab w:val="num" w:pos="2520"/>
        </w:tabs>
      </w:pPr>
      <w:rPr>
        <w:rFonts w:ascii="StarSymbol" w:eastAsia="StarSymbol"/>
      </w:rPr>
    </w:lvl>
    <w:lvl w:ilvl="6">
      <w:start w:val="1"/>
      <w:numFmt w:val="bullet"/>
      <w:lvlText w:val=""/>
      <w:lvlJc w:val="left"/>
      <w:pPr>
        <w:tabs>
          <w:tab w:val="num" w:pos="2880"/>
        </w:tabs>
      </w:pPr>
      <w:rPr>
        <w:rFonts w:ascii="Wingdings" w:hAnsi="Wingdings"/>
        <w:sz w:val="18"/>
      </w:rPr>
    </w:lvl>
    <w:lvl w:ilvl="7">
      <w:start w:val="1"/>
      <w:numFmt w:val="bullet"/>
      <w:lvlText w:val=""/>
      <w:lvlJc w:val="left"/>
      <w:pPr>
        <w:tabs>
          <w:tab w:val="num" w:pos="3240"/>
        </w:tabs>
      </w:pPr>
      <w:rPr>
        <w:rFonts w:ascii="Wingdings 2" w:hAnsi="Wingdings 2"/>
      </w:rPr>
    </w:lvl>
    <w:lvl w:ilvl="8">
      <w:start w:val="1"/>
      <w:numFmt w:val="bullet"/>
      <w:lvlText w:val="■"/>
      <w:lvlJc w:val="left"/>
      <w:pPr>
        <w:tabs>
          <w:tab w:val="num" w:pos="3600"/>
        </w:tabs>
      </w:pPr>
      <w:rPr>
        <w:rFonts w:ascii="StarSymbol" w:eastAsia="StarSymbol"/>
      </w:rPr>
    </w:lvl>
  </w:abstractNum>
  <w:abstractNum w:abstractNumId="3" w15:restartNumberingAfterBreak="0">
    <w:nsid w:val="003E7288"/>
    <w:multiLevelType w:val="singleLevel"/>
    <w:tmpl w:val="041B0005"/>
    <w:lvl w:ilvl="0">
      <w:start w:val="1"/>
      <w:numFmt w:val="bullet"/>
      <w:lvlText w:val=""/>
      <w:lvlJc w:val="left"/>
      <w:pPr>
        <w:tabs>
          <w:tab w:val="num" w:pos="360"/>
        </w:tabs>
        <w:ind w:left="360" w:hanging="360"/>
      </w:pPr>
      <w:rPr>
        <w:rFonts w:ascii="Wingdings" w:hAnsi="Wingdings" w:hint="default"/>
      </w:rPr>
    </w:lvl>
  </w:abstractNum>
  <w:abstractNum w:abstractNumId="4" w15:restartNumberingAfterBreak="0">
    <w:nsid w:val="0564773E"/>
    <w:multiLevelType w:val="hybridMultilevel"/>
    <w:tmpl w:val="CD640540"/>
    <w:lvl w:ilvl="0" w:tplc="FFFFFFFF">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F45B02"/>
    <w:multiLevelType w:val="hybridMultilevel"/>
    <w:tmpl w:val="64EAC914"/>
    <w:lvl w:ilvl="0" w:tplc="041B0001">
      <w:start w:val="1"/>
      <w:numFmt w:val="bullet"/>
      <w:lvlText w:val=""/>
      <w:lvlJc w:val="left"/>
      <w:pPr>
        <w:ind w:left="1146" w:hanging="360"/>
      </w:pPr>
      <w:rPr>
        <w:rFonts w:ascii="Symbol" w:hAnsi="Symbol" w:hint="default"/>
      </w:rPr>
    </w:lvl>
    <w:lvl w:ilvl="1" w:tplc="041B0003" w:tentative="1">
      <w:start w:val="1"/>
      <w:numFmt w:val="bullet"/>
      <w:lvlText w:val="o"/>
      <w:lvlJc w:val="left"/>
      <w:pPr>
        <w:ind w:left="1866" w:hanging="360"/>
      </w:pPr>
      <w:rPr>
        <w:rFonts w:ascii="Courier New" w:hAnsi="Courier New" w:cs="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cs="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cs="Courier New" w:hint="default"/>
      </w:rPr>
    </w:lvl>
    <w:lvl w:ilvl="8" w:tplc="041B0005" w:tentative="1">
      <w:start w:val="1"/>
      <w:numFmt w:val="bullet"/>
      <w:lvlText w:val=""/>
      <w:lvlJc w:val="left"/>
      <w:pPr>
        <w:ind w:left="6906" w:hanging="360"/>
      </w:pPr>
      <w:rPr>
        <w:rFonts w:ascii="Wingdings" w:hAnsi="Wingdings" w:hint="default"/>
      </w:rPr>
    </w:lvl>
  </w:abstractNum>
  <w:abstractNum w:abstractNumId="6" w15:restartNumberingAfterBreak="0">
    <w:nsid w:val="0AFD4948"/>
    <w:multiLevelType w:val="hybridMultilevel"/>
    <w:tmpl w:val="28FEF772"/>
    <w:lvl w:ilvl="0" w:tplc="225A4BE6">
      <w:start w:val="1"/>
      <w:numFmt w:val="lowerLetter"/>
      <w:lvlText w:val="%1)"/>
      <w:lvlJc w:val="left"/>
      <w:pPr>
        <w:tabs>
          <w:tab w:val="num" w:pos="1065"/>
        </w:tabs>
        <w:ind w:left="1065" w:hanging="705"/>
      </w:pPr>
      <w:rPr>
        <w:rFonts w:ascii="Times New Roman" w:eastAsia="Times New Roman" w:hAnsi="Times New Roman" w:cs="Times New Roman"/>
      </w:rPr>
    </w:lvl>
    <w:lvl w:ilvl="1" w:tplc="2D9C20E8">
      <w:start w:val="1"/>
      <w:numFmt w:val="decimal"/>
      <w:lvlText w:val="%2."/>
      <w:lvlJc w:val="left"/>
      <w:pPr>
        <w:tabs>
          <w:tab w:val="num" w:pos="1440"/>
        </w:tabs>
        <w:ind w:left="1440" w:hanging="360"/>
      </w:pPr>
      <w:rPr>
        <w:rFonts w:cs="Times New Roman" w:hint="default"/>
      </w:rPr>
    </w:lvl>
    <w:lvl w:ilvl="2" w:tplc="041B001B" w:tentative="1">
      <w:start w:val="1"/>
      <w:numFmt w:val="lowerRoman"/>
      <w:lvlText w:val="%3."/>
      <w:lvlJc w:val="right"/>
      <w:pPr>
        <w:tabs>
          <w:tab w:val="num" w:pos="2160"/>
        </w:tabs>
        <w:ind w:left="2160" w:hanging="180"/>
      </w:pPr>
      <w:rPr>
        <w:rFonts w:cs="Times New Roman"/>
      </w:rPr>
    </w:lvl>
    <w:lvl w:ilvl="3" w:tplc="041B000F" w:tentative="1">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10194DDE"/>
    <w:multiLevelType w:val="hybridMultilevel"/>
    <w:tmpl w:val="FBD47962"/>
    <w:lvl w:ilvl="0" w:tplc="041B0001">
      <w:start w:val="1"/>
      <w:numFmt w:val="bullet"/>
      <w:lvlText w:val=""/>
      <w:lvlJc w:val="left"/>
      <w:pPr>
        <w:ind w:left="1146" w:hanging="360"/>
      </w:pPr>
      <w:rPr>
        <w:rFonts w:ascii="Symbol" w:hAnsi="Symbol" w:hint="default"/>
      </w:rPr>
    </w:lvl>
    <w:lvl w:ilvl="1" w:tplc="041B0003" w:tentative="1">
      <w:start w:val="1"/>
      <w:numFmt w:val="bullet"/>
      <w:lvlText w:val="o"/>
      <w:lvlJc w:val="left"/>
      <w:pPr>
        <w:ind w:left="1866" w:hanging="360"/>
      </w:pPr>
      <w:rPr>
        <w:rFonts w:ascii="Courier New" w:hAnsi="Courier New" w:cs="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cs="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cs="Courier New" w:hint="default"/>
      </w:rPr>
    </w:lvl>
    <w:lvl w:ilvl="8" w:tplc="041B0005" w:tentative="1">
      <w:start w:val="1"/>
      <w:numFmt w:val="bullet"/>
      <w:lvlText w:val=""/>
      <w:lvlJc w:val="left"/>
      <w:pPr>
        <w:ind w:left="6906" w:hanging="360"/>
      </w:pPr>
      <w:rPr>
        <w:rFonts w:ascii="Wingdings" w:hAnsi="Wingdings" w:hint="default"/>
      </w:rPr>
    </w:lvl>
  </w:abstractNum>
  <w:abstractNum w:abstractNumId="8" w15:restartNumberingAfterBreak="0">
    <w:nsid w:val="12643BAC"/>
    <w:multiLevelType w:val="hybridMultilevel"/>
    <w:tmpl w:val="7BEA2E32"/>
    <w:lvl w:ilvl="0" w:tplc="8B1640B4">
      <w:numFmt w:val="bullet"/>
      <w:pStyle w:val="odrka"/>
      <w:lvlText w:val="-"/>
      <w:lvlJc w:val="left"/>
      <w:pPr>
        <w:ind w:left="1428" w:hanging="360"/>
      </w:pPr>
      <w:rPr>
        <w:rFonts w:ascii="Arial" w:hAnsi="Arial" w:hint="default"/>
        <w:b w:val="0"/>
        <w:sz w:val="22"/>
      </w:rPr>
    </w:lvl>
    <w:lvl w:ilvl="1" w:tplc="04050003">
      <w:start w:val="1"/>
      <w:numFmt w:val="bullet"/>
      <w:lvlText w:val="o"/>
      <w:lvlJc w:val="left"/>
      <w:pPr>
        <w:ind w:left="2148" w:hanging="360"/>
      </w:pPr>
      <w:rPr>
        <w:rFonts w:ascii="Courier New" w:hAnsi="Courier New" w:hint="default"/>
      </w:rPr>
    </w:lvl>
    <w:lvl w:ilvl="2" w:tplc="04050005">
      <w:start w:val="1"/>
      <w:numFmt w:val="bullet"/>
      <w:lvlText w:val=""/>
      <w:lvlJc w:val="left"/>
      <w:pPr>
        <w:ind w:left="2868" w:hanging="360"/>
      </w:pPr>
      <w:rPr>
        <w:rFonts w:ascii="Wingdings" w:hAnsi="Wingdings" w:hint="default"/>
      </w:rPr>
    </w:lvl>
    <w:lvl w:ilvl="3" w:tplc="04050001">
      <w:start w:val="1"/>
      <w:numFmt w:val="bullet"/>
      <w:lvlText w:val=""/>
      <w:lvlJc w:val="left"/>
      <w:pPr>
        <w:ind w:left="3588" w:hanging="360"/>
      </w:pPr>
      <w:rPr>
        <w:rFonts w:ascii="Symbol" w:hAnsi="Symbol" w:hint="default"/>
      </w:rPr>
    </w:lvl>
    <w:lvl w:ilvl="4" w:tplc="04050003">
      <w:start w:val="1"/>
      <w:numFmt w:val="bullet"/>
      <w:lvlText w:val="o"/>
      <w:lvlJc w:val="left"/>
      <w:pPr>
        <w:ind w:left="4308" w:hanging="360"/>
      </w:pPr>
      <w:rPr>
        <w:rFonts w:ascii="Courier New" w:hAnsi="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9" w15:restartNumberingAfterBreak="0">
    <w:nsid w:val="137F2BBC"/>
    <w:multiLevelType w:val="hybridMultilevel"/>
    <w:tmpl w:val="AAE8FCBA"/>
    <w:lvl w:ilvl="0" w:tplc="04050001">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3AA1D0E"/>
    <w:multiLevelType w:val="hybridMultilevel"/>
    <w:tmpl w:val="CC1038FA"/>
    <w:lvl w:ilvl="0" w:tplc="04050001">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45F2E49"/>
    <w:multiLevelType w:val="hybridMultilevel"/>
    <w:tmpl w:val="CDB67AAE"/>
    <w:lvl w:ilvl="0" w:tplc="04050001">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63C31E5"/>
    <w:multiLevelType w:val="hybridMultilevel"/>
    <w:tmpl w:val="19E4CA2E"/>
    <w:lvl w:ilvl="0" w:tplc="041B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3" w15:restartNumberingAfterBreak="0">
    <w:nsid w:val="17B3764E"/>
    <w:multiLevelType w:val="singleLevel"/>
    <w:tmpl w:val="04050001"/>
    <w:lvl w:ilvl="0">
      <w:start w:val="1"/>
      <w:numFmt w:val="bullet"/>
      <w:pStyle w:val="Text"/>
      <w:lvlText w:val=""/>
      <w:lvlJc w:val="left"/>
      <w:pPr>
        <w:tabs>
          <w:tab w:val="num" w:pos="360"/>
        </w:tabs>
        <w:ind w:left="360" w:hanging="360"/>
      </w:pPr>
      <w:rPr>
        <w:rFonts w:ascii="Symbol" w:hAnsi="Symbol" w:hint="default"/>
      </w:rPr>
    </w:lvl>
  </w:abstractNum>
  <w:abstractNum w:abstractNumId="14" w15:restartNumberingAfterBreak="0">
    <w:nsid w:val="19E80DB7"/>
    <w:multiLevelType w:val="hybridMultilevel"/>
    <w:tmpl w:val="92846450"/>
    <w:lvl w:ilvl="0" w:tplc="225A4BE6">
      <w:start w:val="1"/>
      <w:numFmt w:val="lowerLetter"/>
      <w:lvlText w:val="%1)"/>
      <w:lvlJc w:val="left"/>
      <w:pPr>
        <w:tabs>
          <w:tab w:val="num" w:pos="1065"/>
        </w:tabs>
        <w:ind w:left="1065" w:hanging="705"/>
      </w:pPr>
      <w:rPr>
        <w:rFonts w:ascii="Times New Roman" w:eastAsia="Times New Roman" w:hAnsi="Times New Roman" w:cs="Times New Roman"/>
      </w:rPr>
    </w:lvl>
    <w:lvl w:ilvl="1" w:tplc="041B0019" w:tentative="1">
      <w:start w:val="1"/>
      <w:numFmt w:val="lowerLetter"/>
      <w:lvlText w:val="%2."/>
      <w:lvlJc w:val="left"/>
      <w:pPr>
        <w:tabs>
          <w:tab w:val="num" w:pos="1440"/>
        </w:tabs>
        <w:ind w:left="1440" w:hanging="360"/>
      </w:pPr>
      <w:rPr>
        <w:rFonts w:cs="Times New Roman"/>
      </w:rPr>
    </w:lvl>
    <w:lvl w:ilvl="2" w:tplc="041B001B" w:tentative="1">
      <w:start w:val="1"/>
      <w:numFmt w:val="lowerRoman"/>
      <w:lvlText w:val="%3."/>
      <w:lvlJc w:val="right"/>
      <w:pPr>
        <w:tabs>
          <w:tab w:val="num" w:pos="2160"/>
        </w:tabs>
        <w:ind w:left="2160" w:hanging="180"/>
      </w:pPr>
      <w:rPr>
        <w:rFonts w:cs="Times New Roman"/>
      </w:rPr>
    </w:lvl>
    <w:lvl w:ilvl="3" w:tplc="041B000F" w:tentative="1">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1DC83751"/>
    <w:multiLevelType w:val="hybridMultilevel"/>
    <w:tmpl w:val="D1506410"/>
    <w:lvl w:ilvl="0" w:tplc="DE0888CC">
      <w:start w:val="1"/>
      <w:numFmt w:val="bullet"/>
      <w:lvlText w:val=""/>
      <w:lvlJc w:val="left"/>
      <w:pPr>
        <w:tabs>
          <w:tab w:val="num" w:pos="1428"/>
        </w:tabs>
        <w:ind w:left="1428" w:hanging="360"/>
      </w:pPr>
      <w:rPr>
        <w:rFonts w:ascii="Symbol" w:hAnsi="Symbol" w:hint="default"/>
      </w:rPr>
    </w:lvl>
    <w:lvl w:ilvl="1" w:tplc="041B0003">
      <w:start w:val="1"/>
      <w:numFmt w:val="bullet"/>
      <w:lvlText w:val="-"/>
      <w:lvlJc w:val="left"/>
      <w:pPr>
        <w:tabs>
          <w:tab w:val="num" w:pos="340"/>
        </w:tabs>
        <w:ind w:left="340" w:hanging="340"/>
      </w:pPr>
      <w:rPr>
        <w:rFonts w:ascii="Arial" w:eastAsia="Times New Roman" w:hAnsi="Arial" w:hint="default"/>
      </w:rPr>
    </w:lvl>
    <w:lvl w:ilvl="2" w:tplc="041B0005" w:tentative="1">
      <w:start w:val="1"/>
      <w:numFmt w:val="bullet"/>
      <w:lvlText w:val=""/>
      <w:lvlJc w:val="left"/>
      <w:pPr>
        <w:tabs>
          <w:tab w:val="num" w:pos="2868"/>
        </w:tabs>
        <w:ind w:left="2868" w:hanging="360"/>
      </w:pPr>
      <w:rPr>
        <w:rFonts w:ascii="Wingdings" w:hAnsi="Wingdings" w:hint="default"/>
      </w:rPr>
    </w:lvl>
    <w:lvl w:ilvl="3" w:tplc="041B0001" w:tentative="1">
      <w:start w:val="1"/>
      <w:numFmt w:val="bullet"/>
      <w:lvlText w:val=""/>
      <w:lvlJc w:val="left"/>
      <w:pPr>
        <w:tabs>
          <w:tab w:val="num" w:pos="3588"/>
        </w:tabs>
        <w:ind w:left="3588" w:hanging="360"/>
      </w:pPr>
      <w:rPr>
        <w:rFonts w:ascii="Symbol" w:hAnsi="Symbol" w:hint="default"/>
      </w:rPr>
    </w:lvl>
    <w:lvl w:ilvl="4" w:tplc="041B0003" w:tentative="1">
      <w:start w:val="1"/>
      <w:numFmt w:val="bullet"/>
      <w:lvlText w:val="o"/>
      <w:lvlJc w:val="left"/>
      <w:pPr>
        <w:tabs>
          <w:tab w:val="num" w:pos="4308"/>
        </w:tabs>
        <w:ind w:left="4308" w:hanging="360"/>
      </w:pPr>
      <w:rPr>
        <w:rFonts w:ascii="Courier New" w:hAnsi="Courier New" w:hint="default"/>
      </w:rPr>
    </w:lvl>
    <w:lvl w:ilvl="5" w:tplc="041B0005" w:tentative="1">
      <w:start w:val="1"/>
      <w:numFmt w:val="bullet"/>
      <w:lvlText w:val=""/>
      <w:lvlJc w:val="left"/>
      <w:pPr>
        <w:tabs>
          <w:tab w:val="num" w:pos="5028"/>
        </w:tabs>
        <w:ind w:left="5028" w:hanging="360"/>
      </w:pPr>
      <w:rPr>
        <w:rFonts w:ascii="Wingdings" w:hAnsi="Wingdings" w:hint="default"/>
      </w:rPr>
    </w:lvl>
    <w:lvl w:ilvl="6" w:tplc="041B0001" w:tentative="1">
      <w:start w:val="1"/>
      <w:numFmt w:val="bullet"/>
      <w:lvlText w:val=""/>
      <w:lvlJc w:val="left"/>
      <w:pPr>
        <w:tabs>
          <w:tab w:val="num" w:pos="5748"/>
        </w:tabs>
        <w:ind w:left="5748" w:hanging="360"/>
      </w:pPr>
      <w:rPr>
        <w:rFonts w:ascii="Symbol" w:hAnsi="Symbol" w:hint="default"/>
      </w:rPr>
    </w:lvl>
    <w:lvl w:ilvl="7" w:tplc="041B0003" w:tentative="1">
      <w:start w:val="1"/>
      <w:numFmt w:val="bullet"/>
      <w:lvlText w:val="o"/>
      <w:lvlJc w:val="left"/>
      <w:pPr>
        <w:tabs>
          <w:tab w:val="num" w:pos="6468"/>
        </w:tabs>
        <w:ind w:left="6468" w:hanging="360"/>
      </w:pPr>
      <w:rPr>
        <w:rFonts w:ascii="Courier New" w:hAnsi="Courier New" w:hint="default"/>
      </w:rPr>
    </w:lvl>
    <w:lvl w:ilvl="8" w:tplc="041B0005" w:tentative="1">
      <w:start w:val="1"/>
      <w:numFmt w:val="bullet"/>
      <w:lvlText w:val=""/>
      <w:lvlJc w:val="left"/>
      <w:pPr>
        <w:tabs>
          <w:tab w:val="num" w:pos="7188"/>
        </w:tabs>
        <w:ind w:left="7188" w:hanging="360"/>
      </w:pPr>
      <w:rPr>
        <w:rFonts w:ascii="Wingdings" w:hAnsi="Wingdings" w:hint="default"/>
      </w:rPr>
    </w:lvl>
  </w:abstractNum>
  <w:abstractNum w:abstractNumId="16" w15:restartNumberingAfterBreak="0">
    <w:nsid w:val="20047B0A"/>
    <w:multiLevelType w:val="hybridMultilevel"/>
    <w:tmpl w:val="BD864D60"/>
    <w:lvl w:ilvl="0" w:tplc="FFFFFFFF">
      <w:start w:val="1"/>
      <w:numFmt w:val="decimal"/>
      <w:lvlText w:val="%1."/>
      <w:lvlJc w:val="left"/>
      <w:pPr>
        <w:tabs>
          <w:tab w:val="num" w:pos="1410"/>
        </w:tabs>
        <w:ind w:left="1410" w:hanging="690"/>
      </w:pPr>
      <w:rPr>
        <w:rFonts w:cs="Times New Roman" w:hint="default"/>
      </w:rPr>
    </w:lvl>
    <w:lvl w:ilvl="1" w:tplc="041B0003" w:tentative="1">
      <w:start w:val="1"/>
      <w:numFmt w:val="lowerLetter"/>
      <w:lvlText w:val="%2."/>
      <w:lvlJc w:val="left"/>
      <w:pPr>
        <w:tabs>
          <w:tab w:val="num" w:pos="1800"/>
        </w:tabs>
        <w:ind w:left="1800" w:hanging="360"/>
      </w:pPr>
      <w:rPr>
        <w:rFonts w:cs="Times New Roman"/>
      </w:rPr>
    </w:lvl>
    <w:lvl w:ilvl="2" w:tplc="041B0005" w:tentative="1">
      <w:start w:val="1"/>
      <w:numFmt w:val="lowerRoman"/>
      <w:lvlText w:val="%3."/>
      <w:lvlJc w:val="right"/>
      <w:pPr>
        <w:tabs>
          <w:tab w:val="num" w:pos="2520"/>
        </w:tabs>
        <w:ind w:left="2520" w:hanging="180"/>
      </w:pPr>
      <w:rPr>
        <w:rFonts w:cs="Times New Roman"/>
      </w:rPr>
    </w:lvl>
    <w:lvl w:ilvl="3" w:tplc="041B0001" w:tentative="1">
      <w:start w:val="1"/>
      <w:numFmt w:val="decimal"/>
      <w:lvlText w:val="%4."/>
      <w:lvlJc w:val="left"/>
      <w:pPr>
        <w:tabs>
          <w:tab w:val="num" w:pos="3240"/>
        </w:tabs>
        <w:ind w:left="3240" w:hanging="360"/>
      </w:pPr>
      <w:rPr>
        <w:rFonts w:cs="Times New Roman"/>
      </w:rPr>
    </w:lvl>
    <w:lvl w:ilvl="4" w:tplc="041B0003" w:tentative="1">
      <w:start w:val="1"/>
      <w:numFmt w:val="lowerLetter"/>
      <w:lvlText w:val="%5."/>
      <w:lvlJc w:val="left"/>
      <w:pPr>
        <w:tabs>
          <w:tab w:val="num" w:pos="3960"/>
        </w:tabs>
        <w:ind w:left="3960" w:hanging="360"/>
      </w:pPr>
      <w:rPr>
        <w:rFonts w:cs="Times New Roman"/>
      </w:rPr>
    </w:lvl>
    <w:lvl w:ilvl="5" w:tplc="041B0005" w:tentative="1">
      <w:start w:val="1"/>
      <w:numFmt w:val="lowerRoman"/>
      <w:lvlText w:val="%6."/>
      <w:lvlJc w:val="right"/>
      <w:pPr>
        <w:tabs>
          <w:tab w:val="num" w:pos="4680"/>
        </w:tabs>
        <w:ind w:left="4680" w:hanging="180"/>
      </w:pPr>
      <w:rPr>
        <w:rFonts w:cs="Times New Roman"/>
      </w:rPr>
    </w:lvl>
    <w:lvl w:ilvl="6" w:tplc="041B0001" w:tentative="1">
      <w:start w:val="1"/>
      <w:numFmt w:val="decimal"/>
      <w:lvlText w:val="%7."/>
      <w:lvlJc w:val="left"/>
      <w:pPr>
        <w:tabs>
          <w:tab w:val="num" w:pos="5400"/>
        </w:tabs>
        <w:ind w:left="5400" w:hanging="360"/>
      </w:pPr>
      <w:rPr>
        <w:rFonts w:cs="Times New Roman"/>
      </w:rPr>
    </w:lvl>
    <w:lvl w:ilvl="7" w:tplc="041B0003" w:tentative="1">
      <w:start w:val="1"/>
      <w:numFmt w:val="lowerLetter"/>
      <w:lvlText w:val="%8."/>
      <w:lvlJc w:val="left"/>
      <w:pPr>
        <w:tabs>
          <w:tab w:val="num" w:pos="6120"/>
        </w:tabs>
        <w:ind w:left="6120" w:hanging="360"/>
      </w:pPr>
      <w:rPr>
        <w:rFonts w:cs="Times New Roman"/>
      </w:rPr>
    </w:lvl>
    <w:lvl w:ilvl="8" w:tplc="041B0005" w:tentative="1">
      <w:start w:val="1"/>
      <w:numFmt w:val="lowerRoman"/>
      <w:lvlText w:val="%9."/>
      <w:lvlJc w:val="right"/>
      <w:pPr>
        <w:tabs>
          <w:tab w:val="num" w:pos="6840"/>
        </w:tabs>
        <w:ind w:left="6840" w:hanging="180"/>
      </w:pPr>
      <w:rPr>
        <w:rFonts w:cs="Times New Roman"/>
      </w:rPr>
    </w:lvl>
  </w:abstractNum>
  <w:abstractNum w:abstractNumId="17" w15:restartNumberingAfterBreak="0">
    <w:nsid w:val="2099565D"/>
    <w:multiLevelType w:val="hybridMultilevel"/>
    <w:tmpl w:val="9C2242E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22357357"/>
    <w:multiLevelType w:val="hybridMultilevel"/>
    <w:tmpl w:val="3F8EC04E"/>
    <w:lvl w:ilvl="0" w:tplc="041B0001">
      <w:start w:val="1"/>
      <w:numFmt w:val="bullet"/>
      <w:lvlText w:val=""/>
      <w:lvlJc w:val="left"/>
      <w:pPr>
        <w:ind w:left="1146" w:hanging="360"/>
      </w:pPr>
      <w:rPr>
        <w:rFonts w:ascii="Symbol" w:hAnsi="Symbol" w:hint="default"/>
      </w:rPr>
    </w:lvl>
    <w:lvl w:ilvl="1" w:tplc="041B0003" w:tentative="1">
      <w:start w:val="1"/>
      <w:numFmt w:val="bullet"/>
      <w:lvlText w:val="o"/>
      <w:lvlJc w:val="left"/>
      <w:pPr>
        <w:ind w:left="1866" w:hanging="360"/>
      </w:pPr>
      <w:rPr>
        <w:rFonts w:ascii="Courier New" w:hAnsi="Courier New" w:cs="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cs="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cs="Courier New" w:hint="default"/>
      </w:rPr>
    </w:lvl>
    <w:lvl w:ilvl="8" w:tplc="041B0005" w:tentative="1">
      <w:start w:val="1"/>
      <w:numFmt w:val="bullet"/>
      <w:lvlText w:val=""/>
      <w:lvlJc w:val="left"/>
      <w:pPr>
        <w:ind w:left="6906" w:hanging="360"/>
      </w:pPr>
      <w:rPr>
        <w:rFonts w:ascii="Wingdings" w:hAnsi="Wingdings" w:hint="default"/>
      </w:rPr>
    </w:lvl>
  </w:abstractNum>
  <w:abstractNum w:abstractNumId="19" w15:restartNumberingAfterBreak="0">
    <w:nsid w:val="249A6112"/>
    <w:multiLevelType w:val="hybridMultilevel"/>
    <w:tmpl w:val="84B46F36"/>
    <w:lvl w:ilvl="0" w:tplc="041B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0" w15:restartNumberingAfterBreak="0">
    <w:nsid w:val="25E046FB"/>
    <w:multiLevelType w:val="hybridMultilevel"/>
    <w:tmpl w:val="798EE2B8"/>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69A185B"/>
    <w:multiLevelType w:val="hybridMultilevel"/>
    <w:tmpl w:val="00FC184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2E6A66AC"/>
    <w:multiLevelType w:val="hybridMultilevel"/>
    <w:tmpl w:val="2ED04B16"/>
    <w:lvl w:ilvl="0" w:tplc="041B0001">
      <w:start w:val="1"/>
      <w:numFmt w:val="bullet"/>
      <w:lvlText w:val=""/>
      <w:lvlJc w:val="left"/>
      <w:pPr>
        <w:ind w:left="1146" w:hanging="360"/>
      </w:pPr>
      <w:rPr>
        <w:rFonts w:ascii="Symbol" w:hAnsi="Symbol" w:hint="default"/>
      </w:rPr>
    </w:lvl>
    <w:lvl w:ilvl="1" w:tplc="041B0003" w:tentative="1">
      <w:start w:val="1"/>
      <w:numFmt w:val="bullet"/>
      <w:lvlText w:val="o"/>
      <w:lvlJc w:val="left"/>
      <w:pPr>
        <w:ind w:left="1866" w:hanging="360"/>
      </w:pPr>
      <w:rPr>
        <w:rFonts w:ascii="Courier New" w:hAnsi="Courier New" w:cs="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cs="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cs="Courier New" w:hint="default"/>
      </w:rPr>
    </w:lvl>
    <w:lvl w:ilvl="8" w:tplc="041B0005" w:tentative="1">
      <w:start w:val="1"/>
      <w:numFmt w:val="bullet"/>
      <w:lvlText w:val=""/>
      <w:lvlJc w:val="left"/>
      <w:pPr>
        <w:ind w:left="6906" w:hanging="360"/>
      </w:pPr>
      <w:rPr>
        <w:rFonts w:ascii="Wingdings" w:hAnsi="Wingdings" w:hint="default"/>
      </w:rPr>
    </w:lvl>
  </w:abstractNum>
  <w:abstractNum w:abstractNumId="23" w15:restartNumberingAfterBreak="0">
    <w:nsid w:val="31D61483"/>
    <w:multiLevelType w:val="hybridMultilevel"/>
    <w:tmpl w:val="30627DDA"/>
    <w:lvl w:ilvl="0" w:tplc="FFFFFFFF">
      <w:numFmt w:val="bullet"/>
      <w:lvlText w:val="-"/>
      <w:lvlJc w:val="left"/>
      <w:pPr>
        <w:tabs>
          <w:tab w:val="num" w:pos="720"/>
        </w:tabs>
        <w:ind w:left="720" w:hanging="360"/>
      </w:pPr>
      <w:rPr>
        <w:rFonts w:ascii="Times New Roman" w:eastAsia="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3CA0556"/>
    <w:multiLevelType w:val="hybridMultilevel"/>
    <w:tmpl w:val="E0663678"/>
    <w:lvl w:ilvl="0" w:tplc="041B0001">
      <w:start w:val="1"/>
      <w:numFmt w:val="bullet"/>
      <w:lvlText w:val=""/>
      <w:lvlJc w:val="left"/>
      <w:pPr>
        <w:ind w:left="1146" w:hanging="360"/>
      </w:pPr>
      <w:rPr>
        <w:rFonts w:ascii="Symbol" w:hAnsi="Symbol" w:hint="default"/>
      </w:rPr>
    </w:lvl>
    <w:lvl w:ilvl="1" w:tplc="041B0003" w:tentative="1">
      <w:start w:val="1"/>
      <w:numFmt w:val="bullet"/>
      <w:lvlText w:val="o"/>
      <w:lvlJc w:val="left"/>
      <w:pPr>
        <w:ind w:left="1866" w:hanging="360"/>
      </w:pPr>
      <w:rPr>
        <w:rFonts w:ascii="Courier New" w:hAnsi="Courier New" w:cs="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cs="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cs="Courier New" w:hint="default"/>
      </w:rPr>
    </w:lvl>
    <w:lvl w:ilvl="8" w:tplc="041B0005" w:tentative="1">
      <w:start w:val="1"/>
      <w:numFmt w:val="bullet"/>
      <w:lvlText w:val=""/>
      <w:lvlJc w:val="left"/>
      <w:pPr>
        <w:ind w:left="6906" w:hanging="360"/>
      </w:pPr>
      <w:rPr>
        <w:rFonts w:ascii="Wingdings" w:hAnsi="Wingdings" w:hint="default"/>
      </w:rPr>
    </w:lvl>
  </w:abstractNum>
  <w:abstractNum w:abstractNumId="25" w15:restartNumberingAfterBreak="0">
    <w:nsid w:val="358F72D6"/>
    <w:multiLevelType w:val="hybridMultilevel"/>
    <w:tmpl w:val="A30A595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3DFD55C0"/>
    <w:multiLevelType w:val="hybridMultilevel"/>
    <w:tmpl w:val="CB96B4EA"/>
    <w:lvl w:ilvl="0" w:tplc="21564236">
      <w:start w:val="1"/>
      <w:numFmt w:val="bullet"/>
      <w:pStyle w:val="KKODRKY2"/>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43FA1393"/>
    <w:multiLevelType w:val="hybridMultilevel"/>
    <w:tmpl w:val="6FE872B6"/>
    <w:lvl w:ilvl="0" w:tplc="52B07AB8">
      <w:start w:val="1"/>
      <w:numFmt w:val="bullet"/>
      <w:lvlText w:val=""/>
      <w:lvlJc w:val="left"/>
      <w:pPr>
        <w:tabs>
          <w:tab w:val="num" w:pos="720"/>
        </w:tabs>
        <w:ind w:left="720" w:hanging="360"/>
      </w:pPr>
      <w:rPr>
        <w:rFonts w:ascii="Symbol" w:hAnsi="Symbol" w:hint="default"/>
      </w:rPr>
    </w:lvl>
    <w:lvl w:ilvl="1" w:tplc="197275FC">
      <w:numFmt w:val="bullet"/>
      <w:lvlText w:val="-"/>
      <w:lvlJc w:val="left"/>
      <w:pPr>
        <w:tabs>
          <w:tab w:val="num" w:pos="1440"/>
        </w:tabs>
        <w:ind w:left="1440" w:hanging="360"/>
      </w:pPr>
      <w:rPr>
        <w:rFonts w:ascii="Arial" w:eastAsia="Times New Roman" w:hAnsi="Arial"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9157306"/>
    <w:multiLevelType w:val="hybridMultilevel"/>
    <w:tmpl w:val="EB440FF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15:restartNumberingAfterBreak="0">
    <w:nsid w:val="57634290"/>
    <w:multiLevelType w:val="hybridMultilevel"/>
    <w:tmpl w:val="39A49554"/>
    <w:lvl w:ilvl="0" w:tplc="052A7828">
      <w:start w:val="1"/>
      <w:numFmt w:val="lowerLetter"/>
      <w:lvlText w:val="%1)"/>
      <w:lvlJc w:val="left"/>
      <w:pPr>
        <w:tabs>
          <w:tab w:val="num" w:pos="927"/>
        </w:tabs>
        <w:ind w:left="927" w:hanging="360"/>
      </w:pPr>
      <w:rPr>
        <w:rFonts w:hint="default"/>
      </w:rPr>
    </w:lvl>
    <w:lvl w:ilvl="1" w:tplc="041B0019" w:tentative="1">
      <w:start w:val="1"/>
      <w:numFmt w:val="lowerLetter"/>
      <w:lvlText w:val="%2."/>
      <w:lvlJc w:val="left"/>
      <w:pPr>
        <w:tabs>
          <w:tab w:val="num" w:pos="1647"/>
        </w:tabs>
        <w:ind w:left="1647" w:hanging="360"/>
      </w:pPr>
    </w:lvl>
    <w:lvl w:ilvl="2" w:tplc="041B001B" w:tentative="1">
      <w:start w:val="1"/>
      <w:numFmt w:val="lowerRoman"/>
      <w:lvlText w:val="%3."/>
      <w:lvlJc w:val="right"/>
      <w:pPr>
        <w:tabs>
          <w:tab w:val="num" w:pos="2367"/>
        </w:tabs>
        <w:ind w:left="2367" w:hanging="180"/>
      </w:pPr>
    </w:lvl>
    <w:lvl w:ilvl="3" w:tplc="041B000F" w:tentative="1">
      <w:start w:val="1"/>
      <w:numFmt w:val="decimal"/>
      <w:lvlText w:val="%4."/>
      <w:lvlJc w:val="left"/>
      <w:pPr>
        <w:tabs>
          <w:tab w:val="num" w:pos="3087"/>
        </w:tabs>
        <w:ind w:left="3087" w:hanging="360"/>
      </w:pPr>
    </w:lvl>
    <w:lvl w:ilvl="4" w:tplc="041B0019" w:tentative="1">
      <w:start w:val="1"/>
      <w:numFmt w:val="lowerLetter"/>
      <w:lvlText w:val="%5."/>
      <w:lvlJc w:val="left"/>
      <w:pPr>
        <w:tabs>
          <w:tab w:val="num" w:pos="3807"/>
        </w:tabs>
        <w:ind w:left="3807" w:hanging="360"/>
      </w:pPr>
    </w:lvl>
    <w:lvl w:ilvl="5" w:tplc="041B001B" w:tentative="1">
      <w:start w:val="1"/>
      <w:numFmt w:val="lowerRoman"/>
      <w:lvlText w:val="%6."/>
      <w:lvlJc w:val="right"/>
      <w:pPr>
        <w:tabs>
          <w:tab w:val="num" w:pos="4527"/>
        </w:tabs>
        <w:ind w:left="4527" w:hanging="180"/>
      </w:pPr>
    </w:lvl>
    <w:lvl w:ilvl="6" w:tplc="041B000F" w:tentative="1">
      <w:start w:val="1"/>
      <w:numFmt w:val="decimal"/>
      <w:lvlText w:val="%7."/>
      <w:lvlJc w:val="left"/>
      <w:pPr>
        <w:tabs>
          <w:tab w:val="num" w:pos="5247"/>
        </w:tabs>
        <w:ind w:left="5247" w:hanging="360"/>
      </w:pPr>
    </w:lvl>
    <w:lvl w:ilvl="7" w:tplc="041B0019" w:tentative="1">
      <w:start w:val="1"/>
      <w:numFmt w:val="lowerLetter"/>
      <w:lvlText w:val="%8."/>
      <w:lvlJc w:val="left"/>
      <w:pPr>
        <w:tabs>
          <w:tab w:val="num" w:pos="5967"/>
        </w:tabs>
        <w:ind w:left="5967" w:hanging="360"/>
      </w:pPr>
    </w:lvl>
    <w:lvl w:ilvl="8" w:tplc="041B001B" w:tentative="1">
      <w:start w:val="1"/>
      <w:numFmt w:val="lowerRoman"/>
      <w:lvlText w:val="%9."/>
      <w:lvlJc w:val="right"/>
      <w:pPr>
        <w:tabs>
          <w:tab w:val="num" w:pos="6687"/>
        </w:tabs>
        <w:ind w:left="6687" w:hanging="180"/>
      </w:pPr>
    </w:lvl>
  </w:abstractNum>
  <w:abstractNum w:abstractNumId="30" w15:restartNumberingAfterBreak="0">
    <w:nsid w:val="59CC1D13"/>
    <w:multiLevelType w:val="hybridMultilevel"/>
    <w:tmpl w:val="3DAEBD86"/>
    <w:lvl w:ilvl="0" w:tplc="04050001">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5B495776"/>
    <w:multiLevelType w:val="hybridMultilevel"/>
    <w:tmpl w:val="5F06D534"/>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32" w15:restartNumberingAfterBreak="0">
    <w:nsid w:val="5CCA7B19"/>
    <w:multiLevelType w:val="hybridMultilevel"/>
    <w:tmpl w:val="AE3EF2AC"/>
    <w:lvl w:ilvl="0" w:tplc="041B000F">
      <w:start w:val="1"/>
      <w:numFmt w:val="decimal"/>
      <w:lvlText w:val="%1."/>
      <w:lvlJc w:val="left"/>
      <w:pPr>
        <w:ind w:left="1068" w:hanging="360"/>
      </w:pPr>
      <w:rPr>
        <w:rFonts w:hint="default"/>
      </w:rPr>
    </w:lvl>
    <w:lvl w:ilvl="1" w:tplc="041B0019" w:tentative="1">
      <w:start w:val="1"/>
      <w:numFmt w:val="lowerLetter"/>
      <w:lvlText w:val="%2."/>
      <w:lvlJc w:val="left"/>
      <w:pPr>
        <w:ind w:left="1788" w:hanging="360"/>
      </w:pPr>
    </w:lvl>
    <w:lvl w:ilvl="2" w:tplc="041B001B" w:tentative="1">
      <w:start w:val="1"/>
      <w:numFmt w:val="lowerRoman"/>
      <w:lvlText w:val="%3."/>
      <w:lvlJc w:val="right"/>
      <w:pPr>
        <w:ind w:left="2508" w:hanging="180"/>
      </w:pPr>
    </w:lvl>
    <w:lvl w:ilvl="3" w:tplc="041B000F" w:tentative="1">
      <w:start w:val="1"/>
      <w:numFmt w:val="decimal"/>
      <w:lvlText w:val="%4."/>
      <w:lvlJc w:val="left"/>
      <w:pPr>
        <w:ind w:left="3228" w:hanging="360"/>
      </w:pPr>
    </w:lvl>
    <w:lvl w:ilvl="4" w:tplc="041B0019" w:tentative="1">
      <w:start w:val="1"/>
      <w:numFmt w:val="lowerLetter"/>
      <w:lvlText w:val="%5."/>
      <w:lvlJc w:val="left"/>
      <w:pPr>
        <w:ind w:left="3948" w:hanging="360"/>
      </w:pPr>
    </w:lvl>
    <w:lvl w:ilvl="5" w:tplc="041B001B" w:tentative="1">
      <w:start w:val="1"/>
      <w:numFmt w:val="lowerRoman"/>
      <w:lvlText w:val="%6."/>
      <w:lvlJc w:val="right"/>
      <w:pPr>
        <w:ind w:left="4668" w:hanging="180"/>
      </w:pPr>
    </w:lvl>
    <w:lvl w:ilvl="6" w:tplc="041B000F" w:tentative="1">
      <w:start w:val="1"/>
      <w:numFmt w:val="decimal"/>
      <w:lvlText w:val="%7."/>
      <w:lvlJc w:val="left"/>
      <w:pPr>
        <w:ind w:left="5388" w:hanging="360"/>
      </w:pPr>
    </w:lvl>
    <w:lvl w:ilvl="7" w:tplc="041B0019" w:tentative="1">
      <w:start w:val="1"/>
      <w:numFmt w:val="lowerLetter"/>
      <w:lvlText w:val="%8."/>
      <w:lvlJc w:val="left"/>
      <w:pPr>
        <w:ind w:left="6108" w:hanging="360"/>
      </w:pPr>
    </w:lvl>
    <w:lvl w:ilvl="8" w:tplc="041B001B" w:tentative="1">
      <w:start w:val="1"/>
      <w:numFmt w:val="lowerRoman"/>
      <w:lvlText w:val="%9."/>
      <w:lvlJc w:val="right"/>
      <w:pPr>
        <w:ind w:left="6828" w:hanging="180"/>
      </w:pPr>
    </w:lvl>
  </w:abstractNum>
  <w:abstractNum w:abstractNumId="33" w15:restartNumberingAfterBreak="0">
    <w:nsid w:val="5E4E1A5E"/>
    <w:multiLevelType w:val="multilevel"/>
    <w:tmpl w:val="20EE9E80"/>
    <w:lvl w:ilvl="0">
      <w:start w:val="1"/>
      <w:numFmt w:val="upperRoman"/>
      <w:pStyle w:val="Nadpis1"/>
      <w:lvlText w:val="%1"/>
      <w:lvlJc w:val="left"/>
      <w:pPr>
        <w:tabs>
          <w:tab w:val="num" w:pos="720"/>
        </w:tabs>
        <w:ind w:left="432" w:hanging="432"/>
      </w:pPr>
      <w:rPr>
        <w:rFonts w:cs="Times New Roman" w:hint="default"/>
      </w:rPr>
    </w:lvl>
    <w:lvl w:ilvl="1">
      <w:start w:val="1"/>
      <w:numFmt w:val="decimal"/>
      <w:pStyle w:val="Nadpis2"/>
      <w:lvlText w:val="%1.%2"/>
      <w:lvlJc w:val="left"/>
      <w:pPr>
        <w:tabs>
          <w:tab w:val="num" w:pos="2845"/>
        </w:tabs>
        <w:ind w:left="2845" w:hanging="576"/>
      </w:pPr>
      <w:rPr>
        <w:rFonts w:cs="Times New Roman" w:hint="default"/>
      </w:rPr>
    </w:lvl>
    <w:lvl w:ilvl="2">
      <w:start w:val="1"/>
      <w:numFmt w:val="decimal"/>
      <w:pStyle w:val="3rovenadpis"/>
      <w:lvlText w:val="%1.%2.%3"/>
      <w:lvlJc w:val="left"/>
      <w:pPr>
        <w:tabs>
          <w:tab w:val="num" w:pos="720"/>
        </w:tabs>
        <w:ind w:left="720" w:hanging="720"/>
      </w:pPr>
    </w:lvl>
    <w:lvl w:ilvl="3">
      <w:start w:val="1"/>
      <w:numFmt w:val="decimal"/>
      <w:lvlText w:val="%1.%2.%3.%4"/>
      <w:lvlJc w:val="left"/>
      <w:pPr>
        <w:tabs>
          <w:tab w:val="num" w:pos="1148"/>
        </w:tabs>
        <w:ind w:left="1148" w:hanging="864"/>
      </w:pPr>
      <w:rPr>
        <w:rFonts w:cs="Times New Roman" w:hint="default"/>
      </w:rPr>
    </w:lvl>
    <w:lvl w:ilvl="4">
      <w:start w:val="1"/>
      <w:numFmt w:val="decimal"/>
      <w:lvlText w:val="%1.%2.%3.%4.%5"/>
      <w:lvlJc w:val="left"/>
      <w:pPr>
        <w:tabs>
          <w:tab w:val="num" w:pos="1440"/>
        </w:tabs>
        <w:ind w:left="1008" w:hanging="1008"/>
      </w:pPr>
      <w:rPr>
        <w:rFonts w:cs="Times New Roman" w:hint="default"/>
      </w:rPr>
    </w:lvl>
    <w:lvl w:ilvl="5">
      <w:start w:val="1"/>
      <w:numFmt w:val="decimal"/>
      <w:pStyle w:val="Nadpis6"/>
      <w:lvlText w:val="%1.%2.%3.%4.%5.%6"/>
      <w:lvlJc w:val="left"/>
      <w:pPr>
        <w:tabs>
          <w:tab w:val="num" w:pos="1152"/>
        </w:tabs>
        <w:ind w:left="1152" w:hanging="1152"/>
      </w:pPr>
      <w:rPr>
        <w:rFonts w:cs="Times New Roman" w:hint="default"/>
      </w:rPr>
    </w:lvl>
    <w:lvl w:ilvl="6">
      <w:start w:val="1"/>
      <w:numFmt w:val="decimal"/>
      <w:pStyle w:val="Nadpis7"/>
      <w:lvlText w:val="%1.%2.%3.%4.%5.%6.%7"/>
      <w:lvlJc w:val="left"/>
      <w:pPr>
        <w:tabs>
          <w:tab w:val="num" w:pos="1296"/>
        </w:tabs>
        <w:ind w:left="1296" w:hanging="1296"/>
      </w:pPr>
      <w:rPr>
        <w:rFonts w:cs="Times New Roman" w:hint="default"/>
      </w:rPr>
    </w:lvl>
    <w:lvl w:ilvl="7">
      <w:start w:val="1"/>
      <w:numFmt w:val="decimal"/>
      <w:pStyle w:val="Nadpis8"/>
      <w:lvlText w:val="%1.%2.%3.%4.%5.%6.%7.%8"/>
      <w:lvlJc w:val="left"/>
      <w:pPr>
        <w:tabs>
          <w:tab w:val="num" w:pos="1440"/>
        </w:tabs>
        <w:ind w:left="1440" w:hanging="1440"/>
      </w:pPr>
      <w:rPr>
        <w:rFonts w:cs="Times New Roman" w:hint="default"/>
      </w:rPr>
    </w:lvl>
    <w:lvl w:ilvl="8">
      <w:start w:val="1"/>
      <w:numFmt w:val="decimal"/>
      <w:pStyle w:val="Nadpis9"/>
      <w:lvlText w:val="%1.%2.%3.%4.%5.%6.%7.%8.%9"/>
      <w:lvlJc w:val="left"/>
      <w:pPr>
        <w:tabs>
          <w:tab w:val="num" w:pos="1584"/>
        </w:tabs>
        <w:ind w:left="1584" w:hanging="1584"/>
      </w:pPr>
      <w:rPr>
        <w:rFonts w:cs="Times New Roman" w:hint="default"/>
      </w:rPr>
    </w:lvl>
  </w:abstractNum>
  <w:abstractNum w:abstractNumId="34" w15:restartNumberingAfterBreak="0">
    <w:nsid w:val="60446C8F"/>
    <w:multiLevelType w:val="hybridMultilevel"/>
    <w:tmpl w:val="C3E6D0D0"/>
    <w:lvl w:ilvl="0" w:tplc="041B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5" w15:restartNumberingAfterBreak="0">
    <w:nsid w:val="613171C8"/>
    <w:multiLevelType w:val="hybridMultilevel"/>
    <w:tmpl w:val="956AAC9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15:restartNumberingAfterBreak="0">
    <w:nsid w:val="62605A51"/>
    <w:multiLevelType w:val="hybridMultilevel"/>
    <w:tmpl w:val="194028E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3591AD9"/>
    <w:multiLevelType w:val="hybridMultilevel"/>
    <w:tmpl w:val="38F46212"/>
    <w:lvl w:ilvl="0" w:tplc="041B0001">
      <w:start w:val="1"/>
      <w:numFmt w:val="bullet"/>
      <w:lvlText w:val=""/>
      <w:lvlJc w:val="left"/>
      <w:pPr>
        <w:ind w:left="1146" w:hanging="360"/>
      </w:pPr>
      <w:rPr>
        <w:rFonts w:ascii="Symbol" w:hAnsi="Symbol" w:hint="default"/>
      </w:rPr>
    </w:lvl>
    <w:lvl w:ilvl="1" w:tplc="041B0003" w:tentative="1">
      <w:start w:val="1"/>
      <w:numFmt w:val="bullet"/>
      <w:lvlText w:val="o"/>
      <w:lvlJc w:val="left"/>
      <w:pPr>
        <w:ind w:left="1866" w:hanging="360"/>
      </w:pPr>
      <w:rPr>
        <w:rFonts w:ascii="Courier New" w:hAnsi="Courier New" w:cs="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cs="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cs="Courier New" w:hint="default"/>
      </w:rPr>
    </w:lvl>
    <w:lvl w:ilvl="8" w:tplc="041B0005" w:tentative="1">
      <w:start w:val="1"/>
      <w:numFmt w:val="bullet"/>
      <w:lvlText w:val=""/>
      <w:lvlJc w:val="left"/>
      <w:pPr>
        <w:ind w:left="6906" w:hanging="360"/>
      </w:pPr>
      <w:rPr>
        <w:rFonts w:ascii="Wingdings" w:hAnsi="Wingdings" w:hint="default"/>
      </w:rPr>
    </w:lvl>
  </w:abstractNum>
  <w:abstractNum w:abstractNumId="38" w15:restartNumberingAfterBreak="0">
    <w:nsid w:val="643B03A2"/>
    <w:multiLevelType w:val="hybridMultilevel"/>
    <w:tmpl w:val="18CEF3A8"/>
    <w:lvl w:ilvl="0" w:tplc="041B0003">
      <w:start w:val="1"/>
      <w:numFmt w:val="bullet"/>
      <w:lvlText w:val=""/>
      <w:lvlJc w:val="left"/>
      <w:pPr>
        <w:tabs>
          <w:tab w:val="num" w:pos="720"/>
        </w:tabs>
        <w:ind w:left="720" w:hanging="360"/>
      </w:pPr>
      <w:rPr>
        <w:rFonts w:ascii="Wingdings" w:hAnsi="Wingdings" w:hint="default"/>
        <w:sz w:val="16"/>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77E1036"/>
    <w:multiLevelType w:val="hybridMultilevel"/>
    <w:tmpl w:val="14263C54"/>
    <w:lvl w:ilvl="0" w:tplc="041B0001">
      <w:start w:val="1"/>
      <w:numFmt w:val="bullet"/>
      <w:lvlText w:val=""/>
      <w:lvlJc w:val="left"/>
      <w:pPr>
        <w:ind w:left="1145" w:hanging="360"/>
      </w:pPr>
      <w:rPr>
        <w:rFonts w:ascii="Symbol" w:hAnsi="Symbol" w:hint="default"/>
      </w:rPr>
    </w:lvl>
    <w:lvl w:ilvl="1" w:tplc="041B0003" w:tentative="1">
      <w:start w:val="1"/>
      <w:numFmt w:val="bullet"/>
      <w:lvlText w:val="o"/>
      <w:lvlJc w:val="left"/>
      <w:pPr>
        <w:ind w:left="1865" w:hanging="360"/>
      </w:pPr>
      <w:rPr>
        <w:rFonts w:ascii="Courier New" w:hAnsi="Courier New" w:cs="Courier New" w:hint="default"/>
      </w:rPr>
    </w:lvl>
    <w:lvl w:ilvl="2" w:tplc="041B0005" w:tentative="1">
      <w:start w:val="1"/>
      <w:numFmt w:val="bullet"/>
      <w:lvlText w:val=""/>
      <w:lvlJc w:val="left"/>
      <w:pPr>
        <w:ind w:left="2585" w:hanging="360"/>
      </w:pPr>
      <w:rPr>
        <w:rFonts w:ascii="Wingdings" w:hAnsi="Wingdings" w:hint="default"/>
      </w:rPr>
    </w:lvl>
    <w:lvl w:ilvl="3" w:tplc="041B0001" w:tentative="1">
      <w:start w:val="1"/>
      <w:numFmt w:val="bullet"/>
      <w:lvlText w:val=""/>
      <w:lvlJc w:val="left"/>
      <w:pPr>
        <w:ind w:left="3305" w:hanging="360"/>
      </w:pPr>
      <w:rPr>
        <w:rFonts w:ascii="Symbol" w:hAnsi="Symbol" w:hint="default"/>
      </w:rPr>
    </w:lvl>
    <w:lvl w:ilvl="4" w:tplc="041B0003" w:tentative="1">
      <w:start w:val="1"/>
      <w:numFmt w:val="bullet"/>
      <w:lvlText w:val="o"/>
      <w:lvlJc w:val="left"/>
      <w:pPr>
        <w:ind w:left="4025" w:hanging="360"/>
      </w:pPr>
      <w:rPr>
        <w:rFonts w:ascii="Courier New" w:hAnsi="Courier New" w:cs="Courier New" w:hint="default"/>
      </w:rPr>
    </w:lvl>
    <w:lvl w:ilvl="5" w:tplc="041B0005" w:tentative="1">
      <w:start w:val="1"/>
      <w:numFmt w:val="bullet"/>
      <w:lvlText w:val=""/>
      <w:lvlJc w:val="left"/>
      <w:pPr>
        <w:ind w:left="4745" w:hanging="360"/>
      </w:pPr>
      <w:rPr>
        <w:rFonts w:ascii="Wingdings" w:hAnsi="Wingdings" w:hint="default"/>
      </w:rPr>
    </w:lvl>
    <w:lvl w:ilvl="6" w:tplc="041B0001" w:tentative="1">
      <w:start w:val="1"/>
      <w:numFmt w:val="bullet"/>
      <w:lvlText w:val=""/>
      <w:lvlJc w:val="left"/>
      <w:pPr>
        <w:ind w:left="5465" w:hanging="360"/>
      </w:pPr>
      <w:rPr>
        <w:rFonts w:ascii="Symbol" w:hAnsi="Symbol" w:hint="default"/>
      </w:rPr>
    </w:lvl>
    <w:lvl w:ilvl="7" w:tplc="041B0003" w:tentative="1">
      <w:start w:val="1"/>
      <w:numFmt w:val="bullet"/>
      <w:lvlText w:val="o"/>
      <w:lvlJc w:val="left"/>
      <w:pPr>
        <w:ind w:left="6185" w:hanging="360"/>
      </w:pPr>
      <w:rPr>
        <w:rFonts w:ascii="Courier New" w:hAnsi="Courier New" w:cs="Courier New" w:hint="default"/>
      </w:rPr>
    </w:lvl>
    <w:lvl w:ilvl="8" w:tplc="041B0005" w:tentative="1">
      <w:start w:val="1"/>
      <w:numFmt w:val="bullet"/>
      <w:lvlText w:val=""/>
      <w:lvlJc w:val="left"/>
      <w:pPr>
        <w:ind w:left="6905" w:hanging="360"/>
      </w:pPr>
      <w:rPr>
        <w:rFonts w:ascii="Wingdings" w:hAnsi="Wingdings" w:hint="default"/>
      </w:rPr>
    </w:lvl>
  </w:abstractNum>
  <w:abstractNum w:abstractNumId="40" w15:restartNumberingAfterBreak="0">
    <w:nsid w:val="68223F7C"/>
    <w:multiLevelType w:val="hybridMultilevel"/>
    <w:tmpl w:val="185022B0"/>
    <w:lvl w:ilvl="0" w:tplc="041B0001">
      <w:start w:val="1"/>
      <w:numFmt w:val="bullet"/>
      <w:lvlText w:val=""/>
      <w:lvlJc w:val="left"/>
      <w:pPr>
        <w:ind w:left="1996" w:hanging="360"/>
      </w:pPr>
      <w:rPr>
        <w:rFonts w:ascii="Symbol" w:hAnsi="Symbol" w:hint="default"/>
      </w:rPr>
    </w:lvl>
    <w:lvl w:ilvl="1" w:tplc="041B0003" w:tentative="1">
      <w:start w:val="1"/>
      <w:numFmt w:val="bullet"/>
      <w:lvlText w:val="o"/>
      <w:lvlJc w:val="left"/>
      <w:pPr>
        <w:ind w:left="2716" w:hanging="360"/>
      </w:pPr>
      <w:rPr>
        <w:rFonts w:ascii="Courier New" w:hAnsi="Courier New" w:hint="default"/>
      </w:rPr>
    </w:lvl>
    <w:lvl w:ilvl="2" w:tplc="041B0005" w:tentative="1">
      <w:start w:val="1"/>
      <w:numFmt w:val="bullet"/>
      <w:lvlText w:val=""/>
      <w:lvlJc w:val="left"/>
      <w:pPr>
        <w:ind w:left="3436" w:hanging="360"/>
      </w:pPr>
      <w:rPr>
        <w:rFonts w:ascii="Wingdings" w:hAnsi="Wingdings" w:hint="default"/>
      </w:rPr>
    </w:lvl>
    <w:lvl w:ilvl="3" w:tplc="041B0001" w:tentative="1">
      <w:start w:val="1"/>
      <w:numFmt w:val="bullet"/>
      <w:lvlText w:val=""/>
      <w:lvlJc w:val="left"/>
      <w:pPr>
        <w:ind w:left="4156" w:hanging="360"/>
      </w:pPr>
      <w:rPr>
        <w:rFonts w:ascii="Symbol" w:hAnsi="Symbol" w:hint="default"/>
      </w:rPr>
    </w:lvl>
    <w:lvl w:ilvl="4" w:tplc="041B0003" w:tentative="1">
      <w:start w:val="1"/>
      <w:numFmt w:val="bullet"/>
      <w:lvlText w:val="o"/>
      <w:lvlJc w:val="left"/>
      <w:pPr>
        <w:ind w:left="4876" w:hanging="360"/>
      </w:pPr>
      <w:rPr>
        <w:rFonts w:ascii="Courier New" w:hAnsi="Courier New" w:hint="default"/>
      </w:rPr>
    </w:lvl>
    <w:lvl w:ilvl="5" w:tplc="041B0005" w:tentative="1">
      <w:start w:val="1"/>
      <w:numFmt w:val="bullet"/>
      <w:lvlText w:val=""/>
      <w:lvlJc w:val="left"/>
      <w:pPr>
        <w:ind w:left="5596" w:hanging="360"/>
      </w:pPr>
      <w:rPr>
        <w:rFonts w:ascii="Wingdings" w:hAnsi="Wingdings" w:hint="default"/>
      </w:rPr>
    </w:lvl>
    <w:lvl w:ilvl="6" w:tplc="041B0001" w:tentative="1">
      <w:start w:val="1"/>
      <w:numFmt w:val="bullet"/>
      <w:lvlText w:val=""/>
      <w:lvlJc w:val="left"/>
      <w:pPr>
        <w:ind w:left="6316" w:hanging="360"/>
      </w:pPr>
      <w:rPr>
        <w:rFonts w:ascii="Symbol" w:hAnsi="Symbol" w:hint="default"/>
      </w:rPr>
    </w:lvl>
    <w:lvl w:ilvl="7" w:tplc="041B0003" w:tentative="1">
      <w:start w:val="1"/>
      <w:numFmt w:val="bullet"/>
      <w:lvlText w:val="o"/>
      <w:lvlJc w:val="left"/>
      <w:pPr>
        <w:ind w:left="7036" w:hanging="360"/>
      </w:pPr>
      <w:rPr>
        <w:rFonts w:ascii="Courier New" w:hAnsi="Courier New" w:hint="default"/>
      </w:rPr>
    </w:lvl>
    <w:lvl w:ilvl="8" w:tplc="041B0005" w:tentative="1">
      <w:start w:val="1"/>
      <w:numFmt w:val="bullet"/>
      <w:lvlText w:val=""/>
      <w:lvlJc w:val="left"/>
      <w:pPr>
        <w:ind w:left="7756" w:hanging="360"/>
      </w:pPr>
      <w:rPr>
        <w:rFonts w:ascii="Wingdings" w:hAnsi="Wingdings" w:hint="default"/>
      </w:rPr>
    </w:lvl>
  </w:abstractNum>
  <w:abstractNum w:abstractNumId="41" w15:restartNumberingAfterBreak="0">
    <w:nsid w:val="68FD7133"/>
    <w:multiLevelType w:val="hybridMultilevel"/>
    <w:tmpl w:val="22707C8A"/>
    <w:lvl w:ilvl="0" w:tplc="041B0001">
      <w:start w:val="1"/>
      <w:numFmt w:val="bullet"/>
      <w:lvlText w:val=""/>
      <w:lvlJc w:val="left"/>
      <w:pPr>
        <w:ind w:left="1068" w:hanging="360"/>
      </w:pPr>
      <w:rPr>
        <w:rFonts w:ascii="Symbol" w:hAnsi="Symbol" w:hint="default"/>
      </w:rPr>
    </w:lvl>
    <w:lvl w:ilvl="1" w:tplc="041B0001" w:tentative="1">
      <w:start w:val="1"/>
      <w:numFmt w:val="lowerLetter"/>
      <w:lvlText w:val="%2."/>
      <w:lvlJc w:val="left"/>
      <w:pPr>
        <w:ind w:left="1788" w:hanging="360"/>
      </w:pPr>
      <w:rPr>
        <w:rFonts w:cs="Times New Roman"/>
      </w:rPr>
    </w:lvl>
    <w:lvl w:ilvl="2" w:tplc="041B0005" w:tentative="1">
      <w:start w:val="1"/>
      <w:numFmt w:val="lowerRoman"/>
      <w:lvlText w:val="%3."/>
      <w:lvlJc w:val="right"/>
      <w:pPr>
        <w:ind w:left="2508" w:hanging="180"/>
      </w:pPr>
      <w:rPr>
        <w:rFonts w:cs="Times New Roman"/>
      </w:rPr>
    </w:lvl>
    <w:lvl w:ilvl="3" w:tplc="041B0001" w:tentative="1">
      <w:start w:val="1"/>
      <w:numFmt w:val="decimal"/>
      <w:lvlText w:val="%4."/>
      <w:lvlJc w:val="left"/>
      <w:pPr>
        <w:ind w:left="3228" w:hanging="360"/>
      </w:pPr>
      <w:rPr>
        <w:rFonts w:cs="Times New Roman"/>
      </w:rPr>
    </w:lvl>
    <w:lvl w:ilvl="4" w:tplc="041B0003" w:tentative="1">
      <w:start w:val="1"/>
      <w:numFmt w:val="lowerLetter"/>
      <w:lvlText w:val="%5."/>
      <w:lvlJc w:val="left"/>
      <w:pPr>
        <w:ind w:left="3948" w:hanging="360"/>
      </w:pPr>
      <w:rPr>
        <w:rFonts w:cs="Times New Roman"/>
      </w:rPr>
    </w:lvl>
    <w:lvl w:ilvl="5" w:tplc="041B0005" w:tentative="1">
      <w:start w:val="1"/>
      <w:numFmt w:val="lowerRoman"/>
      <w:lvlText w:val="%6."/>
      <w:lvlJc w:val="right"/>
      <w:pPr>
        <w:ind w:left="4668" w:hanging="180"/>
      </w:pPr>
      <w:rPr>
        <w:rFonts w:cs="Times New Roman"/>
      </w:rPr>
    </w:lvl>
    <w:lvl w:ilvl="6" w:tplc="041B0001" w:tentative="1">
      <w:start w:val="1"/>
      <w:numFmt w:val="decimal"/>
      <w:lvlText w:val="%7."/>
      <w:lvlJc w:val="left"/>
      <w:pPr>
        <w:ind w:left="5388" w:hanging="360"/>
      </w:pPr>
      <w:rPr>
        <w:rFonts w:cs="Times New Roman"/>
      </w:rPr>
    </w:lvl>
    <w:lvl w:ilvl="7" w:tplc="041B0003" w:tentative="1">
      <w:start w:val="1"/>
      <w:numFmt w:val="lowerLetter"/>
      <w:lvlText w:val="%8."/>
      <w:lvlJc w:val="left"/>
      <w:pPr>
        <w:ind w:left="6108" w:hanging="360"/>
      </w:pPr>
      <w:rPr>
        <w:rFonts w:cs="Times New Roman"/>
      </w:rPr>
    </w:lvl>
    <w:lvl w:ilvl="8" w:tplc="041B0005" w:tentative="1">
      <w:start w:val="1"/>
      <w:numFmt w:val="lowerRoman"/>
      <w:lvlText w:val="%9."/>
      <w:lvlJc w:val="right"/>
      <w:pPr>
        <w:ind w:left="6828" w:hanging="180"/>
      </w:pPr>
      <w:rPr>
        <w:rFonts w:cs="Times New Roman"/>
      </w:rPr>
    </w:lvl>
  </w:abstractNum>
  <w:abstractNum w:abstractNumId="42" w15:restartNumberingAfterBreak="0">
    <w:nsid w:val="6CA41ED2"/>
    <w:multiLevelType w:val="hybridMultilevel"/>
    <w:tmpl w:val="E12E5182"/>
    <w:lvl w:ilvl="0" w:tplc="57C0F552">
      <w:start w:val="2"/>
      <w:numFmt w:val="bullet"/>
      <w:pStyle w:val="Zoznamsodrkami1"/>
      <w:lvlText w:val="-"/>
      <w:lvlJc w:val="left"/>
      <w:pPr>
        <w:ind w:left="1440" w:hanging="360"/>
      </w:pPr>
      <w:rPr>
        <w:rFonts w:ascii="Calibri" w:eastAsia="Times New Roman" w:hAnsi="Calibri" w:hint="default"/>
      </w:rPr>
    </w:lvl>
    <w:lvl w:ilvl="1" w:tplc="04050003" w:tentative="1">
      <w:start w:val="1"/>
      <w:numFmt w:val="bullet"/>
      <w:lvlText w:val="o"/>
      <w:lvlJc w:val="left"/>
      <w:pPr>
        <w:ind w:left="2160" w:hanging="360"/>
      </w:pPr>
      <w:rPr>
        <w:rFonts w:ascii="Courier New" w:hAnsi="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3" w15:restartNumberingAfterBreak="0">
    <w:nsid w:val="6DD97C83"/>
    <w:multiLevelType w:val="hybridMultilevel"/>
    <w:tmpl w:val="A39C1466"/>
    <w:lvl w:ilvl="0" w:tplc="041B0001">
      <w:start w:val="1"/>
      <w:numFmt w:val="bullet"/>
      <w:lvlText w:val=""/>
      <w:lvlJc w:val="left"/>
      <w:pPr>
        <w:ind w:left="1146" w:hanging="360"/>
      </w:pPr>
      <w:rPr>
        <w:rFonts w:ascii="Symbol" w:hAnsi="Symbol" w:hint="default"/>
      </w:rPr>
    </w:lvl>
    <w:lvl w:ilvl="1" w:tplc="041B0003" w:tentative="1">
      <w:start w:val="1"/>
      <w:numFmt w:val="bullet"/>
      <w:lvlText w:val="o"/>
      <w:lvlJc w:val="left"/>
      <w:pPr>
        <w:ind w:left="1866" w:hanging="360"/>
      </w:pPr>
      <w:rPr>
        <w:rFonts w:ascii="Courier New" w:hAnsi="Courier New" w:cs="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cs="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cs="Courier New" w:hint="default"/>
      </w:rPr>
    </w:lvl>
    <w:lvl w:ilvl="8" w:tplc="041B0005" w:tentative="1">
      <w:start w:val="1"/>
      <w:numFmt w:val="bullet"/>
      <w:lvlText w:val=""/>
      <w:lvlJc w:val="left"/>
      <w:pPr>
        <w:ind w:left="6906" w:hanging="360"/>
      </w:pPr>
      <w:rPr>
        <w:rFonts w:ascii="Wingdings" w:hAnsi="Wingdings" w:hint="default"/>
      </w:rPr>
    </w:lvl>
  </w:abstractNum>
  <w:abstractNum w:abstractNumId="44" w15:restartNumberingAfterBreak="0">
    <w:nsid w:val="77D755A2"/>
    <w:multiLevelType w:val="hybridMultilevel"/>
    <w:tmpl w:val="D27438AA"/>
    <w:lvl w:ilvl="0" w:tplc="041B0001">
      <w:start w:val="1"/>
      <w:numFmt w:val="bullet"/>
      <w:lvlText w:val=""/>
      <w:lvlJc w:val="left"/>
      <w:pPr>
        <w:ind w:left="1146" w:hanging="360"/>
      </w:pPr>
      <w:rPr>
        <w:rFonts w:ascii="Symbol" w:hAnsi="Symbol" w:hint="default"/>
      </w:rPr>
    </w:lvl>
    <w:lvl w:ilvl="1" w:tplc="041B0003" w:tentative="1">
      <w:start w:val="1"/>
      <w:numFmt w:val="bullet"/>
      <w:lvlText w:val="o"/>
      <w:lvlJc w:val="left"/>
      <w:pPr>
        <w:ind w:left="1866" w:hanging="360"/>
      </w:pPr>
      <w:rPr>
        <w:rFonts w:ascii="Courier New" w:hAnsi="Courier New" w:cs="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cs="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cs="Courier New" w:hint="default"/>
      </w:rPr>
    </w:lvl>
    <w:lvl w:ilvl="8" w:tplc="041B0005" w:tentative="1">
      <w:start w:val="1"/>
      <w:numFmt w:val="bullet"/>
      <w:lvlText w:val=""/>
      <w:lvlJc w:val="left"/>
      <w:pPr>
        <w:ind w:left="6906" w:hanging="360"/>
      </w:pPr>
      <w:rPr>
        <w:rFonts w:ascii="Wingdings" w:hAnsi="Wingdings" w:hint="default"/>
      </w:rPr>
    </w:lvl>
  </w:abstractNum>
  <w:abstractNum w:abstractNumId="45" w15:restartNumberingAfterBreak="0">
    <w:nsid w:val="7B513103"/>
    <w:multiLevelType w:val="hybridMultilevel"/>
    <w:tmpl w:val="1EC6E9D2"/>
    <w:lvl w:ilvl="0" w:tplc="041B0001">
      <w:start w:val="1"/>
      <w:numFmt w:val="decimal"/>
      <w:lvlText w:val="%1."/>
      <w:lvlJc w:val="left"/>
      <w:pPr>
        <w:tabs>
          <w:tab w:val="num" w:pos="1410"/>
        </w:tabs>
        <w:ind w:left="1410" w:hanging="690"/>
      </w:pPr>
      <w:rPr>
        <w:rFonts w:cs="Times New Roman" w:hint="default"/>
      </w:rPr>
    </w:lvl>
    <w:lvl w:ilvl="1" w:tplc="BB3A2A58">
      <w:start w:val="1"/>
      <w:numFmt w:val="decimal"/>
      <w:lvlText w:val="%2."/>
      <w:lvlJc w:val="left"/>
      <w:pPr>
        <w:tabs>
          <w:tab w:val="num" w:pos="1800"/>
        </w:tabs>
        <w:ind w:left="1800" w:hanging="360"/>
      </w:pPr>
      <w:rPr>
        <w:rFonts w:cs="Times New Roman"/>
      </w:rPr>
    </w:lvl>
    <w:lvl w:ilvl="2" w:tplc="041B0005" w:tentative="1">
      <w:start w:val="1"/>
      <w:numFmt w:val="lowerRoman"/>
      <w:lvlText w:val="%3."/>
      <w:lvlJc w:val="right"/>
      <w:pPr>
        <w:tabs>
          <w:tab w:val="num" w:pos="2520"/>
        </w:tabs>
        <w:ind w:left="2520" w:hanging="180"/>
      </w:pPr>
      <w:rPr>
        <w:rFonts w:cs="Times New Roman"/>
      </w:rPr>
    </w:lvl>
    <w:lvl w:ilvl="3" w:tplc="041B0001" w:tentative="1">
      <w:start w:val="1"/>
      <w:numFmt w:val="decimal"/>
      <w:lvlText w:val="%4."/>
      <w:lvlJc w:val="left"/>
      <w:pPr>
        <w:tabs>
          <w:tab w:val="num" w:pos="3240"/>
        </w:tabs>
        <w:ind w:left="3240" w:hanging="360"/>
      </w:pPr>
      <w:rPr>
        <w:rFonts w:cs="Times New Roman"/>
      </w:rPr>
    </w:lvl>
    <w:lvl w:ilvl="4" w:tplc="041B0003" w:tentative="1">
      <w:start w:val="1"/>
      <w:numFmt w:val="lowerLetter"/>
      <w:lvlText w:val="%5."/>
      <w:lvlJc w:val="left"/>
      <w:pPr>
        <w:tabs>
          <w:tab w:val="num" w:pos="3960"/>
        </w:tabs>
        <w:ind w:left="3960" w:hanging="360"/>
      </w:pPr>
      <w:rPr>
        <w:rFonts w:cs="Times New Roman"/>
      </w:rPr>
    </w:lvl>
    <w:lvl w:ilvl="5" w:tplc="041B0005" w:tentative="1">
      <w:start w:val="1"/>
      <w:numFmt w:val="lowerRoman"/>
      <w:lvlText w:val="%6."/>
      <w:lvlJc w:val="right"/>
      <w:pPr>
        <w:tabs>
          <w:tab w:val="num" w:pos="4680"/>
        </w:tabs>
        <w:ind w:left="4680" w:hanging="180"/>
      </w:pPr>
      <w:rPr>
        <w:rFonts w:cs="Times New Roman"/>
      </w:rPr>
    </w:lvl>
    <w:lvl w:ilvl="6" w:tplc="041B0001" w:tentative="1">
      <w:start w:val="1"/>
      <w:numFmt w:val="decimal"/>
      <w:lvlText w:val="%7."/>
      <w:lvlJc w:val="left"/>
      <w:pPr>
        <w:tabs>
          <w:tab w:val="num" w:pos="5400"/>
        </w:tabs>
        <w:ind w:left="5400" w:hanging="360"/>
      </w:pPr>
      <w:rPr>
        <w:rFonts w:cs="Times New Roman"/>
      </w:rPr>
    </w:lvl>
    <w:lvl w:ilvl="7" w:tplc="041B0003" w:tentative="1">
      <w:start w:val="1"/>
      <w:numFmt w:val="lowerLetter"/>
      <w:lvlText w:val="%8."/>
      <w:lvlJc w:val="left"/>
      <w:pPr>
        <w:tabs>
          <w:tab w:val="num" w:pos="6120"/>
        </w:tabs>
        <w:ind w:left="6120" w:hanging="360"/>
      </w:pPr>
      <w:rPr>
        <w:rFonts w:cs="Times New Roman"/>
      </w:rPr>
    </w:lvl>
    <w:lvl w:ilvl="8" w:tplc="041B0005" w:tentative="1">
      <w:start w:val="1"/>
      <w:numFmt w:val="lowerRoman"/>
      <w:lvlText w:val="%9."/>
      <w:lvlJc w:val="right"/>
      <w:pPr>
        <w:tabs>
          <w:tab w:val="num" w:pos="6840"/>
        </w:tabs>
        <w:ind w:left="6840" w:hanging="180"/>
      </w:pPr>
      <w:rPr>
        <w:rFonts w:cs="Times New Roman"/>
      </w:rPr>
    </w:lvl>
  </w:abstractNum>
  <w:abstractNum w:abstractNumId="46" w15:restartNumberingAfterBreak="0">
    <w:nsid w:val="7F040B7B"/>
    <w:multiLevelType w:val="hybridMultilevel"/>
    <w:tmpl w:val="402ADBB8"/>
    <w:lvl w:ilvl="0" w:tplc="041B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num w:numId="1">
    <w:abstractNumId w:val="33"/>
  </w:num>
  <w:num w:numId="2">
    <w:abstractNumId w:val="13"/>
  </w:num>
  <w:num w:numId="3">
    <w:abstractNumId w:val="27"/>
  </w:num>
  <w:num w:numId="4">
    <w:abstractNumId w:val="38"/>
  </w:num>
  <w:num w:numId="5">
    <w:abstractNumId w:val="23"/>
  </w:num>
  <w:num w:numId="6">
    <w:abstractNumId w:val="4"/>
  </w:num>
  <w:num w:numId="7">
    <w:abstractNumId w:val="36"/>
  </w:num>
  <w:num w:numId="8">
    <w:abstractNumId w:val="6"/>
  </w:num>
  <w:num w:numId="9">
    <w:abstractNumId w:val="14"/>
  </w:num>
  <w:num w:numId="10">
    <w:abstractNumId w:val="20"/>
  </w:num>
  <w:num w:numId="11">
    <w:abstractNumId w:val="45"/>
  </w:num>
  <w:num w:numId="12">
    <w:abstractNumId w:val="16"/>
  </w:num>
  <w:num w:numId="13">
    <w:abstractNumId w:val="0"/>
    <w:lvlOverride w:ilvl="0">
      <w:lvl w:ilvl="0">
        <w:start w:val="1"/>
        <w:numFmt w:val="bullet"/>
        <w:lvlText w:val=""/>
        <w:legacy w:legacy="1" w:legacySpace="0" w:legacyIndent="283"/>
        <w:lvlJc w:val="left"/>
        <w:pPr>
          <w:ind w:left="1134" w:hanging="283"/>
        </w:pPr>
        <w:rPr>
          <w:rFonts w:ascii="Symbol" w:hAnsi="Symbol" w:hint="default"/>
        </w:rPr>
      </w:lvl>
    </w:lvlOverride>
  </w:num>
  <w:num w:numId="14">
    <w:abstractNumId w:val="42"/>
  </w:num>
  <w:num w:numId="15">
    <w:abstractNumId w:val="26"/>
  </w:num>
  <w:num w:numId="16">
    <w:abstractNumId w:val="8"/>
  </w:num>
  <w:num w:numId="17">
    <w:abstractNumId w:val="40"/>
  </w:num>
  <w:num w:numId="18">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2"/>
  </w:num>
  <w:num w:numId="20">
    <w:abstractNumId w:val="15"/>
  </w:num>
  <w:num w:numId="21">
    <w:abstractNumId w:val="28"/>
  </w:num>
  <w:num w:numId="22">
    <w:abstractNumId w:val="25"/>
  </w:num>
  <w:num w:numId="23">
    <w:abstractNumId w:val="29"/>
  </w:num>
  <w:num w:numId="24">
    <w:abstractNumId w:val="24"/>
  </w:num>
  <w:num w:numId="25">
    <w:abstractNumId w:val="31"/>
  </w:num>
  <w:num w:numId="26">
    <w:abstractNumId w:val="46"/>
  </w:num>
  <w:num w:numId="27">
    <w:abstractNumId w:val="19"/>
  </w:num>
  <w:num w:numId="28">
    <w:abstractNumId w:val="34"/>
  </w:num>
  <w:num w:numId="29">
    <w:abstractNumId w:val="12"/>
  </w:num>
  <w:num w:numId="30">
    <w:abstractNumId w:val="21"/>
  </w:num>
  <w:num w:numId="31">
    <w:abstractNumId w:val="17"/>
  </w:num>
  <w:num w:numId="32">
    <w:abstractNumId w:val="37"/>
  </w:num>
  <w:num w:numId="33">
    <w:abstractNumId w:val="22"/>
  </w:num>
  <w:num w:numId="34">
    <w:abstractNumId w:val="43"/>
  </w:num>
  <w:num w:numId="35">
    <w:abstractNumId w:val="18"/>
  </w:num>
  <w:num w:numId="36">
    <w:abstractNumId w:val="5"/>
  </w:num>
  <w:num w:numId="37">
    <w:abstractNumId w:val="44"/>
  </w:num>
  <w:num w:numId="38">
    <w:abstractNumId w:val="7"/>
  </w:num>
  <w:num w:numId="39">
    <w:abstractNumId w:val="39"/>
  </w:num>
  <w:num w:numId="40">
    <w:abstractNumId w:val="35"/>
  </w:num>
  <w:num w:numId="41">
    <w:abstractNumId w:val="30"/>
  </w:num>
  <w:num w:numId="42">
    <w:abstractNumId w:val="9"/>
  </w:num>
  <w:num w:numId="43">
    <w:abstractNumId w:val="11"/>
  </w:num>
  <w:num w:numId="44">
    <w:abstractNumId w:val="10"/>
  </w:num>
  <w:num w:numId="45">
    <w:abstractNumId w:val="3"/>
  </w:num>
  <w:num w:numId="46">
    <w:abstractNumId w:val="40"/>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764F"/>
    <w:rsid w:val="00000D8B"/>
    <w:rsid w:val="00002B9D"/>
    <w:rsid w:val="000033CF"/>
    <w:rsid w:val="00003A84"/>
    <w:rsid w:val="00003FE3"/>
    <w:rsid w:val="00004330"/>
    <w:rsid w:val="000053A7"/>
    <w:rsid w:val="0000575E"/>
    <w:rsid w:val="000059C9"/>
    <w:rsid w:val="00006386"/>
    <w:rsid w:val="000079D4"/>
    <w:rsid w:val="00007CB1"/>
    <w:rsid w:val="00007D01"/>
    <w:rsid w:val="000117C1"/>
    <w:rsid w:val="000118E6"/>
    <w:rsid w:val="00011F9A"/>
    <w:rsid w:val="000124E2"/>
    <w:rsid w:val="00014924"/>
    <w:rsid w:val="00014CE7"/>
    <w:rsid w:val="000159CA"/>
    <w:rsid w:val="000163AB"/>
    <w:rsid w:val="00016954"/>
    <w:rsid w:val="000171F9"/>
    <w:rsid w:val="00020D7B"/>
    <w:rsid w:val="0002111F"/>
    <w:rsid w:val="0002377E"/>
    <w:rsid w:val="00024B5B"/>
    <w:rsid w:val="00024EB8"/>
    <w:rsid w:val="000268D9"/>
    <w:rsid w:val="0003072B"/>
    <w:rsid w:val="000307F0"/>
    <w:rsid w:val="0003157B"/>
    <w:rsid w:val="00032056"/>
    <w:rsid w:val="0003683D"/>
    <w:rsid w:val="00037A7E"/>
    <w:rsid w:val="00041E58"/>
    <w:rsid w:val="00043202"/>
    <w:rsid w:val="000448EC"/>
    <w:rsid w:val="00046B78"/>
    <w:rsid w:val="00047C3E"/>
    <w:rsid w:val="00050CB0"/>
    <w:rsid w:val="000511B8"/>
    <w:rsid w:val="00051D58"/>
    <w:rsid w:val="000525EF"/>
    <w:rsid w:val="00055558"/>
    <w:rsid w:val="00061D67"/>
    <w:rsid w:val="000627E0"/>
    <w:rsid w:val="00062C5D"/>
    <w:rsid w:val="00066634"/>
    <w:rsid w:val="00070989"/>
    <w:rsid w:val="00072784"/>
    <w:rsid w:val="00074545"/>
    <w:rsid w:val="00074DFC"/>
    <w:rsid w:val="00075199"/>
    <w:rsid w:val="00075E92"/>
    <w:rsid w:val="000762FA"/>
    <w:rsid w:val="00076356"/>
    <w:rsid w:val="000802FD"/>
    <w:rsid w:val="00080801"/>
    <w:rsid w:val="0008129A"/>
    <w:rsid w:val="0008216D"/>
    <w:rsid w:val="000828DA"/>
    <w:rsid w:val="00082F1C"/>
    <w:rsid w:val="00083260"/>
    <w:rsid w:val="00083DEF"/>
    <w:rsid w:val="000843E2"/>
    <w:rsid w:val="0008460B"/>
    <w:rsid w:val="000852A5"/>
    <w:rsid w:val="00085DD2"/>
    <w:rsid w:val="00086B76"/>
    <w:rsid w:val="00086DA6"/>
    <w:rsid w:val="00087765"/>
    <w:rsid w:val="000923EA"/>
    <w:rsid w:val="00094636"/>
    <w:rsid w:val="00095E5C"/>
    <w:rsid w:val="00096772"/>
    <w:rsid w:val="00096A88"/>
    <w:rsid w:val="000973CE"/>
    <w:rsid w:val="00097AB9"/>
    <w:rsid w:val="000A0F53"/>
    <w:rsid w:val="000A13CA"/>
    <w:rsid w:val="000A2BC4"/>
    <w:rsid w:val="000A5AFA"/>
    <w:rsid w:val="000A6EA1"/>
    <w:rsid w:val="000A7558"/>
    <w:rsid w:val="000A789E"/>
    <w:rsid w:val="000A7992"/>
    <w:rsid w:val="000A7DFD"/>
    <w:rsid w:val="000B0285"/>
    <w:rsid w:val="000B0C3A"/>
    <w:rsid w:val="000B0D12"/>
    <w:rsid w:val="000B184E"/>
    <w:rsid w:val="000B2A08"/>
    <w:rsid w:val="000B3158"/>
    <w:rsid w:val="000B3474"/>
    <w:rsid w:val="000B3938"/>
    <w:rsid w:val="000B39E9"/>
    <w:rsid w:val="000B5005"/>
    <w:rsid w:val="000B5FD5"/>
    <w:rsid w:val="000C603F"/>
    <w:rsid w:val="000C65E6"/>
    <w:rsid w:val="000C6B86"/>
    <w:rsid w:val="000C7418"/>
    <w:rsid w:val="000C7F2A"/>
    <w:rsid w:val="000D0350"/>
    <w:rsid w:val="000D3181"/>
    <w:rsid w:val="000D503D"/>
    <w:rsid w:val="000D5D81"/>
    <w:rsid w:val="000D626F"/>
    <w:rsid w:val="000D67F0"/>
    <w:rsid w:val="000D7513"/>
    <w:rsid w:val="000D75A7"/>
    <w:rsid w:val="000D7E86"/>
    <w:rsid w:val="000D7FB3"/>
    <w:rsid w:val="000E0982"/>
    <w:rsid w:val="000E0BC7"/>
    <w:rsid w:val="000E0C5A"/>
    <w:rsid w:val="000E1ED4"/>
    <w:rsid w:val="000E5B66"/>
    <w:rsid w:val="000E6F0F"/>
    <w:rsid w:val="000E6F63"/>
    <w:rsid w:val="000E7B67"/>
    <w:rsid w:val="000E7D03"/>
    <w:rsid w:val="000F5324"/>
    <w:rsid w:val="000F6DFA"/>
    <w:rsid w:val="000F7357"/>
    <w:rsid w:val="000F7836"/>
    <w:rsid w:val="000F7C88"/>
    <w:rsid w:val="00100AF6"/>
    <w:rsid w:val="001014D0"/>
    <w:rsid w:val="0010151F"/>
    <w:rsid w:val="00103B30"/>
    <w:rsid w:val="00104B33"/>
    <w:rsid w:val="00104CF3"/>
    <w:rsid w:val="0010560A"/>
    <w:rsid w:val="00105784"/>
    <w:rsid w:val="00106756"/>
    <w:rsid w:val="001108E6"/>
    <w:rsid w:val="001112CF"/>
    <w:rsid w:val="00111322"/>
    <w:rsid w:val="0011184D"/>
    <w:rsid w:val="00112177"/>
    <w:rsid w:val="00112D7E"/>
    <w:rsid w:val="0011341F"/>
    <w:rsid w:val="0011459B"/>
    <w:rsid w:val="00115587"/>
    <w:rsid w:val="00116121"/>
    <w:rsid w:val="001165E4"/>
    <w:rsid w:val="00116C29"/>
    <w:rsid w:val="001217CA"/>
    <w:rsid w:val="00121A2A"/>
    <w:rsid w:val="0012269F"/>
    <w:rsid w:val="00123CF1"/>
    <w:rsid w:val="00123F7B"/>
    <w:rsid w:val="001241A0"/>
    <w:rsid w:val="00124743"/>
    <w:rsid w:val="00125BA2"/>
    <w:rsid w:val="00125C80"/>
    <w:rsid w:val="001272DE"/>
    <w:rsid w:val="001307D6"/>
    <w:rsid w:val="00131185"/>
    <w:rsid w:val="00131F16"/>
    <w:rsid w:val="001330E0"/>
    <w:rsid w:val="001334D6"/>
    <w:rsid w:val="001344E9"/>
    <w:rsid w:val="00134DB8"/>
    <w:rsid w:val="00135E50"/>
    <w:rsid w:val="0013629E"/>
    <w:rsid w:val="00136DD1"/>
    <w:rsid w:val="00137739"/>
    <w:rsid w:val="001401E4"/>
    <w:rsid w:val="00140232"/>
    <w:rsid w:val="0014035B"/>
    <w:rsid w:val="00140CCC"/>
    <w:rsid w:val="001413C2"/>
    <w:rsid w:val="00143382"/>
    <w:rsid w:val="00143CEB"/>
    <w:rsid w:val="001442C9"/>
    <w:rsid w:val="00144D40"/>
    <w:rsid w:val="00145569"/>
    <w:rsid w:val="0014774C"/>
    <w:rsid w:val="00150428"/>
    <w:rsid w:val="00150E50"/>
    <w:rsid w:val="00151FD1"/>
    <w:rsid w:val="00152B0B"/>
    <w:rsid w:val="00153056"/>
    <w:rsid w:val="00153C71"/>
    <w:rsid w:val="001544B3"/>
    <w:rsid w:val="00154770"/>
    <w:rsid w:val="001551CE"/>
    <w:rsid w:val="001562CB"/>
    <w:rsid w:val="00156671"/>
    <w:rsid w:val="00156992"/>
    <w:rsid w:val="00157A0E"/>
    <w:rsid w:val="00161598"/>
    <w:rsid w:val="0016395E"/>
    <w:rsid w:val="0016400F"/>
    <w:rsid w:val="00166700"/>
    <w:rsid w:val="00166705"/>
    <w:rsid w:val="00166FAA"/>
    <w:rsid w:val="00167A9F"/>
    <w:rsid w:val="001710FF"/>
    <w:rsid w:val="0017195D"/>
    <w:rsid w:val="00172082"/>
    <w:rsid w:val="00172578"/>
    <w:rsid w:val="001736F2"/>
    <w:rsid w:val="00173E59"/>
    <w:rsid w:val="001745CB"/>
    <w:rsid w:val="0017496E"/>
    <w:rsid w:val="00175319"/>
    <w:rsid w:val="00177383"/>
    <w:rsid w:val="00177761"/>
    <w:rsid w:val="00177E30"/>
    <w:rsid w:val="0018074F"/>
    <w:rsid w:val="00180AC4"/>
    <w:rsid w:val="001817B2"/>
    <w:rsid w:val="001822C4"/>
    <w:rsid w:val="001827B6"/>
    <w:rsid w:val="00183066"/>
    <w:rsid w:val="00183336"/>
    <w:rsid w:val="00184603"/>
    <w:rsid w:val="001850CA"/>
    <w:rsid w:val="00186FFA"/>
    <w:rsid w:val="0019125B"/>
    <w:rsid w:val="001925C4"/>
    <w:rsid w:val="00193AE8"/>
    <w:rsid w:val="0019422B"/>
    <w:rsid w:val="001946D6"/>
    <w:rsid w:val="00194969"/>
    <w:rsid w:val="00195CB2"/>
    <w:rsid w:val="00196245"/>
    <w:rsid w:val="00196CD3"/>
    <w:rsid w:val="00196E2E"/>
    <w:rsid w:val="00197B73"/>
    <w:rsid w:val="00197C83"/>
    <w:rsid w:val="001A09BA"/>
    <w:rsid w:val="001A15B6"/>
    <w:rsid w:val="001A2F9B"/>
    <w:rsid w:val="001A333B"/>
    <w:rsid w:val="001A4279"/>
    <w:rsid w:val="001A5C41"/>
    <w:rsid w:val="001A7D4D"/>
    <w:rsid w:val="001B01E4"/>
    <w:rsid w:val="001B1B10"/>
    <w:rsid w:val="001B1D65"/>
    <w:rsid w:val="001B273D"/>
    <w:rsid w:val="001B2D7B"/>
    <w:rsid w:val="001B2EF0"/>
    <w:rsid w:val="001B3A14"/>
    <w:rsid w:val="001B4B94"/>
    <w:rsid w:val="001B5A0F"/>
    <w:rsid w:val="001B5A32"/>
    <w:rsid w:val="001B7158"/>
    <w:rsid w:val="001B7303"/>
    <w:rsid w:val="001B7C5A"/>
    <w:rsid w:val="001C0AA3"/>
    <w:rsid w:val="001C1251"/>
    <w:rsid w:val="001C2080"/>
    <w:rsid w:val="001C2A9E"/>
    <w:rsid w:val="001C4D56"/>
    <w:rsid w:val="001C4E55"/>
    <w:rsid w:val="001C5851"/>
    <w:rsid w:val="001C5A0D"/>
    <w:rsid w:val="001C5CC9"/>
    <w:rsid w:val="001C6A14"/>
    <w:rsid w:val="001D0060"/>
    <w:rsid w:val="001D04CB"/>
    <w:rsid w:val="001D0CEF"/>
    <w:rsid w:val="001D2C98"/>
    <w:rsid w:val="001D38CA"/>
    <w:rsid w:val="001D461B"/>
    <w:rsid w:val="001D4B79"/>
    <w:rsid w:val="001D544D"/>
    <w:rsid w:val="001D55DE"/>
    <w:rsid w:val="001D5A8F"/>
    <w:rsid w:val="001D7B18"/>
    <w:rsid w:val="001D7CC3"/>
    <w:rsid w:val="001E05E7"/>
    <w:rsid w:val="001E0F84"/>
    <w:rsid w:val="001E1180"/>
    <w:rsid w:val="001E2193"/>
    <w:rsid w:val="001E338E"/>
    <w:rsid w:val="001E5089"/>
    <w:rsid w:val="001E50EA"/>
    <w:rsid w:val="001E71B1"/>
    <w:rsid w:val="001E7641"/>
    <w:rsid w:val="001F074D"/>
    <w:rsid w:val="001F134B"/>
    <w:rsid w:val="001F2BA6"/>
    <w:rsid w:val="001F39FD"/>
    <w:rsid w:val="001F5CCD"/>
    <w:rsid w:val="00200461"/>
    <w:rsid w:val="00200A07"/>
    <w:rsid w:val="002016E3"/>
    <w:rsid w:val="0020178A"/>
    <w:rsid w:val="00204071"/>
    <w:rsid w:val="00206A0F"/>
    <w:rsid w:val="002119A2"/>
    <w:rsid w:val="00211F11"/>
    <w:rsid w:val="002127A2"/>
    <w:rsid w:val="00212D3D"/>
    <w:rsid w:val="0021398A"/>
    <w:rsid w:val="00213E1A"/>
    <w:rsid w:val="002169FF"/>
    <w:rsid w:val="00216E9E"/>
    <w:rsid w:val="0021709C"/>
    <w:rsid w:val="002211F3"/>
    <w:rsid w:val="00222629"/>
    <w:rsid w:val="002228AB"/>
    <w:rsid w:val="00222D74"/>
    <w:rsid w:val="00223D66"/>
    <w:rsid w:val="0022591E"/>
    <w:rsid w:val="0022747E"/>
    <w:rsid w:val="002279A3"/>
    <w:rsid w:val="00227E4F"/>
    <w:rsid w:val="00227ED6"/>
    <w:rsid w:val="00227FAF"/>
    <w:rsid w:val="002319CA"/>
    <w:rsid w:val="002328C8"/>
    <w:rsid w:val="002333C5"/>
    <w:rsid w:val="002347F9"/>
    <w:rsid w:val="00234BCD"/>
    <w:rsid w:val="0023575F"/>
    <w:rsid w:val="00235E14"/>
    <w:rsid w:val="00240E7A"/>
    <w:rsid w:val="00241597"/>
    <w:rsid w:val="0024382C"/>
    <w:rsid w:val="00244A46"/>
    <w:rsid w:val="00244AD7"/>
    <w:rsid w:val="00246BDA"/>
    <w:rsid w:val="0024703C"/>
    <w:rsid w:val="00247B42"/>
    <w:rsid w:val="0025261B"/>
    <w:rsid w:val="00253FCC"/>
    <w:rsid w:val="002543AA"/>
    <w:rsid w:val="002551BD"/>
    <w:rsid w:val="002563A2"/>
    <w:rsid w:val="0025696A"/>
    <w:rsid w:val="002578EE"/>
    <w:rsid w:val="002600D1"/>
    <w:rsid w:val="002634E7"/>
    <w:rsid w:val="0026366B"/>
    <w:rsid w:val="00263864"/>
    <w:rsid w:val="00263997"/>
    <w:rsid w:val="00263C1D"/>
    <w:rsid w:val="00265854"/>
    <w:rsid w:val="00266840"/>
    <w:rsid w:val="00267071"/>
    <w:rsid w:val="00267767"/>
    <w:rsid w:val="00267AB1"/>
    <w:rsid w:val="00271130"/>
    <w:rsid w:val="002711C7"/>
    <w:rsid w:val="00271F1B"/>
    <w:rsid w:val="002732A7"/>
    <w:rsid w:val="002738C1"/>
    <w:rsid w:val="00273EF9"/>
    <w:rsid w:val="00275605"/>
    <w:rsid w:val="002764C2"/>
    <w:rsid w:val="00277024"/>
    <w:rsid w:val="00277520"/>
    <w:rsid w:val="002776EF"/>
    <w:rsid w:val="00277960"/>
    <w:rsid w:val="00280B62"/>
    <w:rsid w:val="00281C23"/>
    <w:rsid w:val="00281F12"/>
    <w:rsid w:val="002820DB"/>
    <w:rsid w:val="00284487"/>
    <w:rsid w:val="002869AA"/>
    <w:rsid w:val="00286AB0"/>
    <w:rsid w:val="002900D1"/>
    <w:rsid w:val="002902FA"/>
    <w:rsid w:val="00291B40"/>
    <w:rsid w:val="0029289C"/>
    <w:rsid w:val="0029466C"/>
    <w:rsid w:val="002951A7"/>
    <w:rsid w:val="00295300"/>
    <w:rsid w:val="00296544"/>
    <w:rsid w:val="00296CF7"/>
    <w:rsid w:val="00297C20"/>
    <w:rsid w:val="002A03E0"/>
    <w:rsid w:val="002A074C"/>
    <w:rsid w:val="002A1BB8"/>
    <w:rsid w:val="002A343F"/>
    <w:rsid w:val="002A4441"/>
    <w:rsid w:val="002A4B63"/>
    <w:rsid w:val="002A4BDB"/>
    <w:rsid w:val="002A5748"/>
    <w:rsid w:val="002A5F8E"/>
    <w:rsid w:val="002A6DCB"/>
    <w:rsid w:val="002A7286"/>
    <w:rsid w:val="002A7835"/>
    <w:rsid w:val="002A7B9B"/>
    <w:rsid w:val="002B1C15"/>
    <w:rsid w:val="002B252A"/>
    <w:rsid w:val="002B3D9E"/>
    <w:rsid w:val="002B4129"/>
    <w:rsid w:val="002B45D7"/>
    <w:rsid w:val="002B5113"/>
    <w:rsid w:val="002B56E1"/>
    <w:rsid w:val="002B69DE"/>
    <w:rsid w:val="002B71FE"/>
    <w:rsid w:val="002C0087"/>
    <w:rsid w:val="002C01EA"/>
    <w:rsid w:val="002C0364"/>
    <w:rsid w:val="002C07BD"/>
    <w:rsid w:val="002C1D97"/>
    <w:rsid w:val="002C2A9A"/>
    <w:rsid w:val="002C2D5E"/>
    <w:rsid w:val="002C7030"/>
    <w:rsid w:val="002C749D"/>
    <w:rsid w:val="002C76E8"/>
    <w:rsid w:val="002C78DB"/>
    <w:rsid w:val="002C7A99"/>
    <w:rsid w:val="002D2030"/>
    <w:rsid w:val="002D20FD"/>
    <w:rsid w:val="002D33A6"/>
    <w:rsid w:val="002D3592"/>
    <w:rsid w:val="002D37AA"/>
    <w:rsid w:val="002D3A79"/>
    <w:rsid w:val="002D529F"/>
    <w:rsid w:val="002D6202"/>
    <w:rsid w:val="002D6F79"/>
    <w:rsid w:val="002D7C03"/>
    <w:rsid w:val="002E2379"/>
    <w:rsid w:val="002E2A56"/>
    <w:rsid w:val="002E2CA0"/>
    <w:rsid w:val="002E3739"/>
    <w:rsid w:val="002E4D73"/>
    <w:rsid w:val="002E6F3A"/>
    <w:rsid w:val="002E763B"/>
    <w:rsid w:val="002E7AA6"/>
    <w:rsid w:val="002F0148"/>
    <w:rsid w:val="002F0500"/>
    <w:rsid w:val="002F0B86"/>
    <w:rsid w:val="002F1102"/>
    <w:rsid w:val="002F18C2"/>
    <w:rsid w:val="002F1B14"/>
    <w:rsid w:val="002F1FE8"/>
    <w:rsid w:val="002F316F"/>
    <w:rsid w:val="002F40FF"/>
    <w:rsid w:val="002F4788"/>
    <w:rsid w:val="002F4FE7"/>
    <w:rsid w:val="002F547C"/>
    <w:rsid w:val="002F694E"/>
    <w:rsid w:val="002F6E74"/>
    <w:rsid w:val="002F791D"/>
    <w:rsid w:val="002F7F41"/>
    <w:rsid w:val="0030079D"/>
    <w:rsid w:val="00302189"/>
    <w:rsid w:val="00307296"/>
    <w:rsid w:val="0030750F"/>
    <w:rsid w:val="00307F68"/>
    <w:rsid w:val="00310592"/>
    <w:rsid w:val="003113C5"/>
    <w:rsid w:val="0031211C"/>
    <w:rsid w:val="00312230"/>
    <w:rsid w:val="00312E6B"/>
    <w:rsid w:val="003152FD"/>
    <w:rsid w:val="00315539"/>
    <w:rsid w:val="003160F5"/>
    <w:rsid w:val="0031635B"/>
    <w:rsid w:val="00316AD1"/>
    <w:rsid w:val="0031709F"/>
    <w:rsid w:val="00320C99"/>
    <w:rsid w:val="00320E63"/>
    <w:rsid w:val="0032205B"/>
    <w:rsid w:val="003221AB"/>
    <w:rsid w:val="00322929"/>
    <w:rsid w:val="00322EC6"/>
    <w:rsid w:val="00323352"/>
    <w:rsid w:val="003238A0"/>
    <w:rsid w:val="00323D19"/>
    <w:rsid w:val="0032454C"/>
    <w:rsid w:val="00325CD6"/>
    <w:rsid w:val="0032698B"/>
    <w:rsid w:val="00327E05"/>
    <w:rsid w:val="0033024D"/>
    <w:rsid w:val="003316E6"/>
    <w:rsid w:val="003326CB"/>
    <w:rsid w:val="00332C38"/>
    <w:rsid w:val="0033544F"/>
    <w:rsid w:val="003373C8"/>
    <w:rsid w:val="00337792"/>
    <w:rsid w:val="00337A29"/>
    <w:rsid w:val="00337AE0"/>
    <w:rsid w:val="0034053C"/>
    <w:rsid w:val="003407CD"/>
    <w:rsid w:val="00341B3B"/>
    <w:rsid w:val="00341EB9"/>
    <w:rsid w:val="00342723"/>
    <w:rsid w:val="003438B9"/>
    <w:rsid w:val="0034458F"/>
    <w:rsid w:val="00344B9E"/>
    <w:rsid w:val="00347471"/>
    <w:rsid w:val="00347E53"/>
    <w:rsid w:val="00352490"/>
    <w:rsid w:val="0035254C"/>
    <w:rsid w:val="00352BAE"/>
    <w:rsid w:val="00352F7E"/>
    <w:rsid w:val="0035347F"/>
    <w:rsid w:val="00353666"/>
    <w:rsid w:val="003538A4"/>
    <w:rsid w:val="00354563"/>
    <w:rsid w:val="0035464D"/>
    <w:rsid w:val="00356047"/>
    <w:rsid w:val="003566F4"/>
    <w:rsid w:val="0035792C"/>
    <w:rsid w:val="00362B6F"/>
    <w:rsid w:val="00363029"/>
    <w:rsid w:val="003641E6"/>
    <w:rsid w:val="003645E6"/>
    <w:rsid w:val="00364E3F"/>
    <w:rsid w:val="00366265"/>
    <w:rsid w:val="00366DA9"/>
    <w:rsid w:val="00367657"/>
    <w:rsid w:val="00367872"/>
    <w:rsid w:val="00370048"/>
    <w:rsid w:val="00370DCF"/>
    <w:rsid w:val="00370F5B"/>
    <w:rsid w:val="00372225"/>
    <w:rsid w:val="0037294F"/>
    <w:rsid w:val="00372B3B"/>
    <w:rsid w:val="00372D54"/>
    <w:rsid w:val="00372EE7"/>
    <w:rsid w:val="003756BF"/>
    <w:rsid w:val="00376057"/>
    <w:rsid w:val="00376239"/>
    <w:rsid w:val="003775FE"/>
    <w:rsid w:val="00382534"/>
    <w:rsid w:val="00382DD0"/>
    <w:rsid w:val="00382F87"/>
    <w:rsid w:val="003848DA"/>
    <w:rsid w:val="00384B75"/>
    <w:rsid w:val="00385739"/>
    <w:rsid w:val="00386B0A"/>
    <w:rsid w:val="00386BD1"/>
    <w:rsid w:val="00386F5B"/>
    <w:rsid w:val="003876B4"/>
    <w:rsid w:val="003902D5"/>
    <w:rsid w:val="003902EB"/>
    <w:rsid w:val="00390DC5"/>
    <w:rsid w:val="003911DB"/>
    <w:rsid w:val="003917AA"/>
    <w:rsid w:val="00391DA8"/>
    <w:rsid w:val="003923FB"/>
    <w:rsid w:val="00392B84"/>
    <w:rsid w:val="00394BB0"/>
    <w:rsid w:val="00394EB6"/>
    <w:rsid w:val="00395404"/>
    <w:rsid w:val="0039676A"/>
    <w:rsid w:val="003979FB"/>
    <w:rsid w:val="00397B8F"/>
    <w:rsid w:val="003A01F7"/>
    <w:rsid w:val="003A140D"/>
    <w:rsid w:val="003A14C6"/>
    <w:rsid w:val="003A15C3"/>
    <w:rsid w:val="003A1668"/>
    <w:rsid w:val="003A2A95"/>
    <w:rsid w:val="003A38A5"/>
    <w:rsid w:val="003A3DAF"/>
    <w:rsid w:val="003A4268"/>
    <w:rsid w:val="003A5014"/>
    <w:rsid w:val="003A5422"/>
    <w:rsid w:val="003A55F2"/>
    <w:rsid w:val="003A5873"/>
    <w:rsid w:val="003A5B80"/>
    <w:rsid w:val="003A789C"/>
    <w:rsid w:val="003B03FE"/>
    <w:rsid w:val="003B102A"/>
    <w:rsid w:val="003B1162"/>
    <w:rsid w:val="003B3EFB"/>
    <w:rsid w:val="003B41C5"/>
    <w:rsid w:val="003B5270"/>
    <w:rsid w:val="003B55AF"/>
    <w:rsid w:val="003B62A2"/>
    <w:rsid w:val="003B662F"/>
    <w:rsid w:val="003B6C9D"/>
    <w:rsid w:val="003B73C6"/>
    <w:rsid w:val="003C013B"/>
    <w:rsid w:val="003C4995"/>
    <w:rsid w:val="003C5893"/>
    <w:rsid w:val="003C78A8"/>
    <w:rsid w:val="003D1EEE"/>
    <w:rsid w:val="003D25A9"/>
    <w:rsid w:val="003D324E"/>
    <w:rsid w:val="003D3E2F"/>
    <w:rsid w:val="003D4C41"/>
    <w:rsid w:val="003D5460"/>
    <w:rsid w:val="003D5773"/>
    <w:rsid w:val="003E0C74"/>
    <w:rsid w:val="003E10B4"/>
    <w:rsid w:val="003E186C"/>
    <w:rsid w:val="003E40B8"/>
    <w:rsid w:val="003E5617"/>
    <w:rsid w:val="003E59AE"/>
    <w:rsid w:val="003E682F"/>
    <w:rsid w:val="003E6A02"/>
    <w:rsid w:val="003E7888"/>
    <w:rsid w:val="003F01F0"/>
    <w:rsid w:val="003F0322"/>
    <w:rsid w:val="003F0F5D"/>
    <w:rsid w:val="003F2541"/>
    <w:rsid w:val="003F2A0E"/>
    <w:rsid w:val="003F3158"/>
    <w:rsid w:val="003F354D"/>
    <w:rsid w:val="003F4936"/>
    <w:rsid w:val="003F5765"/>
    <w:rsid w:val="003F5B27"/>
    <w:rsid w:val="003F6C27"/>
    <w:rsid w:val="00400B4E"/>
    <w:rsid w:val="00402AC3"/>
    <w:rsid w:val="0040564A"/>
    <w:rsid w:val="00407C56"/>
    <w:rsid w:val="0041075A"/>
    <w:rsid w:val="004112EA"/>
    <w:rsid w:val="00411AEC"/>
    <w:rsid w:val="0041302C"/>
    <w:rsid w:val="0041435D"/>
    <w:rsid w:val="00414E08"/>
    <w:rsid w:val="00415BF4"/>
    <w:rsid w:val="0042010B"/>
    <w:rsid w:val="00420F1A"/>
    <w:rsid w:val="00421279"/>
    <w:rsid w:val="00421B76"/>
    <w:rsid w:val="0042243C"/>
    <w:rsid w:val="004229BA"/>
    <w:rsid w:val="00422AEC"/>
    <w:rsid w:val="00422C32"/>
    <w:rsid w:val="004238A8"/>
    <w:rsid w:val="00425579"/>
    <w:rsid w:val="0042577A"/>
    <w:rsid w:val="00426116"/>
    <w:rsid w:val="00426751"/>
    <w:rsid w:val="00426D3B"/>
    <w:rsid w:val="00426D75"/>
    <w:rsid w:val="0042769C"/>
    <w:rsid w:val="004276C0"/>
    <w:rsid w:val="00427992"/>
    <w:rsid w:val="0043262F"/>
    <w:rsid w:val="0043338E"/>
    <w:rsid w:val="00434112"/>
    <w:rsid w:val="0043457D"/>
    <w:rsid w:val="00436860"/>
    <w:rsid w:val="00437B0A"/>
    <w:rsid w:val="00440BE8"/>
    <w:rsid w:val="00441B79"/>
    <w:rsid w:val="0044250E"/>
    <w:rsid w:val="004435A6"/>
    <w:rsid w:val="00444108"/>
    <w:rsid w:val="004441B6"/>
    <w:rsid w:val="00444DD7"/>
    <w:rsid w:val="0044542A"/>
    <w:rsid w:val="00450075"/>
    <w:rsid w:val="0045067F"/>
    <w:rsid w:val="00450B16"/>
    <w:rsid w:val="00451060"/>
    <w:rsid w:val="00452092"/>
    <w:rsid w:val="00452449"/>
    <w:rsid w:val="00452D36"/>
    <w:rsid w:val="00454C86"/>
    <w:rsid w:val="0045623F"/>
    <w:rsid w:val="00461959"/>
    <w:rsid w:val="00462DC6"/>
    <w:rsid w:val="00464D41"/>
    <w:rsid w:val="00466583"/>
    <w:rsid w:val="004667C9"/>
    <w:rsid w:val="00467A22"/>
    <w:rsid w:val="00467B7C"/>
    <w:rsid w:val="00467D62"/>
    <w:rsid w:val="004706F3"/>
    <w:rsid w:val="00471B8F"/>
    <w:rsid w:val="004724BC"/>
    <w:rsid w:val="00475075"/>
    <w:rsid w:val="00475BAD"/>
    <w:rsid w:val="0047655B"/>
    <w:rsid w:val="0048028A"/>
    <w:rsid w:val="004804E1"/>
    <w:rsid w:val="004817FC"/>
    <w:rsid w:val="004822FE"/>
    <w:rsid w:val="00482862"/>
    <w:rsid w:val="00482D1B"/>
    <w:rsid w:val="00487572"/>
    <w:rsid w:val="00487CFA"/>
    <w:rsid w:val="0049011A"/>
    <w:rsid w:val="00490536"/>
    <w:rsid w:val="0049273E"/>
    <w:rsid w:val="00493334"/>
    <w:rsid w:val="0049536B"/>
    <w:rsid w:val="004955FD"/>
    <w:rsid w:val="0049599B"/>
    <w:rsid w:val="00495E03"/>
    <w:rsid w:val="00495F0E"/>
    <w:rsid w:val="00496837"/>
    <w:rsid w:val="004974E3"/>
    <w:rsid w:val="00497A40"/>
    <w:rsid w:val="004A01FB"/>
    <w:rsid w:val="004A0571"/>
    <w:rsid w:val="004A1270"/>
    <w:rsid w:val="004A12C2"/>
    <w:rsid w:val="004A1870"/>
    <w:rsid w:val="004A1AFC"/>
    <w:rsid w:val="004A38B6"/>
    <w:rsid w:val="004A62F2"/>
    <w:rsid w:val="004A6F02"/>
    <w:rsid w:val="004A7717"/>
    <w:rsid w:val="004A78C3"/>
    <w:rsid w:val="004A792B"/>
    <w:rsid w:val="004B030D"/>
    <w:rsid w:val="004B1D4F"/>
    <w:rsid w:val="004B253C"/>
    <w:rsid w:val="004B289F"/>
    <w:rsid w:val="004B2E3B"/>
    <w:rsid w:val="004B3C0B"/>
    <w:rsid w:val="004B45A7"/>
    <w:rsid w:val="004B556A"/>
    <w:rsid w:val="004B5915"/>
    <w:rsid w:val="004B7ACA"/>
    <w:rsid w:val="004C0153"/>
    <w:rsid w:val="004C0646"/>
    <w:rsid w:val="004C1FD1"/>
    <w:rsid w:val="004C2B37"/>
    <w:rsid w:val="004C30F7"/>
    <w:rsid w:val="004C332D"/>
    <w:rsid w:val="004C3392"/>
    <w:rsid w:val="004C5098"/>
    <w:rsid w:val="004C690B"/>
    <w:rsid w:val="004C7801"/>
    <w:rsid w:val="004D149F"/>
    <w:rsid w:val="004D1519"/>
    <w:rsid w:val="004D17EB"/>
    <w:rsid w:val="004D2570"/>
    <w:rsid w:val="004D2822"/>
    <w:rsid w:val="004D28E9"/>
    <w:rsid w:val="004D2F0F"/>
    <w:rsid w:val="004D33F1"/>
    <w:rsid w:val="004D3F3D"/>
    <w:rsid w:val="004D4825"/>
    <w:rsid w:val="004D50B6"/>
    <w:rsid w:val="004D596F"/>
    <w:rsid w:val="004D67B7"/>
    <w:rsid w:val="004D6B1D"/>
    <w:rsid w:val="004D6BAE"/>
    <w:rsid w:val="004D7A3D"/>
    <w:rsid w:val="004E00CD"/>
    <w:rsid w:val="004E11D1"/>
    <w:rsid w:val="004E1A89"/>
    <w:rsid w:val="004E1D67"/>
    <w:rsid w:val="004E2D2A"/>
    <w:rsid w:val="004E2D75"/>
    <w:rsid w:val="004E317C"/>
    <w:rsid w:val="004E4089"/>
    <w:rsid w:val="004E42AC"/>
    <w:rsid w:val="004E712E"/>
    <w:rsid w:val="004E7467"/>
    <w:rsid w:val="004E74F9"/>
    <w:rsid w:val="004F01A0"/>
    <w:rsid w:val="004F1A37"/>
    <w:rsid w:val="004F210E"/>
    <w:rsid w:val="004F30DE"/>
    <w:rsid w:val="004F317E"/>
    <w:rsid w:val="004F36B3"/>
    <w:rsid w:val="004F4278"/>
    <w:rsid w:val="004F56A2"/>
    <w:rsid w:val="004F66E9"/>
    <w:rsid w:val="00500698"/>
    <w:rsid w:val="005012F1"/>
    <w:rsid w:val="00502190"/>
    <w:rsid w:val="00504211"/>
    <w:rsid w:val="005057E9"/>
    <w:rsid w:val="00505A21"/>
    <w:rsid w:val="00506A53"/>
    <w:rsid w:val="00510973"/>
    <w:rsid w:val="00512DF0"/>
    <w:rsid w:val="0051311E"/>
    <w:rsid w:val="005145B5"/>
    <w:rsid w:val="00514708"/>
    <w:rsid w:val="005148C7"/>
    <w:rsid w:val="005148CD"/>
    <w:rsid w:val="00514FD8"/>
    <w:rsid w:val="00515CA2"/>
    <w:rsid w:val="00517434"/>
    <w:rsid w:val="00517982"/>
    <w:rsid w:val="00520B6D"/>
    <w:rsid w:val="00520D66"/>
    <w:rsid w:val="0052347B"/>
    <w:rsid w:val="005234A7"/>
    <w:rsid w:val="005236A1"/>
    <w:rsid w:val="00525417"/>
    <w:rsid w:val="00525EA0"/>
    <w:rsid w:val="00526A16"/>
    <w:rsid w:val="00531067"/>
    <w:rsid w:val="00531E7E"/>
    <w:rsid w:val="0053311B"/>
    <w:rsid w:val="00533CD9"/>
    <w:rsid w:val="005346A9"/>
    <w:rsid w:val="005346BD"/>
    <w:rsid w:val="005352AE"/>
    <w:rsid w:val="005359DF"/>
    <w:rsid w:val="0053637B"/>
    <w:rsid w:val="005367BF"/>
    <w:rsid w:val="005403E0"/>
    <w:rsid w:val="00540A9A"/>
    <w:rsid w:val="00540F7F"/>
    <w:rsid w:val="00541667"/>
    <w:rsid w:val="00541799"/>
    <w:rsid w:val="0054251A"/>
    <w:rsid w:val="00543B63"/>
    <w:rsid w:val="00543B98"/>
    <w:rsid w:val="00543CC6"/>
    <w:rsid w:val="00543E0F"/>
    <w:rsid w:val="00546F7B"/>
    <w:rsid w:val="00547479"/>
    <w:rsid w:val="005475F8"/>
    <w:rsid w:val="00547C13"/>
    <w:rsid w:val="00550C6D"/>
    <w:rsid w:val="00551E19"/>
    <w:rsid w:val="00552E0B"/>
    <w:rsid w:val="00554B05"/>
    <w:rsid w:val="00555B2C"/>
    <w:rsid w:val="0055673F"/>
    <w:rsid w:val="00556B0E"/>
    <w:rsid w:val="00557C4F"/>
    <w:rsid w:val="005607F0"/>
    <w:rsid w:val="005611AF"/>
    <w:rsid w:val="00561A7C"/>
    <w:rsid w:val="00561B11"/>
    <w:rsid w:val="00562513"/>
    <w:rsid w:val="005626A0"/>
    <w:rsid w:val="00563C35"/>
    <w:rsid w:val="00566433"/>
    <w:rsid w:val="00567471"/>
    <w:rsid w:val="00571414"/>
    <w:rsid w:val="00571650"/>
    <w:rsid w:val="00571F13"/>
    <w:rsid w:val="00572D5F"/>
    <w:rsid w:val="00572DAD"/>
    <w:rsid w:val="005732D2"/>
    <w:rsid w:val="00573D96"/>
    <w:rsid w:val="0057439A"/>
    <w:rsid w:val="00574A7C"/>
    <w:rsid w:val="00576DA0"/>
    <w:rsid w:val="00577E73"/>
    <w:rsid w:val="005801E9"/>
    <w:rsid w:val="005802AF"/>
    <w:rsid w:val="00580CBA"/>
    <w:rsid w:val="00584AAA"/>
    <w:rsid w:val="0058669C"/>
    <w:rsid w:val="0058725D"/>
    <w:rsid w:val="00587C54"/>
    <w:rsid w:val="00590C44"/>
    <w:rsid w:val="00591401"/>
    <w:rsid w:val="0059435A"/>
    <w:rsid w:val="00594990"/>
    <w:rsid w:val="00594D7E"/>
    <w:rsid w:val="00595B53"/>
    <w:rsid w:val="005960BD"/>
    <w:rsid w:val="00596DAB"/>
    <w:rsid w:val="00597093"/>
    <w:rsid w:val="005A025B"/>
    <w:rsid w:val="005A2956"/>
    <w:rsid w:val="005A3A2E"/>
    <w:rsid w:val="005A4635"/>
    <w:rsid w:val="005A6D56"/>
    <w:rsid w:val="005A6FA3"/>
    <w:rsid w:val="005A7555"/>
    <w:rsid w:val="005B017E"/>
    <w:rsid w:val="005B0C50"/>
    <w:rsid w:val="005B3CB3"/>
    <w:rsid w:val="005B4C32"/>
    <w:rsid w:val="005B5D50"/>
    <w:rsid w:val="005B6D14"/>
    <w:rsid w:val="005B7796"/>
    <w:rsid w:val="005B7F8E"/>
    <w:rsid w:val="005C36BF"/>
    <w:rsid w:val="005C3A4A"/>
    <w:rsid w:val="005C74E4"/>
    <w:rsid w:val="005C79D3"/>
    <w:rsid w:val="005D0139"/>
    <w:rsid w:val="005D045A"/>
    <w:rsid w:val="005D05D9"/>
    <w:rsid w:val="005D065F"/>
    <w:rsid w:val="005D0C77"/>
    <w:rsid w:val="005D1DB6"/>
    <w:rsid w:val="005D1F4C"/>
    <w:rsid w:val="005D4AC0"/>
    <w:rsid w:val="005D5482"/>
    <w:rsid w:val="005D6881"/>
    <w:rsid w:val="005E0185"/>
    <w:rsid w:val="005E15C9"/>
    <w:rsid w:val="005E165B"/>
    <w:rsid w:val="005E1685"/>
    <w:rsid w:val="005E20CC"/>
    <w:rsid w:val="005E35B4"/>
    <w:rsid w:val="005E43D6"/>
    <w:rsid w:val="005E5C6A"/>
    <w:rsid w:val="005E63AC"/>
    <w:rsid w:val="005E65B7"/>
    <w:rsid w:val="005E6EAF"/>
    <w:rsid w:val="005E6EC0"/>
    <w:rsid w:val="005F0610"/>
    <w:rsid w:val="005F07F4"/>
    <w:rsid w:val="005F2EEF"/>
    <w:rsid w:val="005F46EB"/>
    <w:rsid w:val="005F4843"/>
    <w:rsid w:val="005F54F5"/>
    <w:rsid w:val="00602755"/>
    <w:rsid w:val="00602EB4"/>
    <w:rsid w:val="006050F2"/>
    <w:rsid w:val="006054C7"/>
    <w:rsid w:val="00605F4E"/>
    <w:rsid w:val="00606A64"/>
    <w:rsid w:val="00607939"/>
    <w:rsid w:val="006101AA"/>
    <w:rsid w:val="00610A93"/>
    <w:rsid w:val="00611304"/>
    <w:rsid w:val="006113D4"/>
    <w:rsid w:val="0061168C"/>
    <w:rsid w:val="006121D8"/>
    <w:rsid w:val="00612D2B"/>
    <w:rsid w:val="00613781"/>
    <w:rsid w:val="006137B9"/>
    <w:rsid w:val="006141D1"/>
    <w:rsid w:val="006145B7"/>
    <w:rsid w:val="006145FF"/>
    <w:rsid w:val="00614778"/>
    <w:rsid w:val="0061484B"/>
    <w:rsid w:val="00614908"/>
    <w:rsid w:val="00614983"/>
    <w:rsid w:val="0061576C"/>
    <w:rsid w:val="006159B4"/>
    <w:rsid w:val="0061737B"/>
    <w:rsid w:val="00617D8B"/>
    <w:rsid w:val="006213CA"/>
    <w:rsid w:val="006222D4"/>
    <w:rsid w:val="00622650"/>
    <w:rsid w:val="00622CDF"/>
    <w:rsid w:val="00624198"/>
    <w:rsid w:val="0062576E"/>
    <w:rsid w:val="0063197C"/>
    <w:rsid w:val="0063219C"/>
    <w:rsid w:val="00632435"/>
    <w:rsid w:val="00632757"/>
    <w:rsid w:val="0063276B"/>
    <w:rsid w:val="006337CB"/>
    <w:rsid w:val="006347BA"/>
    <w:rsid w:val="00634DA3"/>
    <w:rsid w:val="00635819"/>
    <w:rsid w:val="00635A0B"/>
    <w:rsid w:val="00635E71"/>
    <w:rsid w:val="006363A5"/>
    <w:rsid w:val="0063644A"/>
    <w:rsid w:val="0064553B"/>
    <w:rsid w:val="00647F36"/>
    <w:rsid w:val="006506B7"/>
    <w:rsid w:val="00652AB8"/>
    <w:rsid w:val="006545F0"/>
    <w:rsid w:val="00655EC6"/>
    <w:rsid w:val="00656D73"/>
    <w:rsid w:val="00656F44"/>
    <w:rsid w:val="00657698"/>
    <w:rsid w:val="00657B4E"/>
    <w:rsid w:val="00660CFA"/>
    <w:rsid w:val="00661237"/>
    <w:rsid w:val="0066312D"/>
    <w:rsid w:val="00663E6A"/>
    <w:rsid w:val="00664858"/>
    <w:rsid w:val="00664878"/>
    <w:rsid w:val="00665977"/>
    <w:rsid w:val="00665A76"/>
    <w:rsid w:val="00665F32"/>
    <w:rsid w:val="006670C8"/>
    <w:rsid w:val="00670996"/>
    <w:rsid w:val="0067178D"/>
    <w:rsid w:val="00671D2A"/>
    <w:rsid w:val="0067206F"/>
    <w:rsid w:val="00672205"/>
    <w:rsid w:val="006724F7"/>
    <w:rsid w:val="00672A95"/>
    <w:rsid w:val="00672D67"/>
    <w:rsid w:val="00672DC1"/>
    <w:rsid w:val="00673F96"/>
    <w:rsid w:val="00674AF2"/>
    <w:rsid w:val="00675276"/>
    <w:rsid w:val="00676514"/>
    <w:rsid w:val="0067666E"/>
    <w:rsid w:val="00676765"/>
    <w:rsid w:val="00676844"/>
    <w:rsid w:val="00676AC6"/>
    <w:rsid w:val="00677921"/>
    <w:rsid w:val="006812FE"/>
    <w:rsid w:val="00681868"/>
    <w:rsid w:val="00681FDA"/>
    <w:rsid w:val="00683D2E"/>
    <w:rsid w:val="00686A6D"/>
    <w:rsid w:val="00687051"/>
    <w:rsid w:val="00690B2F"/>
    <w:rsid w:val="006924B9"/>
    <w:rsid w:val="00692EF1"/>
    <w:rsid w:val="00693181"/>
    <w:rsid w:val="00693399"/>
    <w:rsid w:val="0069385C"/>
    <w:rsid w:val="00695723"/>
    <w:rsid w:val="00697ACD"/>
    <w:rsid w:val="006A03BC"/>
    <w:rsid w:val="006A07B8"/>
    <w:rsid w:val="006A0982"/>
    <w:rsid w:val="006A0B8A"/>
    <w:rsid w:val="006A25F7"/>
    <w:rsid w:val="006A2791"/>
    <w:rsid w:val="006A3F74"/>
    <w:rsid w:val="006A4F4B"/>
    <w:rsid w:val="006A5F62"/>
    <w:rsid w:val="006A6566"/>
    <w:rsid w:val="006A7C01"/>
    <w:rsid w:val="006B0F0B"/>
    <w:rsid w:val="006B0F90"/>
    <w:rsid w:val="006B188C"/>
    <w:rsid w:val="006B3383"/>
    <w:rsid w:val="006B3B11"/>
    <w:rsid w:val="006B5178"/>
    <w:rsid w:val="006B5451"/>
    <w:rsid w:val="006B5C2E"/>
    <w:rsid w:val="006B5F66"/>
    <w:rsid w:val="006B63C6"/>
    <w:rsid w:val="006C0191"/>
    <w:rsid w:val="006C04B7"/>
    <w:rsid w:val="006C1C37"/>
    <w:rsid w:val="006C1DEB"/>
    <w:rsid w:val="006C31E2"/>
    <w:rsid w:val="006C3BC6"/>
    <w:rsid w:val="006C3C6F"/>
    <w:rsid w:val="006C44E8"/>
    <w:rsid w:val="006C4665"/>
    <w:rsid w:val="006C65E0"/>
    <w:rsid w:val="006D2005"/>
    <w:rsid w:val="006D24C6"/>
    <w:rsid w:val="006D2BCB"/>
    <w:rsid w:val="006D367C"/>
    <w:rsid w:val="006D43F0"/>
    <w:rsid w:val="006D4523"/>
    <w:rsid w:val="006D4EE9"/>
    <w:rsid w:val="006D5EA4"/>
    <w:rsid w:val="006D63E9"/>
    <w:rsid w:val="006D6AE0"/>
    <w:rsid w:val="006D6D90"/>
    <w:rsid w:val="006D764F"/>
    <w:rsid w:val="006D7B3B"/>
    <w:rsid w:val="006D7FA0"/>
    <w:rsid w:val="006E1009"/>
    <w:rsid w:val="006E1339"/>
    <w:rsid w:val="006E188E"/>
    <w:rsid w:val="006E1E3C"/>
    <w:rsid w:val="006E245E"/>
    <w:rsid w:val="006E2F72"/>
    <w:rsid w:val="006E3476"/>
    <w:rsid w:val="006E3C93"/>
    <w:rsid w:val="006E3EB8"/>
    <w:rsid w:val="006E41DC"/>
    <w:rsid w:val="006E598B"/>
    <w:rsid w:val="006E6A70"/>
    <w:rsid w:val="006F0B2D"/>
    <w:rsid w:val="006F102F"/>
    <w:rsid w:val="006F24A0"/>
    <w:rsid w:val="006F2877"/>
    <w:rsid w:val="006F2A58"/>
    <w:rsid w:val="006F316B"/>
    <w:rsid w:val="006F5961"/>
    <w:rsid w:val="006F6B04"/>
    <w:rsid w:val="006F6BC0"/>
    <w:rsid w:val="006F769F"/>
    <w:rsid w:val="00700292"/>
    <w:rsid w:val="00701907"/>
    <w:rsid w:val="00701E01"/>
    <w:rsid w:val="0070242D"/>
    <w:rsid w:val="00703667"/>
    <w:rsid w:val="00704614"/>
    <w:rsid w:val="00705FCB"/>
    <w:rsid w:val="0070615F"/>
    <w:rsid w:val="00707943"/>
    <w:rsid w:val="00707EB0"/>
    <w:rsid w:val="007120F2"/>
    <w:rsid w:val="007124B6"/>
    <w:rsid w:val="007135D0"/>
    <w:rsid w:val="00715FB3"/>
    <w:rsid w:val="00716805"/>
    <w:rsid w:val="0071735F"/>
    <w:rsid w:val="00717621"/>
    <w:rsid w:val="00717CB9"/>
    <w:rsid w:val="00717F14"/>
    <w:rsid w:val="0072324E"/>
    <w:rsid w:val="00723ECA"/>
    <w:rsid w:val="007245A6"/>
    <w:rsid w:val="00725F06"/>
    <w:rsid w:val="007315C0"/>
    <w:rsid w:val="0073247F"/>
    <w:rsid w:val="00732A7F"/>
    <w:rsid w:val="0073316F"/>
    <w:rsid w:val="00733BD4"/>
    <w:rsid w:val="0073589D"/>
    <w:rsid w:val="007404E7"/>
    <w:rsid w:val="00741143"/>
    <w:rsid w:val="00741414"/>
    <w:rsid w:val="007424E9"/>
    <w:rsid w:val="00742706"/>
    <w:rsid w:val="0074427E"/>
    <w:rsid w:val="0074434A"/>
    <w:rsid w:val="007452D0"/>
    <w:rsid w:val="00746EAD"/>
    <w:rsid w:val="0074740B"/>
    <w:rsid w:val="00750D41"/>
    <w:rsid w:val="007535D9"/>
    <w:rsid w:val="00753B07"/>
    <w:rsid w:val="00753F12"/>
    <w:rsid w:val="00754DE9"/>
    <w:rsid w:val="0076069B"/>
    <w:rsid w:val="00761211"/>
    <w:rsid w:val="007626EF"/>
    <w:rsid w:val="007659FB"/>
    <w:rsid w:val="00765B63"/>
    <w:rsid w:val="0076686B"/>
    <w:rsid w:val="00766D9A"/>
    <w:rsid w:val="00767166"/>
    <w:rsid w:val="007711B3"/>
    <w:rsid w:val="00771255"/>
    <w:rsid w:val="00773152"/>
    <w:rsid w:val="00773644"/>
    <w:rsid w:val="00775C0A"/>
    <w:rsid w:val="00775F17"/>
    <w:rsid w:val="007807C1"/>
    <w:rsid w:val="007807DB"/>
    <w:rsid w:val="0078175A"/>
    <w:rsid w:val="0078210C"/>
    <w:rsid w:val="00782AB4"/>
    <w:rsid w:val="0078489E"/>
    <w:rsid w:val="00784B51"/>
    <w:rsid w:val="00784C85"/>
    <w:rsid w:val="00784CBE"/>
    <w:rsid w:val="00785F10"/>
    <w:rsid w:val="0078667F"/>
    <w:rsid w:val="00786D12"/>
    <w:rsid w:val="007876B6"/>
    <w:rsid w:val="00787A4E"/>
    <w:rsid w:val="00792291"/>
    <w:rsid w:val="007932A8"/>
    <w:rsid w:val="00795778"/>
    <w:rsid w:val="00797E4B"/>
    <w:rsid w:val="007A00B1"/>
    <w:rsid w:val="007A09C9"/>
    <w:rsid w:val="007A0B9C"/>
    <w:rsid w:val="007A19CB"/>
    <w:rsid w:val="007A29B6"/>
    <w:rsid w:val="007A375B"/>
    <w:rsid w:val="007A37E3"/>
    <w:rsid w:val="007A3DF7"/>
    <w:rsid w:val="007A5B59"/>
    <w:rsid w:val="007A648A"/>
    <w:rsid w:val="007A6C91"/>
    <w:rsid w:val="007A76C0"/>
    <w:rsid w:val="007B02F5"/>
    <w:rsid w:val="007B046E"/>
    <w:rsid w:val="007B13AE"/>
    <w:rsid w:val="007B2055"/>
    <w:rsid w:val="007B2187"/>
    <w:rsid w:val="007B2A7B"/>
    <w:rsid w:val="007B2EDD"/>
    <w:rsid w:val="007B3298"/>
    <w:rsid w:val="007B4183"/>
    <w:rsid w:val="007B4FBA"/>
    <w:rsid w:val="007B6990"/>
    <w:rsid w:val="007C0126"/>
    <w:rsid w:val="007C0AAC"/>
    <w:rsid w:val="007C15E6"/>
    <w:rsid w:val="007C2812"/>
    <w:rsid w:val="007C2BEF"/>
    <w:rsid w:val="007C2D72"/>
    <w:rsid w:val="007C3724"/>
    <w:rsid w:val="007C4D54"/>
    <w:rsid w:val="007C6BAB"/>
    <w:rsid w:val="007C6D37"/>
    <w:rsid w:val="007D2096"/>
    <w:rsid w:val="007D2C4E"/>
    <w:rsid w:val="007D32CC"/>
    <w:rsid w:val="007D4FB4"/>
    <w:rsid w:val="007D5480"/>
    <w:rsid w:val="007D559C"/>
    <w:rsid w:val="007D7214"/>
    <w:rsid w:val="007E021A"/>
    <w:rsid w:val="007E1141"/>
    <w:rsid w:val="007E14CB"/>
    <w:rsid w:val="007E1CB3"/>
    <w:rsid w:val="007E2504"/>
    <w:rsid w:val="007E4204"/>
    <w:rsid w:val="007E5012"/>
    <w:rsid w:val="007E60AA"/>
    <w:rsid w:val="007E6557"/>
    <w:rsid w:val="007E67B0"/>
    <w:rsid w:val="007E689D"/>
    <w:rsid w:val="007E6FB5"/>
    <w:rsid w:val="007E7D20"/>
    <w:rsid w:val="007F0CFD"/>
    <w:rsid w:val="007F31DD"/>
    <w:rsid w:val="007F4556"/>
    <w:rsid w:val="007F514E"/>
    <w:rsid w:val="007F5380"/>
    <w:rsid w:val="007F55F6"/>
    <w:rsid w:val="007F5CCB"/>
    <w:rsid w:val="007F7B8D"/>
    <w:rsid w:val="00801BD0"/>
    <w:rsid w:val="008024B7"/>
    <w:rsid w:val="008026C3"/>
    <w:rsid w:val="00802F56"/>
    <w:rsid w:val="00803FD3"/>
    <w:rsid w:val="00804518"/>
    <w:rsid w:val="0080521A"/>
    <w:rsid w:val="00806523"/>
    <w:rsid w:val="008065AC"/>
    <w:rsid w:val="0080714C"/>
    <w:rsid w:val="0080781F"/>
    <w:rsid w:val="00810203"/>
    <w:rsid w:val="00810DFA"/>
    <w:rsid w:val="00810E4B"/>
    <w:rsid w:val="0081236D"/>
    <w:rsid w:val="00812691"/>
    <w:rsid w:val="00812776"/>
    <w:rsid w:val="00813A6C"/>
    <w:rsid w:val="00813DCE"/>
    <w:rsid w:val="008154F0"/>
    <w:rsid w:val="00816FBE"/>
    <w:rsid w:val="008217C2"/>
    <w:rsid w:val="00821B4E"/>
    <w:rsid w:val="00823AB2"/>
    <w:rsid w:val="00823BEA"/>
    <w:rsid w:val="00825051"/>
    <w:rsid w:val="0082565A"/>
    <w:rsid w:val="008264A8"/>
    <w:rsid w:val="00830296"/>
    <w:rsid w:val="008304B7"/>
    <w:rsid w:val="0083096F"/>
    <w:rsid w:val="00832370"/>
    <w:rsid w:val="00833CF2"/>
    <w:rsid w:val="0083404B"/>
    <w:rsid w:val="008346B2"/>
    <w:rsid w:val="00834C8C"/>
    <w:rsid w:val="008350B4"/>
    <w:rsid w:val="008351E0"/>
    <w:rsid w:val="008352C7"/>
    <w:rsid w:val="0083641C"/>
    <w:rsid w:val="0083725A"/>
    <w:rsid w:val="00837C53"/>
    <w:rsid w:val="0084102D"/>
    <w:rsid w:val="00842593"/>
    <w:rsid w:val="008434E8"/>
    <w:rsid w:val="008438CA"/>
    <w:rsid w:val="008450DF"/>
    <w:rsid w:val="0084589A"/>
    <w:rsid w:val="008471B1"/>
    <w:rsid w:val="00847513"/>
    <w:rsid w:val="00847BB6"/>
    <w:rsid w:val="00850029"/>
    <w:rsid w:val="00850A9E"/>
    <w:rsid w:val="00851109"/>
    <w:rsid w:val="00853744"/>
    <w:rsid w:val="008538C9"/>
    <w:rsid w:val="00853A0E"/>
    <w:rsid w:val="00853DA6"/>
    <w:rsid w:val="0085466C"/>
    <w:rsid w:val="0085497E"/>
    <w:rsid w:val="00855032"/>
    <w:rsid w:val="00855050"/>
    <w:rsid w:val="00855EAE"/>
    <w:rsid w:val="008568F2"/>
    <w:rsid w:val="00856BBF"/>
    <w:rsid w:val="008605C7"/>
    <w:rsid w:val="0086071B"/>
    <w:rsid w:val="008609BB"/>
    <w:rsid w:val="00860B30"/>
    <w:rsid w:val="00860F1D"/>
    <w:rsid w:val="008614BE"/>
    <w:rsid w:val="0086212D"/>
    <w:rsid w:val="0086264F"/>
    <w:rsid w:val="0086284B"/>
    <w:rsid w:val="008639E4"/>
    <w:rsid w:val="00863A40"/>
    <w:rsid w:val="00863C85"/>
    <w:rsid w:val="00863DA9"/>
    <w:rsid w:val="008644EB"/>
    <w:rsid w:val="00864A5B"/>
    <w:rsid w:val="00864E5D"/>
    <w:rsid w:val="00865D8C"/>
    <w:rsid w:val="00865DC3"/>
    <w:rsid w:val="008660F4"/>
    <w:rsid w:val="0086710F"/>
    <w:rsid w:val="00867637"/>
    <w:rsid w:val="008676F9"/>
    <w:rsid w:val="00870702"/>
    <w:rsid w:val="00870DFD"/>
    <w:rsid w:val="00870F63"/>
    <w:rsid w:val="00871EE7"/>
    <w:rsid w:val="00872802"/>
    <w:rsid w:val="008731DC"/>
    <w:rsid w:val="00873F5E"/>
    <w:rsid w:val="008756F8"/>
    <w:rsid w:val="00875D32"/>
    <w:rsid w:val="00875E73"/>
    <w:rsid w:val="0087784F"/>
    <w:rsid w:val="008801B0"/>
    <w:rsid w:val="0088277F"/>
    <w:rsid w:val="00882AF1"/>
    <w:rsid w:val="00883139"/>
    <w:rsid w:val="008853D1"/>
    <w:rsid w:val="008853F5"/>
    <w:rsid w:val="008860F2"/>
    <w:rsid w:val="00886CE7"/>
    <w:rsid w:val="00887294"/>
    <w:rsid w:val="0089039D"/>
    <w:rsid w:val="00891CD5"/>
    <w:rsid w:val="00892970"/>
    <w:rsid w:val="00892B59"/>
    <w:rsid w:val="00893264"/>
    <w:rsid w:val="00895936"/>
    <w:rsid w:val="008969E9"/>
    <w:rsid w:val="00897506"/>
    <w:rsid w:val="00897F23"/>
    <w:rsid w:val="008A09BE"/>
    <w:rsid w:val="008A0ADF"/>
    <w:rsid w:val="008A2403"/>
    <w:rsid w:val="008A254C"/>
    <w:rsid w:val="008A358C"/>
    <w:rsid w:val="008A3DD8"/>
    <w:rsid w:val="008A4B5C"/>
    <w:rsid w:val="008A4D31"/>
    <w:rsid w:val="008A53DF"/>
    <w:rsid w:val="008A570A"/>
    <w:rsid w:val="008A60D4"/>
    <w:rsid w:val="008A71FE"/>
    <w:rsid w:val="008B0B02"/>
    <w:rsid w:val="008B0B05"/>
    <w:rsid w:val="008B0E0A"/>
    <w:rsid w:val="008B0F03"/>
    <w:rsid w:val="008B1977"/>
    <w:rsid w:val="008B1AD6"/>
    <w:rsid w:val="008B2066"/>
    <w:rsid w:val="008B43EC"/>
    <w:rsid w:val="008B4B21"/>
    <w:rsid w:val="008B6F99"/>
    <w:rsid w:val="008C06C6"/>
    <w:rsid w:val="008C0C36"/>
    <w:rsid w:val="008C0C3C"/>
    <w:rsid w:val="008C0F0E"/>
    <w:rsid w:val="008C1CDE"/>
    <w:rsid w:val="008C2E3B"/>
    <w:rsid w:val="008C3440"/>
    <w:rsid w:val="008C68A0"/>
    <w:rsid w:val="008C6F96"/>
    <w:rsid w:val="008C73B8"/>
    <w:rsid w:val="008D03D2"/>
    <w:rsid w:val="008D34AE"/>
    <w:rsid w:val="008D47AD"/>
    <w:rsid w:val="008D4EE3"/>
    <w:rsid w:val="008D5FF4"/>
    <w:rsid w:val="008D60B0"/>
    <w:rsid w:val="008D60B5"/>
    <w:rsid w:val="008E001F"/>
    <w:rsid w:val="008E0A2B"/>
    <w:rsid w:val="008E1834"/>
    <w:rsid w:val="008E24B6"/>
    <w:rsid w:val="008E5522"/>
    <w:rsid w:val="008E5A9F"/>
    <w:rsid w:val="008E5E5D"/>
    <w:rsid w:val="008E6A7E"/>
    <w:rsid w:val="008E7688"/>
    <w:rsid w:val="008F077A"/>
    <w:rsid w:val="008F173E"/>
    <w:rsid w:val="008F1AAB"/>
    <w:rsid w:val="008F23AC"/>
    <w:rsid w:val="008F3696"/>
    <w:rsid w:val="008F3C23"/>
    <w:rsid w:val="008F3C25"/>
    <w:rsid w:val="008F4EC6"/>
    <w:rsid w:val="008F5331"/>
    <w:rsid w:val="008F6608"/>
    <w:rsid w:val="008F76F8"/>
    <w:rsid w:val="008F782A"/>
    <w:rsid w:val="008F7867"/>
    <w:rsid w:val="008F7CED"/>
    <w:rsid w:val="00900B07"/>
    <w:rsid w:val="00901866"/>
    <w:rsid w:val="009019EE"/>
    <w:rsid w:val="00901C7D"/>
    <w:rsid w:val="009020C1"/>
    <w:rsid w:val="009023E9"/>
    <w:rsid w:val="00902555"/>
    <w:rsid w:val="00903820"/>
    <w:rsid w:val="009038A3"/>
    <w:rsid w:val="00903F0C"/>
    <w:rsid w:val="0090402C"/>
    <w:rsid w:val="00905DCB"/>
    <w:rsid w:val="009061C7"/>
    <w:rsid w:val="00906217"/>
    <w:rsid w:val="00910AEC"/>
    <w:rsid w:val="00910CCF"/>
    <w:rsid w:val="00911493"/>
    <w:rsid w:val="0091158F"/>
    <w:rsid w:val="00911AC8"/>
    <w:rsid w:val="0091255C"/>
    <w:rsid w:val="0091304E"/>
    <w:rsid w:val="00913227"/>
    <w:rsid w:val="00915EAF"/>
    <w:rsid w:val="009170AB"/>
    <w:rsid w:val="00917932"/>
    <w:rsid w:val="0092099C"/>
    <w:rsid w:val="0092215E"/>
    <w:rsid w:val="0092407D"/>
    <w:rsid w:val="009242BD"/>
    <w:rsid w:val="00927996"/>
    <w:rsid w:val="00927B3C"/>
    <w:rsid w:val="00931EA0"/>
    <w:rsid w:val="0093211F"/>
    <w:rsid w:val="0093236C"/>
    <w:rsid w:val="009323AB"/>
    <w:rsid w:val="0093364E"/>
    <w:rsid w:val="00934AA3"/>
    <w:rsid w:val="00935184"/>
    <w:rsid w:val="00936906"/>
    <w:rsid w:val="009372FC"/>
    <w:rsid w:val="009376E3"/>
    <w:rsid w:val="009378C2"/>
    <w:rsid w:val="00940BEB"/>
    <w:rsid w:val="00941A2E"/>
    <w:rsid w:val="00941CC3"/>
    <w:rsid w:val="00945014"/>
    <w:rsid w:val="00945020"/>
    <w:rsid w:val="0094519E"/>
    <w:rsid w:val="00945DD6"/>
    <w:rsid w:val="009461E0"/>
    <w:rsid w:val="00946CA8"/>
    <w:rsid w:val="0094727E"/>
    <w:rsid w:val="009473C1"/>
    <w:rsid w:val="009474AF"/>
    <w:rsid w:val="00947F2A"/>
    <w:rsid w:val="0095004A"/>
    <w:rsid w:val="00950851"/>
    <w:rsid w:val="00951731"/>
    <w:rsid w:val="0095439F"/>
    <w:rsid w:val="009546DB"/>
    <w:rsid w:val="00954742"/>
    <w:rsid w:val="00956011"/>
    <w:rsid w:val="00956B8C"/>
    <w:rsid w:val="00957104"/>
    <w:rsid w:val="009604F5"/>
    <w:rsid w:val="009633C5"/>
    <w:rsid w:val="00964B08"/>
    <w:rsid w:val="00964CFE"/>
    <w:rsid w:val="00965AA2"/>
    <w:rsid w:val="00965FB4"/>
    <w:rsid w:val="00967662"/>
    <w:rsid w:val="0097094E"/>
    <w:rsid w:val="00971778"/>
    <w:rsid w:val="009723FC"/>
    <w:rsid w:val="0097307F"/>
    <w:rsid w:val="00973FBE"/>
    <w:rsid w:val="00974296"/>
    <w:rsid w:val="0097635F"/>
    <w:rsid w:val="009763DC"/>
    <w:rsid w:val="00977429"/>
    <w:rsid w:val="009812FE"/>
    <w:rsid w:val="009815D0"/>
    <w:rsid w:val="00982874"/>
    <w:rsid w:val="00983527"/>
    <w:rsid w:val="009835B3"/>
    <w:rsid w:val="009837BD"/>
    <w:rsid w:val="009838FF"/>
    <w:rsid w:val="00983938"/>
    <w:rsid w:val="009841BA"/>
    <w:rsid w:val="009847DD"/>
    <w:rsid w:val="009851A2"/>
    <w:rsid w:val="0098562B"/>
    <w:rsid w:val="00985F88"/>
    <w:rsid w:val="00986B2C"/>
    <w:rsid w:val="009904EA"/>
    <w:rsid w:val="00990A68"/>
    <w:rsid w:val="00990C4A"/>
    <w:rsid w:val="00996A0C"/>
    <w:rsid w:val="0099799D"/>
    <w:rsid w:val="009A1F68"/>
    <w:rsid w:val="009A2265"/>
    <w:rsid w:val="009A349B"/>
    <w:rsid w:val="009A5E4B"/>
    <w:rsid w:val="009A767C"/>
    <w:rsid w:val="009A7D60"/>
    <w:rsid w:val="009B0F43"/>
    <w:rsid w:val="009B23C7"/>
    <w:rsid w:val="009B2C8D"/>
    <w:rsid w:val="009B4DCD"/>
    <w:rsid w:val="009B4F72"/>
    <w:rsid w:val="009B5535"/>
    <w:rsid w:val="009B585B"/>
    <w:rsid w:val="009B6320"/>
    <w:rsid w:val="009B6359"/>
    <w:rsid w:val="009B6971"/>
    <w:rsid w:val="009C00D2"/>
    <w:rsid w:val="009C19CA"/>
    <w:rsid w:val="009C2BFF"/>
    <w:rsid w:val="009C443C"/>
    <w:rsid w:val="009C67F3"/>
    <w:rsid w:val="009C69C6"/>
    <w:rsid w:val="009C774A"/>
    <w:rsid w:val="009C7ED4"/>
    <w:rsid w:val="009D01D4"/>
    <w:rsid w:val="009D054A"/>
    <w:rsid w:val="009D116E"/>
    <w:rsid w:val="009D146B"/>
    <w:rsid w:val="009D3D29"/>
    <w:rsid w:val="009D3E58"/>
    <w:rsid w:val="009D4F45"/>
    <w:rsid w:val="009D5C25"/>
    <w:rsid w:val="009D6510"/>
    <w:rsid w:val="009D7B66"/>
    <w:rsid w:val="009D7E37"/>
    <w:rsid w:val="009E13BD"/>
    <w:rsid w:val="009E2E1F"/>
    <w:rsid w:val="009E5EA0"/>
    <w:rsid w:val="009F037E"/>
    <w:rsid w:val="009F0908"/>
    <w:rsid w:val="009F0E9D"/>
    <w:rsid w:val="009F1AD3"/>
    <w:rsid w:val="009F1D55"/>
    <w:rsid w:val="009F1F6E"/>
    <w:rsid w:val="009F2550"/>
    <w:rsid w:val="009F4B70"/>
    <w:rsid w:val="009F4EE1"/>
    <w:rsid w:val="009F74EE"/>
    <w:rsid w:val="00A017B3"/>
    <w:rsid w:val="00A048F3"/>
    <w:rsid w:val="00A052AC"/>
    <w:rsid w:val="00A05B5F"/>
    <w:rsid w:val="00A062F7"/>
    <w:rsid w:val="00A11B0A"/>
    <w:rsid w:val="00A12B71"/>
    <w:rsid w:val="00A13955"/>
    <w:rsid w:val="00A14CF3"/>
    <w:rsid w:val="00A1681F"/>
    <w:rsid w:val="00A16E28"/>
    <w:rsid w:val="00A1714B"/>
    <w:rsid w:val="00A20645"/>
    <w:rsid w:val="00A2141B"/>
    <w:rsid w:val="00A2232F"/>
    <w:rsid w:val="00A23819"/>
    <w:rsid w:val="00A23A56"/>
    <w:rsid w:val="00A24DF8"/>
    <w:rsid w:val="00A27B7B"/>
    <w:rsid w:val="00A31929"/>
    <w:rsid w:val="00A34829"/>
    <w:rsid w:val="00A36052"/>
    <w:rsid w:val="00A36769"/>
    <w:rsid w:val="00A402D6"/>
    <w:rsid w:val="00A4125B"/>
    <w:rsid w:val="00A42B59"/>
    <w:rsid w:val="00A42E92"/>
    <w:rsid w:val="00A46F74"/>
    <w:rsid w:val="00A47E19"/>
    <w:rsid w:val="00A51325"/>
    <w:rsid w:val="00A52AA7"/>
    <w:rsid w:val="00A5460A"/>
    <w:rsid w:val="00A55F51"/>
    <w:rsid w:val="00A603A2"/>
    <w:rsid w:val="00A60A33"/>
    <w:rsid w:val="00A61CFD"/>
    <w:rsid w:val="00A62826"/>
    <w:rsid w:val="00A64143"/>
    <w:rsid w:val="00A643F3"/>
    <w:rsid w:val="00A655E0"/>
    <w:rsid w:val="00A658DD"/>
    <w:rsid w:val="00A658FA"/>
    <w:rsid w:val="00A66147"/>
    <w:rsid w:val="00A662CF"/>
    <w:rsid w:val="00A66980"/>
    <w:rsid w:val="00A67022"/>
    <w:rsid w:val="00A71A1F"/>
    <w:rsid w:val="00A72B8C"/>
    <w:rsid w:val="00A7555C"/>
    <w:rsid w:val="00A75E2F"/>
    <w:rsid w:val="00A75E40"/>
    <w:rsid w:val="00A7629C"/>
    <w:rsid w:val="00A76C68"/>
    <w:rsid w:val="00A80616"/>
    <w:rsid w:val="00A81444"/>
    <w:rsid w:val="00A82406"/>
    <w:rsid w:val="00A82ADD"/>
    <w:rsid w:val="00A82B28"/>
    <w:rsid w:val="00A8446E"/>
    <w:rsid w:val="00A85974"/>
    <w:rsid w:val="00A874B4"/>
    <w:rsid w:val="00A90564"/>
    <w:rsid w:val="00A90D63"/>
    <w:rsid w:val="00A9111E"/>
    <w:rsid w:val="00A9190A"/>
    <w:rsid w:val="00A923E3"/>
    <w:rsid w:val="00A929C5"/>
    <w:rsid w:val="00A93499"/>
    <w:rsid w:val="00A93A07"/>
    <w:rsid w:val="00A954AE"/>
    <w:rsid w:val="00A95C6D"/>
    <w:rsid w:val="00A96531"/>
    <w:rsid w:val="00A96977"/>
    <w:rsid w:val="00AA047F"/>
    <w:rsid w:val="00AA07AC"/>
    <w:rsid w:val="00AA2A99"/>
    <w:rsid w:val="00AA2FC9"/>
    <w:rsid w:val="00AA31A9"/>
    <w:rsid w:val="00AA320F"/>
    <w:rsid w:val="00AA4444"/>
    <w:rsid w:val="00AA521F"/>
    <w:rsid w:val="00AA5ECF"/>
    <w:rsid w:val="00AA7EB0"/>
    <w:rsid w:val="00AB08FC"/>
    <w:rsid w:val="00AB2D89"/>
    <w:rsid w:val="00AB2F7F"/>
    <w:rsid w:val="00AB3CA5"/>
    <w:rsid w:val="00AB413B"/>
    <w:rsid w:val="00AB4844"/>
    <w:rsid w:val="00AB5704"/>
    <w:rsid w:val="00AB76CB"/>
    <w:rsid w:val="00AC1DE7"/>
    <w:rsid w:val="00AC21C6"/>
    <w:rsid w:val="00AC2335"/>
    <w:rsid w:val="00AC3684"/>
    <w:rsid w:val="00AC3E77"/>
    <w:rsid w:val="00AC4025"/>
    <w:rsid w:val="00AC553F"/>
    <w:rsid w:val="00AC583D"/>
    <w:rsid w:val="00AD0549"/>
    <w:rsid w:val="00AD1A12"/>
    <w:rsid w:val="00AD1A29"/>
    <w:rsid w:val="00AD226A"/>
    <w:rsid w:val="00AD4726"/>
    <w:rsid w:val="00AD7542"/>
    <w:rsid w:val="00AD7EB5"/>
    <w:rsid w:val="00AE0D57"/>
    <w:rsid w:val="00AE5655"/>
    <w:rsid w:val="00AE5C29"/>
    <w:rsid w:val="00AE6183"/>
    <w:rsid w:val="00AE62BE"/>
    <w:rsid w:val="00AE69DF"/>
    <w:rsid w:val="00AE6AF7"/>
    <w:rsid w:val="00AE7B2F"/>
    <w:rsid w:val="00AE7FD9"/>
    <w:rsid w:val="00AF186D"/>
    <w:rsid w:val="00AF1D4C"/>
    <w:rsid w:val="00AF1F86"/>
    <w:rsid w:val="00AF36CB"/>
    <w:rsid w:val="00AF3896"/>
    <w:rsid w:val="00AF4702"/>
    <w:rsid w:val="00AF514D"/>
    <w:rsid w:val="00AF60F6"/>
    <w:rsid w:val="00AF6525"/>
    <w:rsid w:val="00AF6BD4"/>
    <w:rsid w:val="00AF6ED4"/>
    <w:rsid w:val="00AF70AA"/>
    <w:rsid w:val="00AF74A8"/>
    <w:rsid w:val="00AF7607"/>
    <w:rsid w:val="00B0074D"/>
    <w:rsid w:val="00B0097D"/>
    <w:rsid w:val="00B00EAF"/>
    <w:rsid w:val="00B01683"/>
    <w:rsid w:val="00B01EC1"/>
    <w:rsid w:val="00B028A0"/>
    <w:rsid w:val="00B02ABD"/>
    <w:rsid w:val="00B02E94"/>
    <w:rsid w:val="00B04C82"/>
    <w:rsid w:val="00B0545F"/>
    <w:rsid w:val="00B05E7A"/>
    <w:rsid w:val="00B064BF"/>
    <w:rsid w:val="00B06B3F"/>
    <w:rsid w:val="00B0708D"/>
    <w:rsid w:val="00B07426"/>
    <w:rsid w:val="00B10688"/>
    <w:rsid w:val="00B13E27"/>
    <w:rsid w:val="00B13E77"/>
    <w:rsid w:val="00B1441B"/>
    <w:rsid w:val="00B14F57"/>
    <w:rsid w:val="00B16919"/>
    <w:rsid w:val="00B17540"/>
    <w:rsid w:val="00B207B4"/>
    <w:rsid w:val="00B2142B"/>
    <w:rsid w:val="00B23535"/>
    <w:rsid w:val="00B248DF"/>
    <w:rsid w:val="00B251BB"/>
    <w:rsid w:val="00B251FE"/>
    <w:rsid w:val="00B25C89"/>
    <w:rsid w:val="00B261F5"/>
    <w:rsid w:val="00B263BA"/>
    <w:rsid w:val="00B26FD8"/>
    <w:rsid w:val="00B27442"/>
    <w:rsid w:val="00B318D0"/>
    <w:rsid w:val="00B3263E"/>
    <w:rsid w:val="00B32874"/>
    <w:rsid w:val="00B34E56"/>
    <w:rsid w:val="00B35134"/>
    <w:rsid w:val="00B356FD"/>
    <w:rsid w:val="00B375BA"/>
    <w:rsid w:val="00B42659"/>
    <w:rsid w:val="00B427E9"/>
    <w:rsid w:val="00B4378D"/>
    <w:rsid w:val="00B44C57"/>
    <w:rsid w:val="00B44E22"/>
    <w:rsid w:val="00B45BBC"/>
    <w:rsid w:val="00B4682A"/>
    <w:rsid w:val="00B46A93"/>
    <w:rsid w:val="00B4715E"/>
    <w:rsid w:val="00B502F5"/>
    <w:rsid w:val="00B50888"/>
    <w:rsid w:val="00B50E84"/>
    <w:rsid w:val="00B515AB"/>
    <w:rsid w:val="00B5310D"/>
    <w:rsid w:val="00B543E0"/>
    <w:rsid w:val="00B54A33"/>
    <w:rsid w:val="00B54FB4"/>
    <w:rsid w:val="00B560D7"/>
    <w:rsid w:val="00B56775"/>
    <w:rsid w:val="00B60987"/>
    <w:rsid w:val="00B60C68"/>
    <w:rsid w:val="00B61D9C"/>
    <w:rsid w:val="00B62780"/>
    <w:rsid w:val="00B65134"/>
    <w:rsid w:val="00B65F86"/>
    <w:rsid w:val="00B70643"/>
    <w:rsid w:val="00B72872"/>
    <w:rsid w:val="00B729B6"/>
    <w:rsid w:val="00B72D79"/>
    <w:rsid w:val="00B72EFA"/>
    <w:rsid w:val="00B7343C"/>
    <w:rsid w:val="00B73542"/>
    <w:rsid w:val="00B735B7"/>
    <w:rsid w:val="00B749FA"/>
    <w:rsid w:val="00B758B4"/>
    <w:rsid w:val="00B76157"/>
    <w:rsid w:val="00B7665D"/>
    <w:rsid w:val="00B7688D"/>
    <w:rsid w:val="00B76BE0"/>
    <w:rsid w:val="00B773C5"/>
    <w:rsid w:val="00B77469"/>
    <w:rsid w:val="00B77FDF"/>
    <w:rsid w:val="00B809FA"/>
    <w:rsid w:val="00B81405"/>
    <w:rsid w:val="00B816F2"/>
    <w:rsid w:val="00B82D38"/>
    <w:rsid w:val="00B830B4"/>
    <w:rsid w:val="00B833C2"/>
    <w:rsid w:val="00B83876"/>
    <w:rsid w:val="00B83892"/>
    <w:rsid w:val="00B84458"/>
    <w:rsid w:val="00B84AB0"/>
    <w:rsid w:val="00B84C14"/>
    <w:rsid w:val="00B85AB6"/>
    <w:rsid w:val="00B873BE"/>
    <w:rsid w:val="00B904BF"/>
    <w:rsid w:val="00B91CFB"/>
    <w:rsid w:val="00B922D9"/>
    <w:rsid w:val="00B92A62"/>
    <w:rsid w:val="00B9429A"/>
    <w:rsid w:val="00B9730B"/>
    <w:rsid w:val="00B97AFA"/>
    <w:rsid w:val="00BA02DE"/>
    <w:rsid w:val="00BA09AC"/>
    <w:rsid w:val="00BA1083"/>
    <w:rsid w:val="00BA1988"/>
    <w:rsid w:val="00BA2E88"/>
    <w:rsid w:val="00BA367F"/>
    <w:rsid w:val="00BA3FCB"/>
    <w:rsid w:val="00BA4943"/>
    <w:rsid w:val="00BA7130"/>
    <w:rsid w:val="00BA773F"/>
    <w:rsid w:val="00BB146D"/>
    <w:rsid w:val="00BB15A1"/>
    <w:rsid w:val="00BB32EC"/>
    <w:rsid w:val="00BB3947"/>
    <w:rsid w:val="00BB42C8"/>
    <w:rsid w:val="00BB4879"/>
    <w:rsid w:val="00BB4CCD"/>
    <w:rsid w:val="00BB5F6D"/>
    <w:rsid w:val="00BB6EF7"/>
    <w:rsid w:val="00BC07D1"/>
    <w:rsid w:val="00BC1A4E"/>
    <w:rsid w:val="00BC2266"/>
    <w:rsid w:val="00BC27CE"/>
    <w:rsid w:val="00BC2CEF"/>
    <w:rsid w:val="00BC370E"/>
    <w:rsid w:val="00BC41B1"/>
    <w:rsid w:val="00BC4EF9"/>
    <w:rsid w:val="00BD009B"/>
    <w:rsid w:val="00BD0828"/>
    <w:rsid w:val="00BD0F36"/>
    <w:rsid w:val="00BD1735"/>
    <w:rsid w:val="00BD184C"/>
    <w:rsid w:val="00BD19B1"/>
    <w:rsid w:val="00BD1CC4"/>
    <w:rsid w:val="00BD2BB8"/>
    <w:rsid w:val="00BD55D2"/>
    <w:rsid w:val="00BD657C"/>
    <w:rsid w:val="00BD6666"/>
    <w:rsid w:val="00BD6DA8"/>
    <w:rsid w:val="00BE0634"/>
    <w:rsid w:val="00BE4DB5"/>
    <w:rsid w:val="00BE5562"/>
    <w:rsid w:val="00BE6226"/>
    <w:rsid w:val="00BE6BCA"/>
    <w:rsid w:val="00BE7180"/>
    <w:rsid w:val="00BF06AA"/>
    <w:rsid w:val="00BF07B3"/>
    <w:rsid w:val="00BF19FA"/>
    <w:rsid w:val="00BF1EEE"/>
    <w:rsid w:val="00BF3C3A"/>
    <w:rsid w:val="00BF4BE0"/>
    <w:rsid w:val="00C018DA"/>
    <w:rsid w:val="00C01C19"/>
    <w:rsid w:val="00C027A2"/>
    <w:rsid w:val="00C02959"/>
    <w:rsid w:val="00C05884"/>
    <w:rsid w:val="00C06A87"/>
    <w:rsid w:val="00C073E7"/>
    <w:rsid w:val="00C07622"/>
    <w:rsid w:val="00C10302"/>
    <w:rsid w:val="00C10F5F"/>
    <w:rsid w:val="00C11F5C"/>
    <w:rsid w:val="00C141FF"/>
    <w:rsid w:val="00C155A3"/>
    <w:rsid w:val="00C156B7"/>
    <w:rsid w:val="00C16CE4"/>
    <w:rsid w:val="00C16E25"/>
    <w:rsid w:val="00C205F4"/>
    <w:rsid w:val="00C207E7"/>
    <w:rsid w:val="00C20940"/>
    <w:rsid w:val="00C231EA"/>
    <w:rsid w:val="00C23D60"/>
    <w:rsid w:val="00C23ED2"/>
    <w:rsid w:val="00C243B0"/>
    <w:rsid w:val="00C25886"/>
    <w:rsid w:val="00C25E45"/>
    <w:rsid w:val="00C25EE1"/>
    <w:rsid w:val="00C2666D"/>
    <w:rsid w:val="00C26C5E"/>
    <w:rsid w:val="00C27CEC"/>
    <w:rsid w:val="00C30CDB"/>
    <w:rsid w:val="00C30DDB"/>
    <w:rsid w:val="00C329F7"/>
    <w:rsid w:val="00C32E7E"/>
    <w:rsid w:val="00C33B02"/>
    <w:rsid w:val="00C36557"/>
    <w:rsid w:val="00C3725C"/>
    <w:rsid w:val="00C374E0"/>
    <w:rsid w:val="00C37C3D"/>
    <w:rsid w:val="00C40392"/>
    <w:rsid w:val="00C4110E"/>
    <w:rsid w:val="00C41633"/>
    <w:rsid w:val="00C41884"/>
    <w:rsid w:val="00C42D03"/>
    <w:rsid w:val="00C43F8F"/>
    <w:rsid w:val="00C466D3"/>
    <w:rsid w:val="00C46D87"/>
    <w:rsid w:val="00C47070"/>
    <w:rsid w:val="00C5003C"/>
    <w:rsid w:val="00C510B1"/>
    <w:rsid w:val="00C511A4"/>
    <w:rsid w:val="00C523DF"/>
    <w:rsid w:val="00C527A5"/>
    <w:rsid w:val="00C529BD"/>
    <w:rsid w:val="00C52F6A"/>
    <w:rsid w:val="00C53773"/>
    <w:rsid w:val="00C5401C"/>
    <w:rsid w:val="00C545E0"/>
    <w:rsid w:val="00C57725"/>
    <w:rsid w:val="00C61161"/>
    <w:rsid w:val="00C646D0"/>
    <w:rsid w:val="00C64BB3"/>
    <w:rsid w:val="00C64D5F"/>
    <w:rsid w:val="00C65FE1"/>
    <w:rsid w:val="00C67B3F"/>
    <w:rsid w:val="00C67EB5"/>
    <w:rsid w:val="00C67FEA"/>
    <w:rsid w:val="00C700F5"/>
    <w:rsid w:val="00C70120"/>
    <w:rsid w:val="00C70ABA"/>
    <w:rsid w:val="00C71675"/>
    <w:rsid w:val="00C72CA7"/>
    <w:rsid w:val="00C7539E"/>
    <w:rsid w:val="00C75802"/>
    <w:rsid w:val="00C75D44"/>
    <w:rsid w:val="00C76116"/>
    <w:rsid w:val="00C7671D"/>
    <w:rsid w:val="00C77101"/>
    <w:rsid w:val="00C80B98"/>
    <w:rsid w:val="00C82C3C"/>
    <w:rsid w:val="00C82ECA"/>
    <w:rsid w:val="00C833C7"/>
    <w:rsid w:val="00C83695"/>
    <w:rsid w:val="00C84364"/>
    <w:rsid w:val="00C85D61"/>
    <w:rsid w:val="00C860EF"/>
    <w:rsid w:val="00C87E43"/>
    <w:rsid w:val="00C90129"/>
    <w:rsid w:val="00C90143"/>
    <w:rsid w:val="00C90220"/>
    <w:rsid w:val="00C9150E"/>
    <w:rsid w:val="00C917A4"/>
    <w:rsid w:val="00C91D33"/>
    <w:rsid w:val="00C92F0D"/>
    <w:rsid w:val="00C92F9A"/>
    <w:rsid w:val="00C9366C"/>
    <w:rsid w:val="00C93A7B"/>
    <w:rsid w:val="00C93D8F"/>
    <w:rsid w:val="00C9499A"/>
    <w:rsid w:val="00C94DA5"/>
    <w:rsid w:val="00C950A6"/>
    <w:rsid w:val="00CA0B23"/>
    <w:rsid w:val="00CA1541"/>
    <w:rsid w:val="00CA1585"/>
    <w:rsid w:val="00CA391C"/>
    <w:rsid w:val="00CA42D6"/>
    <w:rsid w:val="00CA58F4"/>
    <w:rsid w:val="00CA59E8"/>
    <w:rsid w:val="00CA6F4B"/>
    <w:rsid w:val="00CA740C"/>
    <w:rsid w:val="00CA7498"/>
    <w:rsid w:val="00CA7C0D"/>
    <w:rsid w:val="00CB052A"/>
    <w:rsid w:val="00CB0D2D"/>
    <w:rsid w:val="00CB2687"/>
    <w:rsid w:val="00CB27DD"/>
    <w:rsid w:val="00CB393D"/>
    <w:rsid w:val="00CB3F20"/>
    <w:rsid w:val="00CB54C2"/>
    <w:rsid w:val="00CB6784"/>
    <w:rsid w:val="00CB6B44"/>
    <w:rsid w:val="00CC1CC6"/>
    <w:rsid w:val="00CC271D"/>
    <w:rsid w:val="00CC272A"/>
    <w:rsid w:val="00CC284B"/>
    <w:rsid w:val="00CC39A6"/>
    <w:rsid w:val="00CC448D"/>
    <w:rsid w:val="00CC5418"/>
    <w:rsid w:val="00CC74FB"/>
    <w:rsid w:val="00CD1BA2"/>
    <w:rsid w:val="00CD28D8"/>
    <w:rsid w:val="00CD2C57"/>
    <w:rsid w:val="00CD35AA"/>
    <w:rsid w:val="00CD37EC"/>
    <w:rsid w:val="00CD4685"/>
    <w:rsid w:val="00CD53B8"/>
    <w:rsid w:val="00CD5805"/>
    <w:rsid w:val="00CD64F0"/>
    <w:rsid w:val="00CD66C0"/>
    <w:rsid w:val="00CD7784"/>
    <w:rsid w:val="00CE0870"/>
    <w:rsid w:val="00CE1B96"/>
    <w:rsid w:val="00CE1D28"/>
    <w:rsid w:val="00CE1F96"/>
    <w:rsid w:val="00CE317A"/>
    <w:rsid w:val="00CE3338"/>
    <w:rsid w:val="00CE41A6"/>
    <w:rsid w:val="00CE42BB"/>
    <w:rsid w:val="00CE4396"/>
    <w:rsid w:val="00CE4DBE"/>
    <w:rsid w:val="00CE60FB"/>
    <w:rsid w:val="00CF15C7"/>
    <w:rsid w:val="00CF1880"/>
    <w:rsid w:val="00CF2362"/>
    <w:rsid w:val="00CF3B4A"/>
    <w:rsid w:val="00CF50C8"/>
    <w:rsid w:val="00CF6787"/>
    <w:rsid w:val="00CF69B1"/>
    <w:rsid w:val="00CF6A61"/>
    <w:rsid w:val="00CF7C65"/>
    <w:rsid w:val="00D00283"/>
    <w:rsid w:val="00D01CDE"/>
    <w:rsid w:val="00D01EBE"/>
    <w:rsid w:val="00D02219"/>
    <w:rsid w:val="00D0356C"/>
    <w:rsid w:val="00D0485B"/>
    <w:rsid w:val="00D049C7"/>
    <w:rsid w:val="00D04E1C"/>
    <w:rsid w:val="00D0615F"/>
    <w:rsid w:val="00D07A2B"/>
    <w:rsid w:val="00D10CB0"/>
    <w:rsid w:val="00D11102"/>
    <w:rsid w:val="00D118E3"/>
    <w:rsid w:val="00D124A8"/>
    <w:rsid w:val="00D13187"/>
    <w:rsid w:val="00D13222"/>
    <w:rsid w:val="00D15A7A"/>
    <w:rsid w:val="00D165D2"/>
    <w:rsid w:val="00D17504"/>
    <w:rsid w:val="00D21B63"/>
    <w:rsid w:val="00D21D77"/>
    <w:rsid w:val="00D222C6"/>
    <w:rsid w:val="00D223DA"/>
    <w:rsid w:val="00D22D9E"/>
    <w:rsid w:val="00D24880"/>
    <w:rsid w:val="00D2568B"/>
    <w:rsid w:val="00D25D63"/>
    <w:rsid w:val="00D26017"/>
    <w:rsid w:val="00D2617D"/>
    <w:rsid w:val="00D308CA"/>
    <w:rsid w:val="00D30D31"/>
    <w:rsid w:val="00D311D6"/>
    <w:rsid w:val="00D31DE0"/>
    <w:rsid w:val="00D32CB1"/>
    <w:rsid w:val="00D3406C"/>
    <w:rsid w:val="00D36C20"/>
    <w:rsid w:val="00D36F81"/>
    <w:rsid w:val="00D42F62"/>
    <w:rsid w:val="00D4300C"/>
    <w:rsid w:val="00D4432C"/>
    <w:rsid w:val="00D44381"/>
    <w:rsid w:val="00D449FA"/>
    <w:rsid w:val="00D45B71"/>
    <w:rsid w:val="00D45F02"/>
    <w:rsid w:val="00D460FC"/>
    <w:rsid w:val="00D46809"/>
    <w:rsid w:val="00D46E07"/>
    <w:rsid w:val="00D47E33"/>
    <w:rsid w:val="00D50354"/>
    <w:rsid w:val="00D5060A"/>
    <w:rsid w:val="00D5260D"/>
    <w:rsid w:val="00D53766"/>
    <w:rsid w:val="00D53922"/>
    <w:rsid w:val="00D542FC"/>
    <w:rsid w:val="00D54DE5"/>
    <w:rsid w:val="00D5539F"/>
    <w:rsid w:val="00D554EA"/>
    <w:rsid w:val="00D561D8"/>
    <w:rsid w:val="00D564E5"/>
    <w:rsid w:val="00D572CA"/>
    <w:rsid w:val="00D57307"/>
    <w:rsid w:val="00D57DAC"/>
    <w:rsid w:val="00D6240D"/>
    <w:rsid w:val="00D62969"/>
    <w:rsid w:val="00D62E51"/>
    <w:rsid w:val="00D6613A"/>
    <w:rsid w:val="00D66805"/>
    <w:rsid w:val="00D66E61"/>
    <w:rsid w:val="00D66E8C"/>
    <w:rsid w:val="00D6743E"/>
    <w:rsid w:val="00D67B78"/>
    <w:rsid w:val="00D7499A"/>
    <w:rsid w:val="00D74BA1"/>
    <w:rsid w:val="00D74D98"/>
    <w:rsid w:val="00D764FD"/>
    <w:rsid w:val="00D7678A"/>
    <w:rsid w:val="00D779A5"/>
    <w:rsid w:val="00D80716"/>
    <w:rsid w:val="00D8143A"/>
    <w:rsid w:val="00D819E8"/>
    <w:rsid w:val="00D81EC7"/>
    <w:rsid w:val="00D82843"/>
    <w:rsid w:val="00D835AE"/>
    <w:rsid w:val="00D8528E"/>
    <w:rsid w:val="00D85F2E"/>
    <w:rsid w:val="00D86BDC"/>
    <w:rsid w:val="00D86D82"/>
    <w:rsid w:val="00D86FE4"/>
    <w:rsid w:val="00D87FA7"/>
    <w:rsid w:val="00D91263"/>
    <w:rsid w:val="00D917CF"/>
    <w:rsid w:val="00D91BD6"/>
    <w:rsid w:val="00D92636"/>
    <w:rsid w:val="00D92BA3"/>
    <w:rsid w:val="00D94657"/>
    <w:rsid w:val="00D95789"/>
    <w:rsid w:val="00D962CE"/>
    <w:rsid w:val="00D96447"/>
    <w:rsid w:val="00DA14B2"/>
    <w:rsid w:val="00DA169D"/>
    <w:rsid w:val="00DA1BF9"/>
    <w:rsid w:val="00DA254C"/>
    <w:rsid w:val="00DA2563"/>
    <w:rsid w:val="00DA2A92"/>
    <w:rsid w:val="00DA2ADF"/>
    <w:rsid w:val="00DA2BE8"/>
    <w:rsid w:val="00DA3092"/>
    <w:rsid w:val="00DA4087"/>
    <w:rsid w:val="00DA470D"/>
    <w:rsid w:val="00DA4F3D"/>
    <w:rsid w:val="00DA613E"/>
    <w:rsid w:val="00DA69B6"/>
    <w:rsid w:val="00DA6F65"/>
    <w:rsid w:val="00DA7520"/>
    <w:rsid w:val="00DA7B92"/>
    <w:rsid w:val="00DB0BAA"/>
    <w:rsid w:val="00DB0F6E"/>
    <w:rsid w:val="00DB12F4"/>
    <w:rsid w:val="00DB1C12"/>
    <w:rsid w:val="00DB2117"/>
    <w:rsid w:val="00DB2DF1"/>
    <w:rsid w:val="00DB36EE"/>
    <w:rsid w:val="00DB37E4"/>
    <w:rsid w:val="00DB3826"/>
    <w:rsid w:val="00DB3E7C"/>
    <w:rsid w:val="00DB41FC"/>
    <w:rsid w:val="00DB502F"/>
    <w:rsid w:val="00DB7239"/>
    <w:rsid w:val="00DB751A"/>
    <w:rsid w:val="00DB7D6E"/>
    <w:rsid w:val="00DC0048"/>
    <w:rsid w:val="00DC00C4"/>
    <w:rsid w:val="00DC2656"/>
    <w:rsid w:val="00DC49BE"/>
    <w:rsid w:val="00DC502D"/>
    <w:rsid w:val="00DC5129"/>
    <w:rsid w:val="00DC5343"/>
    <w:rsid w:val="00DC5792"/>
    <w:rsid w:val="00DC5C04"/>
    <w:rsid w:val="00DC6115"/>
    <w:rsid w:val="00DC6D20"/>
    <w:rsid w:val="00DC71F0"/>
    <w:rsid w:val="00DC7A39"/>
    <w:rsid w:val="00DD2164"/>
    <w:rsid w:val="00DD2B78"/>
    <w:rsid w:val="00DD3C5B"/>
    <w:rsid w:val="00DD4130"/>
    <w:rsid w:val="00DD4139"/>
    <w:rsid w:val="00DD530F"/>
    <w:rsid w:val="00DD5955"/>
    <w:rsid w:val="00DD5C19"/>
    <w:rsid w:val="00DD66CC"/>
    <w:rsid w:val="00DD7432"/>
    <w:rsid w:val="00DD783A"/>
    <w:rsid w:val="00DD79CB"/>
    <w:rsid w:val="00DE0998"/>
    <w:rsid w:val="00DE0D18"/>
    <w:rsid w:val="00DE17D7"/>
    <w:rsid w:val="00DE2FAD"/>
    <w:rsid w:val="00DE3C6B"/>
    <w:rsid w:val="00DE4386"/>
    <w:rsid w:val="00DE4B2F"/>
    <w:rsid w:val="00DE4E92"/>
    <w:rsid w:val="00DE561A"/>
    <w:rsid w:val="00DE59E0"/>
    <w:rsid w:val="00DE6DB0"/>
    <w:rsid w:val="00DF012B"/>
    <w:rsid w:val="00DF526E"/>
    <w:rsid w:val="00DF6A3E"/>
    <w:rsid w:val="00DF6F83"/>
    <w:rsid w:val="00DF7148"/>
    <w:rsid w:val="00E00B86"/>
    <w:rsid w:val="00E00ED5"/>
    <w:rsid w:val="00E00F90"/>
    <w:rsid w:val="00E04C7B"/>
    <w:rsid w:val="00E05943"/>
    <w:rsid w:val="00E05DD4"/>
    <w:rsid w:val="00E0622F"/>
    <w:rsid w:val="00E06A59"/>
    <w:rsid w:val="00E147DA"/>
    <w:rsid w:val="00E151AE"/>
    <w:rsid w:val="00E1662D"/>
    <w:rsid w:val="00E166E3"/>
    <w:rsid w:val="00E17306"/>
    <w:rsid w:val="00E17782"/>
    <w:rsid w:val="00E20010"/>
    <w:rsid w:val="00E20322"/>
    <w:rsid w:val="00E24460"/>
    <w:rsid w:val="00E24889"/>
    <w:rsid w:val="00E24C5D"/>
    <w:rsid w:val="00E25246"/>
    <w:rsid w:val="00E2525D"/>
    <w:rsid w:val="00E2673C"/>
    <w:rsid w:val="00E27352"/>
    <w:rsid w:val="00E3075D"/>
    <w:rsid w:val="00E30A95"/>
    <w:rsid w:val="00E30B42"/>
    <w:rsid w:val="00E32D9B"/>
    <w:rsid w:val="00E33886"/>
    <w:rsid w:val="00E343AB"/>
    <w:rsid w:val="00E35200"/>
    <w:rsid w:val="00E35418"/>
    <w:rsid w:val="00E35DEB"/>
    <w:rsid w:val="00E4004D"/>
    <w:rsid w:val="00E40FCD"/>
    <w:rsid w:val="00E42029"/>
    <w:rsid w:val="00E428B4"/>
    <w:rsid w:val="00E45F53"/>
    <w:rsid w:val="00E4628F"/>
    <w:rsid w:val="00E46627"/>
    <w:rsid w:val="00E476FE"/>
    <w:rsid w:val="00E47EE8"/>
    <w:rsid w:val="00E50B7D"/>
    <w:rsid w:val="00E51F89"/>
    <w:rsid w:val="00E52257"/>
    <w:rsid w:val="00E53782"/>
    <w:rsid w:val="00E539D8"/>
    <w:rsid w:val="00E555E2"/>
    <w:rsid w:val="00E570DD"/>
    <w:rsid w:val="00E57FFB"/>
    <w:rsid w:val="00E60188"/>
    <w:rsid w:val="00E601C5"/>
    <w:rsid w:val="00E61601"/>
    <w:rsid w:val="00E617E8"/>
    <w:rsid w:val="00E626B2"/>
    <w:rsid w:val="00E63282"/>
    <w:rsid w:val="00E6371C"/>
    <w:rsid w:val="00E64F6D"/>
    <w:rsid w:val="00E654B5"/>
    <w:rsid w:val="00E65CA9"/>
    <w:rsid w:val="00E666A6"/>
    <w:rsid w:val="00E71A0A"/>
    <w:rsid w:val="00E735A7"/>
    <w:rsid w:val="00E7438E"/>
    <w:rsid w:val="00E74D73"/>
    <w:rsid w:val="00E75BBC"/>
    <w:rsid w:val="00E76119"/>
    <w:rsid w:val="00E778AC"/>
    <w:rsid w:val="00E8008B"/>
    <w:rsid w:val="00E813B5"/>
    <w:rsid w:val="00E81B8F"/>
    <w:rsid w:val="00E82157"/>
    <w:rsid w:val="00E82F59"/>
    <w:rsid w:val="00E8379B"/>
    <w:rsid w:val="00E8411B"/>
    <w:rsid w:val="00E86AF3"/>
    <w:rsid w:val="00E8788E"/>
    <w:rsid w:val="00E921C1"/>
    <w:rsid w:val="00E92ADA"/>
    <w:rsid w:val="00E9677A"/>
    <w:rsid w:val="00E968CD"/>
    <w:rsid w:val="00E97974"/>
    <w:rsid w:val="00E97C6C"/>
    <w:rsid w:val="00E97F1A"/>
    <w:rsid w:val="00E97F7A"/>
    <w:rsid w:val="00E97FAB"/>
    <w:rsid w:val="00EA0948"/>
    <w:rsid w:val="00EA1E8E"/>
    <w:rsid w:val="00EA22CC"/>
    <w:rsid w:val="00EA41EC"/>
    <w:rsid w:val="00EA4398"/>
    <w:rsid w:val="00EA4D14"/>
    <w:rsid w:val="00EA57A9"/>
    <w:rsid w:val="00EA57BC"/>
    <w:rsid w:val="00EA5E75"/>
    <w:rsid w:val="00EA72E8"/>
    <w:rsid w:val="00EB0C0A"/>
    <w:rsid w:val="00EB13D1"/>
    <w:rsid w:val="00EB17CD"/>
    <w:rsid w:val="00EB1BB4"/>
    <w:rsid w:val="00EB1BE5"/>
    <w:rsid w:val="00EB1D26"/>
    <w:rsid w:val="00EB20C2"/>
    <w:rsid w:val="00EB2D5A"/>
    <w:rsid w:val="00EB3E2A"/>
    <w:rsid w:val="00EB4F71"/>
    <w:rsid w:val="00EB5893"/>
    <w:rsid w:val="00EB5A35"/>
    <w:rsid w:val="00EB5C11"/>
    <w:rsid w:val="00EC032D"/>
    <w:rsid w:val="00EC0815"/>
    <w:rsid w:val="00EC1532"/>
    <w:rsid w:val="00EC36F0"/>
    <w:rsid w:val="00EC457E"/>
    <w:rsid w:val="00EC4F76"/>
    <w:rsid w:val="00EC5349"/>
    <w:rsid w:val="00EC5DF7"/>
    <w:rsid w:val="00EC6319"/>
    <w:rsid w:val="00EC6AC3"/>
    <w:rsid w:val="00EC6CBD"/>
    <w:rsid w:val="00ED111B"/>
    <w:rsid w:val="00ED18A8"/>
    <w:rsid w:val="00ED3F86"/>
    <w:rsid w:val="00ED42EA"/>
    <w:rsid w:val="00ED496D"/>
    <w:rsid w:val="00ED504C"/>
    <w:rsid w:val="00ED5C8B"/>
    <w:rsid w:val="00ED62F7"/>
    <w:rsid w:val="00ED6CBD"/>
    <w:rsid w:val="00ED6E47"/>
    <w:rsid w:val="00ED71CF"/>
    <w:rsid w:val="00ED741D"/>
    <w:rsid w:val="00ED7A35"/>
    <w:rsid w:val="00EE2E76"/>
    <w:rsid w:val="00EE3492"/>
    <w:rsid w:val="00EE35C9"/>
    <w:rsid w:val="00EE37B5"/>
    <w:rsid w:val="00EE4079"/>
    <w:rsid w:val="00EF0A21"/>
    <w:rsid w:val="00EF1499"/>
    <w:rsid w:val="00EF1B6F"/>
    <w:rsid w:val="00EF208A"/>
    <w:rsid w:val="00EF21B4"/>
    <w:rsid w:val="00EF415E"/>
    <w:rsid w:val="00EF544C"/>
    <w:rsid w:val="00EF779A"/>
    <w:rsid w:val="00EF7F13"/>
    <w:rsid w:val="00F00095"/>
    <w:rsid w:val="00F015D1"/>
    <w:rsid w:val="00F025D4"/>
    <w:rsid w:val="00F02DC0"/>
    <w:rsid w:val="00F05371"/>
    <w:rsid w:val="00F05F07"/>
    <w:rsid w:val="00F11F94"/>
    <w:rsid w:val="00F12A5B"/>
    <w:rsid w:val="00F12B80"/>
    <w:rsid w:val="00F13BFE"/>
    <w:rsid w:val="00F14714"/>
    <w:rsid w:val="00F149DD"/>
    <w:rsid w:val="00F14F84"/>
    <w:rsid w:val="00F154E3"/>
    <w:rsid w:val="00F17842"/>
    <w:rsid w:val="00F1790A"/>
    <w:rsid w:val="00F20757"/>
    <w:rsid w:val="00F2114B"/>
    <w:rsid w:val="00F224C9"/>
    <w:rsid w:val="00F228BF"/>
    <w:rsid w:val="00F22B3C"/>
    <w:rsid w:val="00F24547"/>
    <w:rsid w:val="00F247FD"/>
    <w:rsid w:val="00F25904"/>
    <w:rsid w:val="00F25F41"/>
    <w:rsid w:val="00F26029"/>
    <w:rsid w:val="00F271D3"/>
    <w:rsid w:val="00F309CD"/>
    <w:rsid w:val="00F32A0E"/>
    <w:rsid w:val="00F32CD5"/>
    <w:rsid w:val="00F32DFD"/>
    <w:rsid w:val="00F3480D"/>
    <w:rsid w:val="00F351D9"/>
    <w:rsid w:val="00F37111"/>
    <w:rsid w:val="00F40A06"/>
    <w:rsid w:val="00F40C60"/>
    <w:rsid w:val="00F41032"/>
    <w:rsid w:val="00F4152F"/>
    <w:rsid w:val="00F41705"/>
    <w:rsid w:val="00F41C1B"/>
    <w:rsid w:val="00F41FAA"/>
    <w:rsid w:val="00F422D0"/>
    <w:rsid w:val="00F42942"/>
    <w:rsid w:val="00F43965"/>
    <w:rsid w:val="00F43ACB"/>
    <w:rsid w:val="00F4426A"/>
    <w:rsid w:val="00F44318"/>
    <w:rsid w:val="00F44818"/>
    <w:rsid w:val="00F44D2F"/>
    <w:rsid w:val="00F459F7"/>
    <w:rsid w:val="00F45D55"/>
    <w:rsid w:val="00F46220"/>
    <w:rsid w:val="00F47171"/>
    <w:rsid w:val="00F47657"/>
    <w:rsid w:val="00F4767C"/>
    <w:rsid w:val="00F501D6"/>
    <w:rsid w:val="00F5092B"/>
    <w:rsid w:val="00F532FD"/>
    <w:rsid w:val="00F53868"/>
    <w:rsid w:val="00F56995"/>
    <w:rsid w:val="00F57186"/>
    <w:rsid w:val="00F60A38"/>
    <w:rsid w:val="00F61575"/>
    <w:rsid w:val="00F61E40"/>
    <w:rsid w:val="00F61EF5"/>
    <w:rsid w:val="00F62AB6"/>
    <w:rsid w:val="00F6428A"/>
    <w:rsid w:val="00F650F2"/>
    <w:rsid w:val="00F65162"/>
    <w:rsid w:val="00F65401"/>
    <w:rsid w:val="00F66175"/>
    <w:rsid w:val="00F66633"/>
    <w:rsid w:val="00F66BC2"/>
    <w:rsid w:val="00F66E4A"/>
    <w:rsid w:val="00F67DA0"/>
    <w:rsid w:val="00F67E76"/>
    <w:rsid w:val="00F7020D"/>
    <w:rsid w:val="00F7038F"/>
    <w:rsid w:val="00F7116E"/>
    <w:rsid w:val="00F71CD3"/>
    <w:rsid w:val="00F729EF"/>
    <w:rsid w:val="00F73449"/>
    <w:rsid w:val="00F734D1"/>
    <w:rsid w:val="00F73BF8"/>
    <w:rsid w:val="00F7428D"/>
    <w:rsid w:val="00F7527E"/>
    <w:rsid w:val="00F76E59"/>
    <w:rsid w:val="00F76F04"/>
    <w:rsid w:val="00F8173C"/>
    <w:rsid w:val="00F81995"/>
    <w:rsid w:val="00F81DF6"/>
    <w:rsid w:val="00F82639"/>
    <w:rsid w:val="00F82B15"/>
    <w:rsid w:val="00F834DA"/>
    <w:rsid w:val="00F83854"/>
    <w:rsid w:val="00F84C93"/>
    <w:rsid w:val="00F8661D"/>
    <w:rsid w:val="00F90C9B"/>
    <w:rsid w:val="00F91A52"/>
    <w:rsid w:val="00F9232E"/>
    <w:rsid w:val="00F92345"/>
    <w:rsid w:val="00F9441E"/>
    <w:rsid w:val="00F95066"/>
    <w:rsid w:val="00F9522F"/>
    <w:rsid w:val="00F952F9"/>
    <w:rsid w:val="00F95ADD"/>
    <w:rsid w:val="00F974FD"/>
    <w:rsid w:val="00FA1319"/>
    <w:rsid w:val="00FA1E22"/>
    <w:rsid w:val="00FA2219"/>
    <w:rsid w:val="00FA2506"/>
    <w:rsid w:val="00FA31A5"/>
    <w:rsid w:val="00FA3315"/>
    <w:rsid w:val="00FA578D"/>
    <w:rsid w:val="00FA6773"/>
    <w:rsid w:val="00FA68C0"/>
    <w:rsid w:val="00FA7219"/>
    <w:rsid w:val="00FA7462"/>
    <w:rsid w:val="00FB07C1"/>
    <w:rsid w:val="00FB19D1"/>
    <w:rsid w:val="00FB2680"/>
    <w:rsid w:val="00FB2E46"/>
    <w:rsid w:val="00FB59FD"/>
    <w:rsid w:val="00FB5F25"/>
    <w:rsid w:val="00FB62B0"/>
    <w:rsid w:val="00FB6AC9"/>
    <w:rsid w:val="00FB707E"/>
    <w:rsid w:val="00FC0116"/>
    <w:rsid w:val="00FC2305"/>
    <w:rsid w:val="00FC2507"/>
    <w:rsid w:val="00FC3074"/>
    <w:rsid w:val="00FC3184"/>
    <w:rsid w:val="00FC3426"/>
    <w:rsid w:val="00FC3731"/>
    <w:rsid w:val="00FC487E"/>
    <w:rsid w:val="00FC497D"/>
    <w:rsid w:val="00FC497E"/>
    <w:rsid w:val="00FC5289"/>
    <w:rsid w:val="00FC55FA"/>
    <w:rsid w:val="00FC660E"/>
    <w:rsid w:val="00FD01C0"/>
    <w:rsid w:val="00FD0265"/>
    <w:rsid w:val="00FD1279"/>
    <w:rsid w:val="00FD344E"/>
    <w:rsid w:val="00FD45EA"/>
    <w:rsid w:val="00FD47A2"/>
    <w:rsid w:val="00FE0966"/>
    <w:rsid w:val="00FE0AA7"/>
    <w:rsid w:val="00FE0F2B"/>
    <w:rsid w:val="00FE11D0"/>
    <w:rsid w:val="00FE2755"/>
    <w:rsid w:val="00FE3047"/>
    <w:rsid w:val="00FE4A3E"/>
    <w:rsid w:val="00FE5199"/>
    <w:rsid w:val="00FE576E"/>
    <w:rsid w:val="00FE5A43"/>
    <w:rsid w:val="00FE6AC1"/>
    <w:rsid w:val="00FE7E8B"/>
    <w:rsid w:val="00FF0E14"/>
    <w:rsid w:val="00FF1A65"/>
    <w:rsid w:val="00FF1C85"/>
    <w:rsid w:val="00FF2E2C"/>
    <w:rsid w:val="00FF2FBD"/>
    <w:rsid w:val="00FF47CF"/>
    <w:rsid w:val="00FF5AEB"/>
    <w:rsid w:val="00FF6C1B"/>
    <w:rsid w:val="00FF70B4"/>
    <w:rsid w:val="00FF775E"/>
    <w:rsid w:val="00FF7F7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9B9BE2B"/>
  <w15:docId w15:val="{4F708B46-BF1E-4946-8C9B-13364D99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k-SK" w:eastAsia="sk-SK"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semiHidden="1" w:uiPriority="9" w:unhideWhenUsed="1" w:qFormat="1"/>
    <w:lsdException w:name="heading 4" w:locked="1" w:semiHidden="1" w:uiPriority="0"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iPriority="0" w:unhideWhenUsed="1"/>
    <w:lsdException w:name="footnote text" w:semiHidden="1" w:unhideWhenUsed="1"/>
    <w:lsdException w:name="annotation text" w:semiHidden="1" w:uiPriority="0" w:unhideWhenUsed="1"/>
    <w:lsdException w:name="header" w:locked="1" w:semiHidden="1" w:uiPriority="0" w:unhideWhenUsed="1"/>
    <w:lsdException w:name="footer" w:locked="1" w:semiHidden="1"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locked="1"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locked="1"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qFormat="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semiHidden="1" w:uiPriority="0" w:unhideWhenUsed="1"/>
    <w:lsdException w:name="Body Text 3" w:semiHidden="1" w:uiPriority="0" w:unhideWhenUsed="1"/>
    <w:lsdException w:name="Body Text Indent 2" w:semiHidden="1" w:uiPriority="0" w:unhideWhenUsed="1"/>
    <w:lsdException w:name="Body Text Indent 3" w:locked="1" w:semiHidden="1" w:uiPriority="0" w:unhideWhenUsed="1"/>
    <w:lsdException w:name="Block Text" w:semiHidden="1" w:unhideWhenUsed="1"/>
    <w:lsdException w:name="Hyperlink" w:semiHidden="1" w:unhideWhenUsed="1"/>
    <w:lsdException w:name="FollowedHyperlink" w:locked="1" w:semiHidden="1" w:uiPriority="0"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iPriority="0" w:unhideWhenUsed="1"/>
    <w:lsdException w:name="Table Grid" w:locked="1"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DC00C4"/>
    <w:pPr>
      <w:widowControl w:val="0"/>
    </w:pPr>
    <w:rPr>
      <w:rFonts w:ascii="Times New Roman" w:eastAsia="Times New Roman" w:hAnsi="Times New Roman"/>
    </w:rPr>
  </w:style>
  <w:style w:type="paragraph" w:styleId="Nadpis1">
    <w:name w:val="heading 1"/>
    <w:aliases w:val="Nadpis,Chapter,Hlavný,j,jelaHeading 1,Hoofdstuk,Kapitola,Názov kapitoly,Überschrift 1-enns,Chapter Head,tib,KK NADPIS 1"/>
    <w:basedOn w:val="Normlny"/>
    <w:next w:val="Normlny"/>
    <w:link w:val="Nadpis1Char"/>
    <w:uiPriority w:val="9"/>
    <w:qFormat/>
    <w:rsid w:val="006D764F"/>
    <w:pPr>
      <w:keepNext/>
      <w:widowControl/>
      <w:numPr>
        <w:numId w:val="1"/>
      </w:numPr>
      <w:shd w:val="clear" w:color="auto" w:fill="B3B3B3"/>
      <w:spacing w:before="240" w:after="60"/>
      <w:jc w:val="both"/>
      <w:outlineLvl w:val="0"/>
    </w:pPr>
    <w:rPr>
      <w:rFonts w:ascii="Arial" w:hAnsi="Arial"/>
      <w:b/>
      <w:bCs/>
      <w:kern w:val="32"/>
      <w:sz w:val="32"/>
      <w:szCs w:val="32"/>
      <w:lang w:val="cs-CZ" w:eastAsia="en-US"/>
    </w:rPr>
  </w:style>
  <w:style w:type="paragraph" w:styleId="Nadpis2">
    <w:name w:val="heading 2"/>
    <w:aliases w:val="Podnadpis,jelaHeading 2,Nadpis 2 Char,Podkapitola,Názov podkapitoly,2,Nadpis-2,GFI Nadpis 2,KK NADPIS 2,Major,Reset numbering"/>
    <w:basedOn w:val="Normlny"/>
    <w:next w:val="Normlny"/>
    <w:link w:val="Nadpis2Char1"/>
    <w:autoRedefine/>
    <w:uiPriority w:val="9"/>
    <w:qFormat/>
    <w:rsid w:val="008C6F96"/>
    <w:pPr>
      <w:keepNext/>
      <w:widowControl/>
      <w:numPr>
        <w:ilvl w:val="1"/>
        <w:numId w:val="1"/>
      </w:numPr>
      <w:tabs>
        <w:tab w:val="clear" w:pos="2845"/>
      </w:tabs>
      <w:spacing w:before="120"/>
      <w:ind w:left="1134" w:hanging="1134"/>
      <w:jc w:val="both"/>
      <w:outlineLvl w:val="1"/>
    </w:pPr>
    <w:rPr>
      <w:rFonts w:ascii="Arial" w:hAnsi="Arial"/>
      <w:b/>
      <w:bCs/>
      <w:iCs/>
      <w:sz w:val="28"/>
      <w:szCs w:val="28"/>
      <w:lang w:eastAsia="en-US"/>
    </w:rPr>
  </w:style>
  <w:style w:type="paragraph" w:styleId="Nadpis3">
    <w:name w:val="heading 3"/>
    <w:aliases w:val="Podkapitola2,Kurzíva,jelaHeading 3,Subparagraaf,GFI Nadpis 3,Überschrift 3-enns,B Head"/>
    <w:basedOn w:val="Nadpis2"/>
    <w:next w:val="Normlny"/>
    <w:link w:val="Nadpis3Char"/>
    <w:uiPriority w:val="9"/>
    <w:qFormat/>
    <w:rsid w:val="003F0322"/>
    <w:pPr>
      <w:numPr>
        <w:ilvl w:val="0"/>
        <w:numId w:val="0"/>
      </w:numPr>
      <w:tabs>
        <w:tab w:val="left" w:pos="170"/>
        <w:tab w:val="left" w:pos="426"/>
      </w:tabs>
      <w:spacing w:before="0" w:after="240"/>
      <w:ind w:left="1995" w:hanging="720"/>
      <w:outlineLvl w:val="2"/>
    </w:pPr>
    <w:rPr>
      <w:rFonts w:eastAsia="MS Mincho"/>
      <w:bCs w:val="0"/>
      <w:caps/>
      <w:sz w:val="20"/>
      <w:szCs w:val="20"/>
      <w:lang w:eastAsia="cs-CZ"/>
    </w:rPr>
  </w:style>
  <w:style w:type="paragraph" w:styleId="Nadpis4">
    <w:name w:val="heading 4"/>
    <w:aliases w:val="jelaHeading 4,Level 2 - a"/>
    <w:basedOn w:val="Normlny"/>
    <w:next w:val="Normlny"/>
    <w:link w:val="Nadpis4Char"/>
    <w:qFormat/>
    <w:rsid w:val="00DC00C4"/>
    <w:pPr>
      <w:keepNext/>
      <w:keepLines/>
      <w:widowControl/>
      <w:spacing w:before="40"/>
      <w:jc w:val="both"/>
      <w:outlineLvl w:val="3"/>
    </w:pPr>
    <w:rPr>
      <w:rFonts w:ascii="Calibri Light" w:hAnsi="Calibri Light"/>
      <w:i/>
      <w:iCs/>
      <w:color w:val="2E74B5"/>
      <w:szCs w:val="24"/>
      <w:lang w:eastAsia="en-US"/>
    </w:rPr>
  </w:style>
  <w:style w:type="paragraph" w:styleId="Nadpis5">
    <w:name w:val="heading 5"/>
    <w:aliases w:val="podčiarknuté,Level 3 - i"/>
    <w:basedOn w:val="Normlny"/>
    <w:next w:val="Normlny"/>
    <w:link w:val="Nadpis5Char"/>
    <w:uiPriority w:val="9"/>
    <w:qFormat/>
    <w:rsid w:val="00DC00C4"/>
    <w:pPr>
      <w:keepNext/>
      <w:keepLines/>
      <w:widowControl/>
      <w:spacing w:before="40"/>
      <w:jc w:val="both"/>
      <w:outlineLvl w:val="4"/>
    </w:pPr>
    <w:rPr>
      <w:rFonts w:ascii="Calibri Light" w:hAnsi="Calibri Light"/>
      <w:color w:val="2E74B5"/>
      <w:szCs w:val="24"/>
      <w:lang w:eastAsia="en-US"/>
    </w:rPr>
  </w:style>
  <w:style w:type="paragraph" w:styleId="Nadpis6">
    <w:name w:val="heading 6"/>
    <w:aliases w:val="Legal Level 1."/>
    <w:basedOn w:val="Normlny"/>
    <w:next w:val="Normlny"/>
    <w:link w:val="Nadpis6Char"/>
    <w:uiPriority w:val="9"/>
    <w:qFormat/>
    <w:rsid w:val="006D764F"/>
    <w:pPr>
      <w:widowControl/>
      <w:numPr>
        <w:ilvl w:val="5"/>
        <w:numId w:val="1"/>
      </w:numPr>
      <w:tabs>
        <w:tab w:val="clear" w:pos="1152"/>
      </w:tabs>
      <w:jc w:val="both"/>
      <w:outlineLvl w:val="5"/>
    </w:pPr>
    <w:rPr>
      <w:rFonts w:ascii="Arial Narrow" w:hAnsi="Arial Narrow"/>
      <w:bCs/>
      <w:lang w:val="cs-CZ" w:eastAsia="en-US"/>
    </w:rPr>
  </w:style>
  <w:style w:type="paragraph" w:styleId="Nadpis7">
    <w:name w:val="heading 7"/>
    <w:aliases w:val="Nadpis 7 Char,Legal Level 1.1."/>
    <w:basedOn w:val="Normlny"/>
    <w:next w:val="Normlny"/>
    <w:link w:val="Nadpis7Char1"/>
    <w:uiPriority w:val="9"/>
    <w:qFormat/>
    <w:rsid w:val="006D764F"/>
    <w:pPr>
      <w:keepNext/>
      <w:widowControl/>
      <w:numPr>
        <w:ilvl w:val="6"/>
        <w:numId w:val="1"/>
      </w:numPr>
      <w:tabs>
        <w:tab w:val="clear" w:pos="1296"/>
      </w:tabs>
      <w:spacing w:before="120"/>
      <w:jc w:val="both"/>
      <w:outlineLvl w:val="6"/>
    </w:pPr>
    <w:rPr>
      <w:rFonts w:ascii="Arial Narrow" w:hAnsi="Arial Narrow"/>
      <w:b/>
      <w:szCs w:val="24"/>
      <w:lang w:val="cs-CZ" w:eastAsia="en-US"/>
    </w:rPr>
  </w:style>
  <w:style w:type="paragraph" w:styleId="Nadpis8">
    <w:name w:val="heading 8"/>
    <w:aliases w:val="Legal Level 1.1.1."/>
    <w:basedOn w:val="Normlny"/>
    <w:next w:val="Normlny"/>
    <w:link w:val="Nadpis8Char"/>
    <w:uiPriority w:val="9"/>
    <w:qFormat/>
    <w:rsid w:val="006D764F"/>
    <w:pPr>
      <w:keepNext/>
      <w:widowControl/>
      <w:numPr>
        <w:ilvl w:val="7"/>
        <w:numId w:val="1"/>
      </w:numPr>
      <w:tabs>
        <w:tab w:val="clear" w:pos="1440"/>
      </w:tabs>
      <w:spacing w:before="120"/>
      <w:jc w:val="both"/>
      <w:outlineLvl w:val="7"/>
    </w:pPr>
    <w:rPr>
      <w:rFonts w:ascii="Arial Narrow" w:hAnsi="Arial Narrow"/>
      <w:b/>
      <w:i/>
      <w:iCs/>
      <w:szCs w:val="24"/>
      <w:lang w:val="cs-CZ" w:eastAsia="en-US"/>
    </w:rPr>
  </w:style>
  <w:style w:type="paragraph" w:styleId="Nadpis9">
    <w:name w:val="heading 9"/>
    <w:aliases w:val="SMLOUVY,Položka,Legal Level 1.1.1.1."/>
    <w:basedOn w:val="Normlny"/>
    <w:next w:val="Normlny"/>
    <w:link w:val="Nadpis9Char"/>
    <w:uiPriority w:val="9"/>
    <w:qFormat/>
    <w:rsid w:val="006D764F"/>
    <w:pPr>
      <w:widowControl/>
      <w:numPr>
        <w:ilvl w:val="8"/>
        <w:numId w:val="1"/>
      </w:numPr>
      <w:tabs>
        <w:tab w:val="clear" w:pos="1584"/>
      </w:tabs>
      <w:spacing w:before="240" w:after="60"/>
      <w:jc w:val="both"/>
      <w:outlineLvl w:val="8"/>
    </w:pPr>
    <w:rPr>
      <w:rFonts w:ascii="Arial" w:hAnsi="Arial"/>
      <w:sz w:val="22"/>
      <w:szCs w:val="22"/>
      <w:lang w:val="cs-CZ"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aliases w:val="Nadpis Char,Chapter Char,Hlavný Char,j Char,jelaHeading 1 Char,Hoofdstuk Char,Kapitola Char,Názov kapitoly Char,Überschrift 1-enns Char,Chapter Head Char,tib Char,KK NADPIS 1 Char"/>
    <w:link w:val="Nadpis1"/>
    <w:uiPriority w:val="9"/>
    <w:locked/>
    <w:rsid w:val="006D764F"/>
    <w:rPr>
      <w:rFonts w:ascii="Arial" w:eastAsia="Times New Roman" w:hAnsi="Arial"/>
      <w:b/>
      <w:bCs/>
      <w:kern w:val="32"/>
      <w:sz w:val="32"/>
      <w:szCs w:val="32"/>
      <w:shd w:val="clear" w:color="auto" w:fill="B3B3B3"/>
      <w:lang w:val="cs-CZ" w:eastAsia="en-US"/>
    </w:rPr>
  </w:style>
  <w:style w:type="character" w:customStyle="1" w:styleId="Heading2Char">
    <w:name w:val="Heading 2 Char"/>
    <w:aliases w:val="Podnadpis Char,jelaHeading 2 Char,Nadpis 2 Char Char,Podkapitola Char,Názov podkapitoly Char,2 Char,Nadpis-2 Char,GFI Nadpis 2 Char,KK NADPIS 2 Char,Major Char,Reset numbering Char"/>
    <w:rsid w:val="003F0322"/>
    <w:rPr>
      <w:rFonts w:ascii="Arial" w:eastAsia="MS Mincho" w:hAnsi="Arial" w:cs="Times New Roman"/>
      <w:b/>
      <w:iCs/>
      <w:caps/>
      <w:sz w:val="20"/>
      <w:szCs w:val="20"/>
      <w:lang w:eastAsia="cs-CZ"/>
    </w:rPr>
  </w:style>
  <w:style w:type="character" w:customStyle="1" w:styleId="Nadpis3Char">
    <w:name w:val="Nadpis 3 Char"/>
    <w:aliases w:val="Podkapitola2 Char,Kurzíva Char,jelaHeading 3 Char,Subparagraaf Char,GFI Nadpis 3 Char,Überschrift 3-enns Char,B Head Char"/>
    <w:link w:val="Nadpis3"/>
    <w:locked/>
    <w:rsid w:val="003F0322"/>
    <w:rPr>
      <w:rFonts w:ascii="Arial" w:eastAsia="MS Mincho" w:hAnsi="Arial" w:cs="Times New Roman"/>
      <w:b/>
      <w:iCs/>
      <w:caps/>
      <w:sz w:val="20"/>
      <w:szCs w:val="20"/>
      <w:lang w:eastAsia="cs-CZ"/>
    </w:rPr>
  </w:style>
  <w:style w:type="character" w:customStyle="1" w:styleId="Nadpis4Char">
    <w:name w:val="Nadpis 4 Char"/>
    <w:aliases w:val="jelaHeading 4 Char,Level 2 - a Char"/>
    <w:link w:val="Nadpis4"/>
    <w:locked/>
    <w:rsid w:val="00DC00C4"/>
    <w:rPr>
      <w:rFonts w:ascii="Calibri Light" w:hAnsi="Calibri Light" w:cs="Times New Roman"/>
      <w:i/>
      <w:iCs/>
      <w:color w:val="2E74B5"/>
      <w:sz w:val="24"/>
      <w:szCs w:val="24"/>
    </w:rPr>
  </w:style>
  <w:style w:type="character" w:customStyle="1" w:styleId="Nadpis5Char">
    <w:name w:val="Nadpis 5 Char"/>
    <w:aliases w:val="podčiarknuté Char,Level 3 - i Char"/>
    <w:link w:val="Nadpis5"/>
    <w:locked/>
    <w:rsid w:val="00DC00C4"/>
    <w:rPr>
      <w:rFonts w:ascii="Calibri Light" w:hAnsi="Calibri Light" w:cs="Times New Roman"/>
      <w:color w:val="2E74B5"/>
      <w:sz w:val="24"/>
      <w:szCs w:val="24"/>
    </w:rPr>
  </w:style>
  <w:style w:type="character" w:customStyle="1" w:styleId="Nadpis6Char">
    <w:name w:val="Nadpis 6 Char"/>
    <w:aliases w:val="Legal Level 1. Char"/>
    <w:link w:val="Nadpis6"/>
    <w:uiPriority w:val="9"/>
    <w:locked/>
    <w:rsid w:val="006D764F"/>
    <w:rPr>
      <w:rFonts w:ascii="Arial Narrow" w:eastAsia="Times New Roman" w:hAnsi="Arial Narrow"/>
      <w:bCs/>
      <w:lang w:val="cs-CZ" w:eastAsia="en-US"/>
    </w:rPr>
  </w:style>
  <w:style w:type="character" w:customStyle="1" w:styleId="Nadpis7Char1">
    <w:name w:val="Nadpis 7 Char1"/>
    <w:aliases w:val="Nadpis 7 Char Char,Legal Level 1.1. Char1"/>
    <w:link w:val="Nadpis7"/>
    <w:uiPriority w:val="9"/>
    <w:locked/>
    <w:rsid w:val="006D764F"/>
    <w:rPr>
      <w:rFonts w:ascii="Arial Narrow" w:eastAsia="Times New Roman" w:hAnsi="Arial Narrow"/>
      <w:b/>
      <w:szCs w:val="24"/>
      <w:lang w:val="cs-CZ" w:eastAsia="en-US"/>
    </w:rPr>
  </w:style>
  <w:style w:type="character" w:customStyle="1" w:styleId="Nadpis8Char">
    <w:name w:val="Nadpis 8 Char"/>
    <w:aliases w:val="Legal Level 1.1.1. Char"/>
    <w:link w:val="Nadpis8"/>
    <w:uiPriority w:val="9"/>
    <w:locked/>
    <w:rsid w:val="006D764F"/>
    <w:rPr>
      <w:rFonts w:ascii="Arial Narrow" w:eastAsia="Times New Roman" w:hAnsi="Arial Narrow"/>
      <w:b/>
      <w:i/>
      <w:iCs/>
      <w:szCs w:val="24"/>
      <w:lang w:val="cs-CZ" w:eastAsia="en-US"/>
    </w:rPr>
  </w:style>
  <w:style w:type="character" w:customStyle="1" w:styleId="Nadpis9Char">
    <w:name w:val="Nadpis 9 Char"/>
    <w:aliases w:val="SMLOUVY Char,Položka Char,Legal Level 1.1.1.1. Char"/>
    <w:link w:val="Nadpis9"/>
    <w:uiPriority w:val="9"/>
    <w:locked/>
    <w:rsid w:val="006D764F"/>
    <w:rPr>
      <w:rFonts w:ascii="Arial" w:eastAsia="Times New Roman" w:hAnsi="Arial"/>
      <w:sz w:val="22"/>
      <w:szCs w:val="22"/>
      <w:lang w:val="cs-CZ" w:eastAsia="cs-CZ"/>
    </w:rPr>
  </w:style>
  <w:style w:type="character" w:customStyle="1" w:styleId="Nadpis2Char1">
    <w:name w:val="Nadpis 2 Char1"/>
    <w:aliases w:val="Podnadpis Char1,jelaHeading 2 Char1,Nadpis 2 Char Char1,Podkapitola Char1,Názov podkapitoly Char1,2 Char1,Nadpis-2 Char1,GFI Nadpis 2 Char1,KK NADPIS 2 Char1,Major Char1,Reset numbering Char1"/>
    <w:link w:val="Nadpis2"/>
    <w:uiPriority w:val="9"/>
    <w:locked/>
    <w:rsid w:val="008C6F96"/>
    <w:rPr>
      <w:rFonts w:ascii="Arial" w:eastAsia="Times New Roman" w:hAnsi="Arial"/>
      <w:b/>
      <w:bCs/>
      <w:iCs/>
      <w:sz w:val="28"/>
      <w:szCs w:val="28"/>
      <w:lang w:eastAsia="en-US"/>
    </w:rPr>
  </w:style>
  <w:style w:type="paragraph" w:styleId="Hlavika">
    <w:name w:val="header"/>
    <w:aliases w:val="Char,1. Zeile,   1. Zeile"/>
    <w:basedOn w:val="Normlny"/>
    <w:link w:val="HlavikaChar"/>
    <w:rsid w:val="006D764F"/>
    <w:pPr>
      <w:widowControl/>
      <w:tabs>
        <w:tab w:val="center" w:pos="4703"/>
        <w:tab w:val="right" w:pos="9406"/>
      </w:tabs>
      <w:jc w:val="both"/>
    </w:pPr>
    <w:rPr>
      <w:rFonts w:ascii="Arial Narrow" w:hAnsi="Arial Narrow"/>
      <w:szCs w:val="24"/>
      <w:lang w:val="cs-CZ" w:eastAsia="en-US"/>
    </w:rPr>
  </w:style>
  <w:style w:type="character" w:customStyle="1" w:styleId="HlavikaChar">
    <w:name w:val="Hlavička Char"/>
    <w:aliases w:val="Char Char1,1. Zeile Char,   1. Zeile Char"/>
    <w:link w:val="Hlavika"/>
    <w:locked/>
    <w:rsid w:val="006D764F"/>
    <w:rPr>
      <w:rFonts w:ascii="Arial Narrow" w:hAnsi="Arial Narrow" w:cs="Times New Roman"/>
      <w:sz w:val="24"/>
      <w:szCs w:val="24"/>
    </w:rPr>
  </w:style>
  <w:style w:type="paragraph" w:styleId="Pta">
    <w:name w:val="footer"/>
    <w:basedOn w:val="Normlny"/>
    <w:link w:val="PtaChar"/>
    <w:uiPriority w:val="99"/>
    <w:rsid w:val="006D764F"/>
    <w:pPr>
      <w:widowControl/>
      <w:tabs>
        <w:tab w:val="center" w:pos="4536"/>
        <w:tab w:val="right" w:pos="9072"/>
      </w:tabs>
      <w:jc w:val="both"/>
    </w:pPr>
    <w:rPr>
      <w:rFonts w:ascii="Arial Narrow" w:hAnsi="Arial Narrow"/>
      <w:szCs w:val="24"/>
      <w:lang w:eastAsia="en-US"/>
    </w:rPr>
  </w:style>
  <w:style w:type="character" w:customStyle="1" w:styleId="PtaChar">
    <w:name w:val="Päta Char"/>
    <w:link w:val="Pta"/>
    <w:uiPriority w:val="99"/>
    <w:locked/>
    <w:rsid w:val="006D764F"/>
    <w:rPr>
      <w:rFonts w:ascii="Arial Narrow" w:hAnsi="Arial Narrow" w:cs="Times New Roman"/>
      <w:sz w:val="24"/>
      <w:szCs w:val="24"/>
    </w:rPr>
  </w:style>
  <w:style w:type="paragraph" w:styleId="Zkladntext">
    <w:name w:val="Body Text"/>
    <w:aliases w:val="b,b Char,Základní text1 Char,b Char Char Char Char,Základní text1 Char Char Char,b Char Char Char,Základný text1,Char Char,Char Char Char, Char Char, Char Char Char,()odstaved,Základný text odstavca"/>
    <w:basedOn w:val="Normlny"/>
    <w:link w:val="ZkladntextChar"/>
    <w:qFormat/>
    <w:rsid w:val="006D764F"/>
    <w:pPr>
      <w:widowControl/>
      <w:autoSpaceDE w:val="0"/>
      <w:autoSpaceDN w:val="0"/>
      <w:jc w:val="both"/>
    </w:pPr>
    <w:rPr>
      <w:rFonts w:ascii="Arial" w:hAnsi="Arial"/>
      <w:b/>
      <w:bCs/>
      <w:sz w:val="28"/>
      <w:szCs w:val="28"/>
      <w:lang w:val="cs-CZ" w:eastAsia="cs-CZ"/>
    </w:rPr>
  </w:style>
  <w:style w:type="character" w:customStyle="1" w:styleId="ZkladntextChar">
    <w:name w:val="Základný text Char"/>
    <w:aliases w:val="b Char1,b Char Char,Základní text1 Char Char,b Char Char Char Char Char,Základní text1 Char Char Char Char,b Char Char Char Char1,Základný text1 Char,Char Char Char1,Char Char Char Char, Char Char Char1, Char Char Char Char"/>
    <w:link w:val="Zkladntext"/>
    <w:locked/>
    <w:rsid w:val="006D764F"/>
    <w:rPr>
      <w:rFonts w:ascii="Arial" w:hAnsi="Arial" w:cs="Times New Roman"/>
      <w:b/>
      <w:bCs/>
      <w:sz w:val="28"/>
      <w:szCs w:val="28"/>
    </w:rPr>
  </w:style>
  <w:style w:type="paragraph" w:customStyle="1" w:styleId="text0">
    <w:name w:val="text"/>
    <w:aliases w:val="Odsek zoznamu1"/>
    <w:basedOn w:val="Normlny"/>
    <w:link w:val="textChar"/>
    <w:qFormat/>
    <w:rsid w:val="006D764F"/>
    <w:pPr>
      <w:spacing w:before="120"/>
      <w:jc w:val="both"/>
    </w:pPr>
    <w:rPr>
      <w:rFonts w:ascii="Arial" w:hAnsi="Arial"/>
      <w:lang w:val="cs-CZ"/>
    </w:rPr>
  </w:style>
  <w:style w:type="character" w:customStyle="1" w:styleId="textChar">
    <w:name w:val="text Char"/>
    <w:link w:val="text0"/>
    <w:locked/>
    <w:rsid w:val="006D764F"/>
    <w:rPr>
      <w:rFonts w:ascii="Arial" w:hAnsi="Arial"/>
      <w:sz w:val="20"/>
      <w:lang w:eastAsia="sk-SK"/>
    </w:rPr>
  </w:style>
  <w:style w:type="paragraph" w:styleId="Zarkazkladnhotextu2">
    <w:name w:val="Body Text Indent 2"/>
    <w:basedOn w:val="Normlny"/>
    <w:link w:val="Zarkazkladnhotextu2Char"/>
    <w:rsid w:val="003F0322"/>
    <w:pPr>
      <w:widowControl/>
      <w:suppressAutoHyphens/>
      <w:ind w:firstLine="720"/>
      <w:jc w:val="both"/>
    </w:pPr>
    <w:rPr>
      <w:sz w:val="24"/>
      <w:lang w:val="cs-CZ" w:eastAsia="zh-CN"/>
    </w:rPr>
  </w:style>
  <w:style w:type="character" w:customStyle="1" w:styleId="Zarkazkladnhotextu2Char">
    <w:name w:val="Zarážka základného textu 2 Char"/>
    <w:link w:val="Zarkazkladnhotextu2"/>
    <w:locked/>
    <w:rsid w:val="006D764F"/>
    <w:rPr>
      <w:rFonts w:ascii="Arial Narrow" w:hAnsi="Arial Narrow" w:cs="Times New Roman"/>
      <w:sz w:val="24"/>
      <w:szCs w:val="24"/>
    </w:rPr>
  </w:style>
  <w:style w:type="paragraph" w:styleId="Zkladntext2">
    <w:name w:val="Body Text 2"/>
    <w:basedOn w:val="Normlny"/>
    <w:link w:val="Zkladntext2Char"/>
    <w:rsid w:val="006D764F"/>
    <w:pPr>
      <w:widowControl/>
      <w:spacing w:after="120" w:line="480" w:lineRule="auto"/>
      <w:jc w:val="both"/>
    </w:pPr>
    <w:rPr>
      <w:rFonts w:ascii="Arial Narrow" w:hAnsi="Arial Narrow"/>
      <w:szCs w:val="24"/>
      <w:lang w:val="cs-CZ" w:eastAsia="en-US"/>
    </w:rPr>
  </w:style>
  <w:style w:type="character" w:customStyle="1" w:styleId="Zkladntext2Char">
    <w:name w:val="Základný text 2 Char"/>
    <w:link w:val="Zkladntext2"/>
    <w:locked/>
    <w:rsid w:val="006D764F"/>
    <w:rPr>
      <w:rFonts w:ascii="Arial Narrow" w:hAnsi="Arial Narrow" w:cs="Times New Roman"/>
      <w:sz w:val="24"/>
      <w:szCs w:val="24"/>
    </w:rPr>
  </w:style>
  <w:style w:type="paragraph" w:customStyle="1" w:styleId="Default">
    <w:name w:val="Default"/>
    <w:rsid w:val="006D764F"/>
    <w:pPr>
      <w:autoSpaceDE w:val="0"/>
      <w:autoSpaceDN w:val="0"/>
      <w:adjustRightInd w:val="0"/>
    </w:pPr>
    <w:rPr>
      <w:rFonts w:ascii="Arial" w:eastAsia="Times New Roman" w:hAnsi="Arial" w:cs="Arial"/>
      <w:color w:val="000000"/>
      <w:sz w:val="24"/>
      <w:szCs w:val="24"/>
      <w:lang w:val="cs-CZ" w:eastAsia="cs-CZ"/>
    </w:rPr>
  </w:style>
  <w:style w:type="paragraph" w:styleId="Bezriadkovania">
    <w:name w:val="No Spacing"/>
    <w:link w:val="BezriadkovaniaChar"/>
    <w:qFormat/>
    <w:rsid w:val="006D764F"/>
    <w:pPr>
      <w:suppressAutoHyphens/>
    </w:pPr>
    <w:rPr>
      <w:rFonts w:cs="Calibri"/>
      <w:sz w:val="22"/>
      <w:szCs w:val="22"/>
      <w:lang w:val="cs-CZ" w:eastAsia="zh-CN"/>
    </w:rPr>
  </w:style>
  <w:style w:type="character" w:customStyle="1" w:styleId="BezriadkovaniaChar">
    <w:name w:val="Bez riadkovania Char"/>
    <w:link w:val="Bezriadkovania"/>
    <w:uiPriority w:val="1"/>
    <w:locked/>
    <w:rsid w:val="006D764F"/>
    <w:rPr>
      <w:rFonts w:ascii="Calibri" w:eastAsia="Times New Roman" w:hAnsi="Calibri"/>
      <w:sz w:val="22"/>
      <w:lang w:eastAsia="zh-CN"/>
    </w:rPr>
  </w:style>
  <w:style w:type="paragraph" w:customStyle="1" w:styleId="WW-Zkladntext3">
    <w:name w:val="WW-Základný text 3"/>
    <w:basedOn w:val="Normlny"/>
    <w:uiPriority w:val="99"/>
    <w:rsid w:val="006D764F"/>
    <w:pPr>
      <w:widowControl/>
      <w:suppressAutoHyphens/>
      <w:spacing w:line="240" w:lineRule="atLeast"/>
      <w:jc w:val="both"/>
    </w:pPr>
    <w:rPr>
      <w:rFonts w:ascii="Arial" w:hAnsi="Arial" w:cs="Arial"/>
      <w:lang w:val="de-DE" w:eastAsia="zh-CN"/>
    </w:rPr>
  </w:style>
  <w:style w:type="paragraph" w:styleId="Zarkazkladnhotextu3">
    <w:name w:val="Body Text Indent 3"/>
    <w:basedOn w:val="Normlny"/>
    <w:link w:val="Zarkazkladnhotextu3Char"/>
    <w:rsid w:val="003F0322"/>
    <w:pPr>
      <w:widowControl/>
      <w:suppressAutoHyphens/>
      <w:ind w:left="284" w:hanging="284"/>
      <w:jc w:val="both"/>
    </w:pPr>
    <w:rPr>
      <w:rFonts w:ascii="Arial" w:hAnsi="Arial" w:cs="Arial"/>
      <w:sz w:val="24"/>
      <w:lang w:eastAsia="zh-CN"/>
    </w:rPr>
  </w:style>
  <w:style w:type="character" w:customStyle="1" w:styleId="Zarkazkladnhotextu3Char">
    <w:name w:val="Zarážka základného textu 3 Char"/>
    <w:link w:val="Zarkazkladnhotextu3"/>
    <w:locked/>
    <w:rsid w:val="006D764F"/>
    <w:rPr>
      <w:rFonts w:ascii="Arial Narrow" w:hAnsi="Arial Narrow" w:cs="Times New Roman"/>
      <w:sz w:val="16"/>
      <w:szCs w:val="16"/>
    </w:rPr>
  </w:style>
  <w:style w:type="paragraph" w:styleId="Zkladntext3">
    <w:name w:val="Body Text 3"/>
    <w:basedOn w:val="Normlny"/>
    <w:link w:val="Zkladntext3Char"/>
    <w:rsid w:val="006D764F"/>
    <w:pPr>
      <w:widowControl/>
      <w:spacing w:after="120"/>
      <w:jc w:val="both"/>
    </w:pPr>
    <w:rPr>
      <w:rFonts w:ascii="Arial Narrow" w:hAnsi="Arial Narrow"/>
      <w:sz w:val="16"/>
      <w:szCs w:val="16"/>
      <w:lang w:val="cs-CZ" w:eastAsia="en-US"/>
    </w:rPr>
  </w:style>
  <w:style w:type="character" w:customStyle="1" w:styleId="Zkladntext3Char">
    <w:name w:val="Základný text 3 Char"/>
    <w:link w:val="Zkladntext3"/>
    <w:locked/>
    <w:rsid w:val="006D764F"/>
    <w:rPr>
      <w:rFonts w:ascii="Arial Narrow" w:hAnsi="Arial Narrow" w:cs="Times New Roman"/>
      <w:sz w:val="16"/>
      <w:szCs w:val="16"/>
    </w:rPr>
  </w:style>
  <w:style w:type="paragraph" w:customStyle="1" w:styleId="Application3">
    <w:name w:val="Application3"/>
    <w:basedOn w:val="Normlny"/>
    <w:autoRedefine/>
    <w:rsid w:val="00A052AC"/>
    <w:pPr>
      <w:widowControl/>
      <w:spacing w:before="120"/>
      <w:jc w:val="both"/>
    </w:pPr>
    <w:rPr>
      <w:rFonts w:ascii="Arial" w:hAnsi="Arial" w:cs="Arial"/>
      <w:bCs/>
      <w:i/>
      <w:sz w:val="22"/>
      <w:szCs w:val="24"/>
      <w:lang w:eastAsia="ar-SA"/>
    </w:rPr>
  </w:style>
  <w:style w:type="paragraph" w:styleId="Zarkazkladnhotextu">
    <w:name w:val="Body Text Indent"/>
    <w:aliases w:val="Tabnazov"/>
    <w:basedOn w:val="Normlny"/>
    <w:link w:val="ZarkazkladnhotextuChar"/>
    <w:rsid w:val="006D764F"/>
    <w:pPr>
      <w:widowControl/>
      <w:spacing w:after="120"/>
      <w:ind w:left="283"/>
      <w:jc w:val="both"/>
    </w:pPr>
    <w:rPr>
      <w:rFonts w:ascii="Arial Narrow" w:hAnsi="Arial Narrow"/>
      <w:szCs w:val="24"/>
      <w:lang w:val="cs-CZ" w:eastAsia="en-US"/>
    </w:rPr>
  </w:style>
  <w:style w:type="character" w:customStyle="1" w:styleId="ZarkazkladnhotextuChar">
    <w:name w:val="Zarážka základného textu Char"/>
    <w:aliases w:val="Tabnazov Char"/>
    <w:link w:val="Zarkazkladnhotextu"/>
    <w:locked/>
    <w:rsid w:val="006D764F"/>
    <w:rPr>
      <w:rFonts w:ascii="Arial Narrow" w:hAnsi="Arial Narrow" w:cs="Times New Roman"/>
      <w:sz w:val="24"/>
      <w:szCs w:val="24"/>
    </w:rPr>
  </w:style>
  <w:style w:type="paragraph" w:customStyle="1" w:styleId="NormalArial">
    <w:name w:val="Normal + Arial"/>
    <w:aliases w:val="11 pt,Justified,Arial,10 pt,Before:  6 pt,Normálny + Arial,Podľa okraja,Riadkovanie:  Násobky 1,15 r."/>
    <w:basedOn w:val="Normlny"/>
    <w:rsid w:val="006D764F"/>
    <w:pPr>
      <w:widowControl/>
      <w:jc w:val="both"/>
    </w:pPr>
    <w:rPr>
      <w:rFonts w:ascii="Arial" w:hAnsi="Arial" w:cs="Arial"/>
      <w:sz w:val="22"/>
      <w:szCs w:val="22"/>
    </w:rPr>
  </w:style>
  <w:style w:type="paragraph" w:customStyle="1" w:styleId="tabu">
    <w:name w:val="tabu"/>
    <w:basedOn w:val="Normlny"/>
    <w:next w:val="Normlny"/>
    <w:rsid w:val="006D764F"/>
    <w:pPr>
      <w:widowControl/>
      <w:spacing w:before="120" w:after="120"/>
      <w:jc w:val="both"/>
    </w:pPr>
    <w:rPr>
      <w:rFonts w:ascii="Arial" w:hAnsi="Arial"/>
      <w:i/>
      <w:lang w:eastAsia="cs-CZ"/>
    </w:rPr>
  </w:style>
  <w:style w:type="paragraph" w:customStyle="1" w:styleId="Text">
    <w:name w:val="Text"/>
    <w:basedOn w:val="Normlny"/>
    <w:link w:val="TextChar0"/>
    <w:qFormat/>
    <w:rsid w:val="006D764F"/>
    <w:pPr>
      <w:widowControl/>
      <w:numPr>
        <w:numId w:val="2"/>
      </w:numPr>
      <w:tabs>
        <w:tab w:val="clear" w:pos="360"/>
      </w:tabs>
      <w:spacing w:before="120" w:after="60"/>
      <w:ind w:left="1276" w:right="680" w:firstLine="0"/>
    </w:pPr>
    <w:rPr>
      <w:rFonts w:ascii="Arial" w:hAnsi="Arial"/>
      <w:sz w:val="24"/>
      <w:lang w:eastAsia="en-US"/>
    </w:rPr>
  </w:style>
  <w:style w:type="character" w:customStyle="1" w:styleId="TextChar0">
    <w:name w:val="Text Char"/>
    <w:link w:val="Text"/>
    <w:locked/>
    <w:rsid w:val="003F0322"/>
    <w:rPr>
      <w:rFonts w:ascii="Arial" w:eastAsia="Times New Roman" w:hAnsi="Arial"/>
      <w:sz w:val="24"/>
      <w:lang w:eastAsia="en-US"/>
    </w:rPr>
  </w:style>
  <w:style w:type="paragraph" w:styleId="Obsah1">
    <w:name w:val="toc 1"/>
    <w:basedOn w:val="Normlny"/>
    <w:next w:val="Normlny"/>
    <w:autoRedefine/>
    <w:uiPriority w:val="39"/>
    <w:rsid w:val="00240E7A"/>
    <w:pPr>
      <w:widowControl/>
      <w:tabs>
        <w:tab w:val="left" w:pos="400"/>
        <w:tab w:val="right" w:leader="dot" w:pos="9062"/>
      </w:tabs>
      <w:spacing w:before="120"/>
    </w:pPr>
    <w:rPr>
      <w:rFonts w:ascii="Arial" w:hAnsi="Arial" w:cs="Arial"/>
      <w:b/>
      <w:bCs/>
      <w:noProof/>
      <w:sz w:val="24"/>
      <w:szCs w:val="24"/>
      <w:lang w:eastAsia="en-US"/>
    </w:rPr>
  </w:style>
  <w:style w:type="paragraph" w:customStyle="1" w:styleId="nadpis20">
    <w:name w:val="nadpis2"/>
    <w:basedOn w:val="Normlny"/>
    <w:rsid w:val="006D764F"/>
    <w:pPr>
      <w:widowControl/>
      <w:suppressAutoHyphens/>
      <w:spacing w:before="120"/>
      <w:jc w:val="both"/>
    </w:pPr>
    <w:rPr>
      <w:rFonts w:ascii="Arial" w:hAnsi="Arial" w:cs="Arial"/>
      <w:i/>
      <w:iCs/>
      <w:sz w:val="22"/>
      <w:szCs w:val="24"/>
      <w:u w:val="single"/>
      <w:lang w:eastAsia="ar-SA"/>
    </w:rPr>
  </w:style>
  <w:style w:type="paragraph" w:styleId="Normlnywebov">
    <w:name w:val="Normal (Web)"/>
    <w:basedOn w:val="Normlny"/>
    <w:rsid w:val="006D764F"/>
    <w:pPr>
      <w:widowControl/>
      <w:spacing w:after="75"/>
    </w:pPr>
    <w:rPr>
      <w:sz w:val="24"/>
      <w:szCs w:val="24"/>
    </w:rPr>
  </w:style>
  <w:style w:type="paragraph" w:customStyle="1" w:styleId="poznmka">
    <w:name w:val="poznámka"/>
    <w:basedOn w:val="text0"/>
    <w:qFormat/>
    <w:rsid w:val="006D764F"/>
    <w:pPr>
      <w:widowControl/>
      <w:tabs>
        <w:tab w:val="left" w:pos="567"/>
      </w:tabs>
      <w:overflowPunct w:val="0"/>
      <w:autoSpaceDE w:val="0"/>
      <w:autoSpaceDN w:val="0"/>
      <w:adjustRightInd w:val="0"/>
      <w:spacing w:before="0"/>
      <w:textAlignment w:val="baseline"/>
    </w:pPr>
    <w:rPr>
      <w:sz w:val="18"/>
      <w:lang w:eastAsia="en-US"/>
    </w:rPr>
  </w:style>
  <w:style w:type="character" w:styleId="Vrazn">
    <w:name w:val="Strong"/>
    <w:aliases w:val="XXX"/>
    <w:uiPriority w:val="22"/>
    <w:qFormat/>
    <w:rsid w:val="006D764F"/>
    <w:rPr>
      <w:rFonts w:cs="Times New Roman"/>
      <w:b/>
    </w:rPr>
  </w:style>
  <w:style w:type="paragraph" w:customStyle="1" w:styleId="EIA2">
    <w:name w:val="EIA2"/>
    <w:basedOn w:val="Normlny"/>
    <w:uiPriority w:val="99"/>
    <w:rsid w:val="006D764F"/>
    <w:pPr>
      <w:widowControl/>
      <w:jc w:val="both"/>
    </w:pPr>
    <w:rPr>
      <w:rFonts w:ascii="Arial" w:hAnsi="Arial"/>
      <w:b/>
      <w:sz w:val="22"/>
      <w:lang w:eastAsia="cs-CZ"/>
    </w:rPr>
  </w:style>
  <w:style w:type="character" w:customStyle="1" w:styleId="StylMuralVlevo0cmPedsazen125cmCharChar">
    <w:name w:val="Styl Mural + Vlevo:  0 cm Předsazení:  125 cm Char Char"/>
    <w:rsid w:val="006D764F"/>
    <w:rPr>
      <w:rFonts w:ascii="Arial" w:hAnsi="Arial"/>
      <w:sz w:val="22"/>
      <w:lang w:val="sk-SK" w:eastAsia="en-US"/>
    </w:rPr>
  </w:style>
  <w:style w:type="paragraph" w:customStyle="1" w:styleId="TEXT2">
    <w:name w:val="TEXT2"/>
    <w:basedOn w:val="Normlny"/>
    <w:uiPriority w:val="99"/>
    <w:rsid w:val="00DC00C4"/>
    <w:pPr>
      <w:widowControl/>
      <w:spacing w:line="320" w:lineRule="exact"/>
      <w:ind w:firstLine="567"/>
      <w:jc w:val="both"/>
    </w:pPr>
    <w:rPr>
      <w:rFonts w:ascii="Arial" w:hAnsi="Arial"/>
      <w:sz w:val="24"/>
      <w:lang w:val="en-US"/>
    </w:rPr>
  </w:style>
  <w:style w:type="paragraph" w:customStyle="1" w:styleId="BodyText32">
    <w:name w:val="Body Text 32"/>
    <w:basedOn w:val="Normlny"/>
    <w:uiPriority w:val="99"/>
    <w:rsid w:val="00DC00C4"/>
    <w:pPr>
      <w:widowControl/>
      <w:spacing w:before="120" w:line="240" w:lineRule="atLeast"/>
      <w:jc w:val="both"/>
    </w:pPr>
    <w:rPr>
      <w:rFonts w:ascii="Arial" w:hAnsi="Arial"/>
      <w:sz w:val="18"/>
      <w:szCs w:val="18"/>
      <w:lang w:eastAsia="en-US"/>
    </w:rPr>
  </w:style>
  <w:style w:type="paragraph" w:customStyle="1" w:styleId="Texttabulky">
    <w:name w:val="Text tabulky"/>
    <w:uiPriority w:val="99"/>
    <w:rsid w:val="00DC00C4"/>
    <w:pPr>
      <w:overflowPunct w:val="0"/>
      <w:autoSpaceDE w:val="0"/>
      <w:autoSpaceDN w:val="0"/>
      <w:adjustRightInd w:val="0"/>
      <w:spacing w:line="360" w:lineRule="atLeast"/>
      <w:jc w:val="both"/>
      <w:textAlignment w:val="baseline"/>
    </w:pPr>
    <w:rPr>
      <w:rFonts w:ascii="Times New Roman" w:eastAsia="Times New Roman" w:hAnsi="Times New Roman"/>
      <w:color w:val="000000"/>
      <w:sz w:val="24"/>
      <w:lang w:val="cs-CZ" w:eastAsia="cs-CZ"/>
    </w:rPr>
  </w:style>
  <w:style w:type="paragraph" w:customStyle="1" w:styleId="Par">
    <w:name w:val="Par"/>
    <w:basedOn w:val="Normlny"/>
    <w:uiPriority w:val="99"/>
    <w:rsid w:val="00E476FE"/>
    <w:pPr>
      <w:widowControl/>
      <w:spacing w:after="120"/>
      <w:ind w:firstLine="567"/>
      <w:jc w:val="both"/>
    </w:pPr>
    <w:rPr>
      <w:sz w:val="24"/>
      <w:lang w:val="en-GB" w:eastAsia="cs-CZ"/>
    </w:rPr>
  </w:style>
  <w:style w:type="paragraph" w:styleId="Zoznamsodrkami3">
    <w:name w:val="List Bullet 3"/>
    <w:basedOn w:val="Normlny"/>
    <w:uiPriority w:val="99"/>
    <w:rsid w:val="00E476FE"/>
    <w:pPr>
      <w:widowControl/>
      <w:spacing w:after="120"/>
      <w:ind w:left="851" w:hanging="284"/>
    </w:pPr>
    <w:rPr>
      <w:sz w:val="24"/>
      <w:lang w:val="en-GB" w:eastAsia="cs-CZ"/>
    </w:rPr>
  </w:style>
  <w:style w:type="paragraph" w:styleId="Hlavikaobsahu">
    <w:name w:val="TOC Heading"/>
    <w:basedOn w:val="Nadpis1"/>
    <w:next w:val="Normlny"/>
    <w:uiPriority w:val="39"/>
    <w:qFormat/>
    <w:rsid w:val="00B26FD8"/>
    <w:pPr>
      <w:keepLines/>
      <w:numPr>
        <w:numId w:val="0"/>
      </w:numPr>
      <w:shd w:val="clear" w:color="auto" w:fill="auto"/>
      <w:spacing w:after="0" w:line="259" w:lineRule="auto"/>
      <w:jc w:val="left"/>
      <w:outlineLvl w:val="9"/>
    </w:pPr>
    <w:rPr>
      <w:rFonts w:ascii="Calibri Light" w:hAnsi="Calibri Light"/>
      <w:b w:val="0"/>
      <w:bCs w:val="0"/>
      <w:color w:val="2E74B5"/>
      <w:kern w:val="0"/>
      <w:lang w:val="en-US"/>
    </w:rPr>
  </w:style>
  <w:style w:type="paragraph" w:styleId="Obsah2">
    <w:name w:val="toc 2"/>
    <w:basedOn w:val="Normlny"/>
    <w:next w:val="Normlny"/>
    <w:autoRedefine/>
    <w:uiPriority w:val="39"/>
    <w:rsid w:val="00B26FD8"/>
    <w:pPr>
      <w:widowControl/>
      <w:spacing w:before="120"/>
      <w:ind w:left="200"/>
    </w:pPr>
    <w:rPr>
      <w:rFonts w:ascii="Calibri" w:hAnsi="Calibri" w:cs="Calibri"/>
      <w:i/>
      <w:iCs/>
      <w:lang w:eastAsia="en-US"/>
    </w:rPr>
  </w:style>
  <w:style w:type="character" w:styleId="Hypertextovprepojenie">
    <w:name w:val="Hyperlink"/>
    <w:uiPriority w:val="99"/>
    <w:rsid w:val="00B26FD8"/>
    <w:rPr>
      <w:rFonts w:cs="Times New Roman"/>
      <w:color w:val="0563C1"/>
      <w:u w:val="single"/>
    </w:rPr>
  </w:style>
  <w:style w:type="paragraph" w:styleId="Obsah3">
    <w:name w:val="toc 3"/>
    <w:basedOn w:val="Normlny"/>
    <w:next w:val="Normlny"/>
    <w:autoRedefine/>
    <w:uiPriority w:val="39"/>
    <w:rsid w:val="00917932"/>
    <w:pPr>
      <w:widowControl/>
      <w:ind w:left="400"/>
    </w:pPr>
    <w:rPr>
      <w:rFonts w:ascii="Calibri" w:hAnsi="Calibri" w:cs="Calibri"/>
      <w:lang w:eastAsia="en-US"/>
    </w:rPr>
  </w:style>
  <w:style w:type="paragraph" w:styleId="Obsah4">
    <w:name w:val="toc 4"/>
    <w:basedOn w:val="Normlny"/>
    <w:next w:val="Normlny"/>
    <w:autoRedefine/>
    <w:uiPriority w:val="39"/>
    <w:rsid w:val="00917932"/>
    <w:pPr>
      <w:widowControl/>
      <w:ind w:left="600"/>
    </w:pPr>
    <w:rPr>
      <w:rFonts w:ascii="Calibri" w:hAnsi="Calibri" w:cs="Calibri"/>
      <w:lang w:eastAsia="en-US"/>
    </w:rPr>
  </w:style>
  <w:style w:type="paragraph" w:styleId="Obsah5">
    <w:name w:val="toc 5"/>
    <w:basedOn w:val="Normlny"/>
    <w:next w:val="Normlny"/>
    <w:autoRedefine/>
    <w:uiPriority w:val="39"/>
    <w:rsid w:val="00917932"/>
    <w:pPr>
      <w:widowControl/>
      <w:ind w:left="800"/>
    </w:pPr>
    <w:rPr>
      <w:rFonts w:ascii="Calibri" w:hAnsi="Calibri" w:cs="Calibri"/>
      <w:lang w:eastAsia="en-US"/>
    </w:rPr>
  </w:style>
  <w:style w:type="paragraph" w:styleId="Obsah6">
    <w:name w:val="toc 6"/>
    <w:basedOn w:val="Normlny"/>
    <w:next w:val="Normlny"/>
    <w:autoRedefine/>
    <w:uiPriority w:val="39"/>
    <w:rsid w:val="00917932"/>
    <w:pPr>
      <w:widowControl/>
      <w:ind w:left="1000"/>
    </w:pPr>
    <w:rPr>
      <w:rFonts w:ascii="Calibri" w:hAnsi="Calibri" w:cs="Calibri"/>
      <w:lang w:eastAsia="en-US"/>
    </w:rPr>
  </w:style>
  <w:style w:type="paragraph" w:styleId="Obsah7">
    <w:name w:val="toc 7"/>
    <w:basedOn w:val="Normlny"/>
    <w:next w:val="Normlny"/>
    <w:autoRedefine/>
    <w:uiPriority w:val="39"/>
    <w:rsid w:val="00917932"/>
    <w:pPr>
      <w:widowControl/>
      <w:ind w:left="1200"/>
    </w:pPr>
    <w:rPr>
      <w:rFonts w:ascii="Calibri" w:hAnsi="Calibri" w:cs="Calibri"/>
      <w:lang w:eastAsia="en-US"/>
    </w:rPr>
  </w:style>
  <w:style w:type="paragraph" w:styleId="Obsah8">
    <w:name w:val="toc 8"/>
    <w:basedOn w:val="Normlny"/>
    <w:next w:val="Normlny"/>
    <w:autoRedefine/>
    <w:uiPriority w:val="39"/>
    <w:rsid w:val="00917932"/>
    <w:pPr>
      <w:widowControl/>
      <w:ind w:left="1400"/>
    </w:pPr>
    <w:rPr>
      <w:rFonts w:ascii="Calibri" w:hAnsi="Calibri" w:cs="Calibri"/>
      <w:lang w:eastAsia="en-US"/>
    </w:rPr>
  </w:style>
  <w:style w:type="paragraph" w:styleId="Obsah9">
    <w:name w:val="toc 9"/>
    <w:basedOn w:val="Normlny"/>
    <w:next w:val="Normlny"/>
    <w:autoRedefine/>
    <w:uiPriority w:val="39"/>
    <w:rsid w:val="00917932"/>
    <w:pPr>
      <w:widowControl/>
      <w:ind w:left="1600"/>
    </w:pPr>
    <w:rPr>
      <w:rFonts w:ascii="Calibri" w:hAnsi="Calibri" w:cs="Calibri"/>
      <w:lang w:eastAsia="en-US"/>
    </w:rPr>
  </w:style>
  <w:style w:type="paragraph" w:styleId="Odsekzoznamu">
    <w:name w:val="List Paragraph"/>
    <w:basedOn w:val="Normlny"/>
    <w:link w:val="OdsekzoznamuChar"/>
    <w:uiPriority w:val="34"/>
    <w:qFormat/>
    <w:rsid w:val="008C68A0"/>
    <w:pPr>
      <w:widowControl/>
      <w:ind w:left="720"/>
      <w:contextualSpacing/>
      <w:jc w:val="both"/>
    </w:pPr>
    <w:rPr>
      <w:rFonts w:ascii="Arial Narrow" w:hAnsi="Arial Narrow"/>
      <w:szCs w:val="24"/>
      <w:lang w:eastAsia="en-US"/>
    </w:rPr>
  </w:style>
  <w:style w:type="character" w:customStyle="1" w:styleId="Nevyrieenzmienka1">
    <w:name w:val="Nevyriešená zmienka1"/>
    <w:uiPriority w:val="99"/>
    <w:semiHidden/>
    <w:rsid w:val="008801B0"/>
    <w:rPr>
      <w:rFonts w:cs="Times New Roman"/>
      <w:color w:val="808080"/>
      <w:shd w:val="clear" w:color="auto" w:fill="E6E6E6"/>
    </w:rPr>
  </w:style>
  <w:style w:type="paragraph" w:styleId="Textkomentra">
    <w:name w:val="annotation text"/>
    <w:basedOn w:val="Normlny"/>
    <w:link w:val="TextkomentraChar"/>
    <w:rsid w:val="00E76119"/>
    <w:pPr>
      <w:suppressAutoHyphens/>
    </w:pPr>
    <w:rPr>
      <w:rFonts w:eastAsia="Calibri"/>
      <w:sz w:val="24"/>
      <w:szCs w:val="24"/>
    </w:rPr>
  </w:style>
  <w:style w:type="character" w:customStyle="1" w:styleId="TextkomentraChar">
    <w:name w:val="Text komentára Char"/>
    <w:link w:val="Textkomentra"/>
    <w:locked/>
    <w:rsid w:val="00E76119"/>
    <w:rPr>
      <w:rFonts w:ascii="Times New Roman" w:eastAsia="Times New Roman" w:hAnsi="Times New Roman" w:cs="Times New Roman"/>
      <w:sz w:val="24"/>
      <w:szCs w:val="24"/>
      <w:lang w:eastAsia="sk-SK"/>
    </w:rPr>
  </w:style>
  <w:style w:type="paragraph" w:customStyle="1" w:styleId="F2-ZkladnText">
    <w:name w:val="F2-ZákladnýText"/>
    <w:basedOn w:val="Normlny"/>
    <w:rsid w:val="00C90129"/>
    <w:pPr>
      <w:widowControl/>
      <w:jc w:val="both"/>
    </w:pPr>
    <w:rPr>
      <w:sz w:val="24"/>
    </w:rPr>
  </w:style>
  <w:style w:type="paragraph" w:customStyle="1" w:styleId="Zoznamsodrkami1">
    <w:name w:val="Zoznam s odrážkami1"/>
    <w:basedOn w:val="Normlny"/>
    <w:uiPriority w:val="99"/>
    <w:rsid w:val="00074545"/>
    <w:pPr>
      <w:widowControl/>
      <w:numPr>
        <w:numId w:val="14"/>
      </w:numPr>
      <w:tabs>
        <w:tab w:val="left" w:pos="360"/>
      </w:tabs>
      <w:suppressAutoHyphens/>
      <w:ind w:left="360"/>
    </w:pPr>
    <w:rPr>
      <w:lang w:val="cs-CZ" w:eastAsia="zh-CN"/>
    </w:rPr>
  </w:style>
  <w:style w:type="paragraph" w:customStyle="1" w:styleId="KKODSTAVEC1">
    <w:name w:val="KK ODSTAVEC 1"/>
    <w:basedOn w:val="Odsekzoznamu"/>
    <w:link w:val="KKODSTAVEC1Char"/>
    <w:uiPriority w:val="99"/>
    <w:rsid w:val="00D21D77"/>
    <w:pPr>
      <w:spacing w:before="240" w:after="120"/>
      <w:ind w:firstLine="709"/>
    </w:pPr>
    <w:rPr>
      <w:rFonts w:ascii="Arial" w:eastAsia="Calibri" w:hAnsi="Arial"/>
      <w:b/>
      <w:caps/>
      <w:sz w:val="22"/>
      <w:szCs w:val="22"/>
    </w:rPr>
  </w:style>
  <w:style w:type="character" w:customStyle="1" w:styleId="KKODSTAVEC1Char">
    <w:name w:val="KK ODSTAVEC 1 Char"/>
    <w:link w:val="KKODSTAVEC1"/>
    <w:uiPriority w:val="99"/>
    <w:locked/>
    <w:rsid w:val="00D21D77"/>
    <w:rPr>
      <w:rFonts w:ascii="Arial" w:hAnsi="Arial" w:cs="Times New Roman"/>
      <w:b/>
      <w:caps/>
    </w:rPr>
  </w:style>
  <w:style w:type="paragraph" w:styleId="Textbubliny">
    <w:name w:val="Balloon Text"/>
    <w:basedOn w:val="Normlny"/>
    <w:link w:val="TextbublinyChar"/>
    <w:rsid w:val="003F0322"/>
    <w:pPr>
      <w:widowControl/>
      <w:ind w:left="567" w:firstLine="709"/>
      <w:jc w:val="both"/>
    </w:pPr>
    <w:rPr>
      <w:rFonts w:ascii="Segoe UI" w:eastAsia="Calibri" w:hAnsi="Segoe UI" w:cs="Segoe UI"/>
      <w:sz w:val="18"/>
      <w:szCs w:val="18"/>
      <w:lang w:eastAsia="en-US"/>
    </w:rPr>
  </w:style>
  <w:style w:type="character" w:customStyle="1" w:styleId="TextbublinyChar">
    <w:name w:val="Text bubliny Char"/>
    <w:link w:val="Textbubliny"/>
    <w:locked/>
    <w:rsid w:val="003F0322"/>
    <w:rPr>
      <w:rFonts w:ascii="Segoe UI" w:hAnsi="Segoe UI" w:cs="Segoe UI"/>
      <w:sz w:val="18"/>
      <w:szCs w:val="18"/>
    </w:rPr>
  </w:style>
  <w:style w:type="character" w:styleId="Zvraznenie">
    <w:name w:val="Emphasis"/>
    <w:uiPriority w:val="99"/>
    <w:qFormat/>
    <w:rsid w:val="003F0322"/>
    <w:rPr>
      <w:rFonts w:ascii="Calibri" w:hAnsi="Calibri" w:cs="Times New Roman"/>
      <w:b/>
      <w:i/>
      <w:sz w:val="20"/>
    </w:rPr>
  </w:style>
  <w:style w:type="paragraph" w:customStyle="1" w:styleId="Nadpis51">
    <w:name w:val="Nadpis 51"/>
    <w:next w:val="Normlny1"/>
    <w:uiPriority w:val="99"/>
    <w:rsid w:val="003F0322"/>
    <w:pPr>
      <w:keepNext/>
      <w:widowControl w:val="0"/>
      <w:jc w:val="both"/>
    </w:pPr>
    <w:rPr>
      <w:rFonts w:ascii="Times New Roman" w:hAnsi="Times New Roman"/>
      <w:b/>
      <w:color w:val="0000FF"/>
      <w:sz w:val="22"/>
      <w:lang w:val="cs-CZ"/>
    </w:rPr>
  </w:style>
  <w:style w:type="paragraph" w:customStyle="1" w:styleId="Normlny1">
    <w:name w:val="Normálny1"/>
    <w:uiPriority w:val="99"/>
    <w:rsid w:val="003F0322"/>
    <w:rPr>
      <w:rFonts w:ascii="Times New Roman" w:hAnsi="Times New Roman"/>
      <w:color w:val="000000"/>
      <w:lang w:val="cs-CZ"/>
    </w:rPr>
  </w:style>
  <w:style w:type="paragraph" w:customStyle="1" w:styleId="FreeFormA">
    <w:name w:val="Free Form A"/>
    <w:autoRedefine/>
    <w:uiPriority w:val="99"/>
    <w:rsid w:val="003F0322"/>
    <w:pPr>
      <w:spacing w:after="160" w:line="259" w:lineRule="auto"/>
    </w:pPr>
    <w:rPr>
      <w:color w:val="000000"/>
      <w:sz w:val="22"/>
      <w:szCs w:val="22"/>
      <w:lang w:val="cs-CZ"/>
    </w:rPr>
  </w:style>
  <w:style w:type="character" w:customStyle="1" w:styleId="goohl1">
    <w:name w:val="goohl1"/>
    <w:uiPriority w:val="99"/>
    <w:rsid w:val="003F0322"/>
    <w:rPr>
      <w:color w:val="000000"/>
      <w:sz w:val="20"/>
    </w:rPr>
  </w:style>
  <w:style w:type="paragraph" w:customStyle="1" w:styleId="Zarkazkladnhotextu31">
    <w:name w:val="Zarážka základného textu 31"/>
    <w:basedOn w:val="Normlny"/>
    <w:uiPriority w:val="99"/>
    <w:rsid w:val="003F0322"/>
    <w:pPr>
      <w:widowControl/>
      <w:overflowPunct w:val="0"/>
      <w:autoSpaceDE w:val="0"/>
      <w:autoSpaceDN w:val="0"/>
      <w:adjustRightInd w:val="0"/>
      <w:spacing w:line="360" w:lineRule="auto"/>
      <w:ind w:left="567" w:firstLine="708"/>
      <w:jc w:val="both"/>
      <w:textAlignment w:val="baseline"/>
    </w:pPr>
    <w:rPr>
      <w:rFonts w:ascii="Arial" w:hAnsi="Arial"/>
      <w:sz w:val="22"/>
      <w:lang w:eastAsia="cs-CZ"/>
    </w:rPr>
  </w:style>
  <w:style w:type="paragraph" w:customStyle="1" w:styleId="NORMALSPEC">
    <w:name w:val="NORMAL SPEC."/>
    <w:basedOn w:val="Normlny"/>
    <w:uiPriority w:val="99"/>
    <w:rsid w:val="003F0322"/>
    <w:pPr>
      <w:widowControl/>
      <w:tabs>
        <w:tab w:val="left" w:pos="720"/>
        <w:tab w:val="left" w:pos="1440"/>
        <w:tab w:val="left" w:pos="2160"/>
        <w:tab w:val="left" w:pos="2880"/>
      </w:tabs>
      <w:ind w:left="1440" w:hanging="1440"/>
      <w:jc w:val="both"/>
    </w:pPr>
    <w:rPr>
      <w:noProof/>
      <w:lang w:eastAsia="cs-CZ"/>
    </w:rPr>
  </w:style>
  <w:style w:type="paragraph" w:customStyle="1" w:styleId="CDBlack">
    <w:name w:val="CD Black"/>
    <w:basedOn w:val="Normlny"/>
    <w:rsid w:val="003F0322"/>
    <w:pPr>
      <w:widowControl/>
      <w:tabs>
        <w:tab w:val="left" w:pos="170"/>
      </w:tabs>
      <w:ind w:left="680" w:firstLine="709"/>
      <w:jc w:val="both"/>
    </w:pPr>
    <w:rPr>
      <w:rFonts w:ascii="Tahoma" w:hAnsi="Tahoma" w:cs="Tahoma"/>
      <w:sz w:val="18"/>
      <w:szCs w:val="18"/>
    </w:rPr>
  </w:style>
  <w:style w:type="character" w:customStyle="1" w:styleId="CDBlackCharChar">
    <w:name w:val="CD Black Char Char"/>
    <w:rsid w:val="003F0322"/>
    <w:rPr>
      <w:rFonts w:ascii="Tahoma" w:hAnsi="Tahoma"/>
      <w:color w:val="000000"/>
      <w:sz w:val="16"/>
      <w:lang w:val="sk-SK" w:eastAsia="sk-SK"/>
    </w:rPr>
  </w:style>
  <w:style w:type="character" w:customStyle="1" w:styleId="CDBlueCharChar">
    <w:name w:val="CD Blue Char Char"/>
    <w:uiPriority w:val="99"/>
    <w:rsid w:val="003F0322"/>
    <w:rPr>
      <w:rFonts w:ascii="Tahoma" w:hAnsi="Tahoma"/>
      <w:color w:val="auto"/>
      <w:sz w:val="16"/>
      <w:lang w:val="sk-SK" w:eastAsia="sk-SK"/>
    </w:rPr>
  </w:style>
  <w:style w:type="character" w:customStyle="1" w:styleId="formtext">
    <w:name w:val="formtext"/>
    <w:uiPriority w:val="99"/>
    <w:rsid w:val="003F0322"/>
    <w:rPr>
      <w:rFonts w:cs="Times New Roman"/>
    </w:rPr>
  </w:style>
  <w:style w:type="character" w:styleId="Jemnzvraznenie">
    <w:name w:val="Subtle Emphasis"/>
    <w:uiPriority w:val="99"/>
    <w:qFormat/>
    <w:rsid w:val="003F0322"/>
    <w:rPr>
      <w:rFonts w:ascii="Calibri" w:hAnsi="Calibri"/>
      <w:i/>
      <w:color w:val="auto"/>
      <w:sz w:val="20"/>
      <w:u w:val="single"/>
    </w:rPr>
  </w:style>
  <w:style w:type="paragraph" w:customStyle="1" w:styleId="Odrky">
    <w:name w:val="Odrážky"/>
    <w:basedOn w:val="Normlny"/>
    <w:link w:val="OdrkyChar"/>
    <w:uiPriority w:val="99"/>
    <w:rsid w:val="003F0322"/>
    <w:pPr>
      <w:widowControl/>
      <w:tabs>
        <w:tab w:val="left" w:pos="3119"/>
        <w:tab w:val="left" w:pos="3402"/>
        <w:tab w:val="right" w:pos="6237"/>
      </w:tabs>
      <w:spacing w:before="120"/>
      <w:ind w:left="1134" w:hanging="283"/>
      <w:jc w:val="both"/>
    </w:pPr>
    <w:rPr>
      <w:rFonts w:ascii="Arial" w:hAnsi="Arial"/>
      <w:lang w:val="cs-CZ" w:eastAsia="cs-CZ"/>
    </w:rPr>
  </w:style>
  <w:style w:type="character" w:customStyle="1" w:styleId="OdrkyChar">
    <w:name w:val="Odrážky Char"/>
    <w:link w:val="Odrky"/>
    <w:uiPriority w:val="99"/>
    <w:locked/>
    <w:rsid w:val="003F0322"/>
    <w:rPr>
      <w:rFonts w:ascii="Arial" w:hAnsi="Arial"/>
      <w:sz w:val="20"/>
      <w:lang w:eastAsia="cs-CZ"/>
    </w:rPr>
  </w:style>
  <w:style w:type="paragraph" w:customStyle="1" w:styleId="Zarkazkladnhotextu32">
    <w:name w:val="Zarážka základného textu 32"/>
    <w:basedOn w:val="Normlny"/>
    <w:uiPriority w:val="99"/>
    <w:rsid w:val="003F0322"/>
    <w:pPr>
      <w:widowControl/>
      <w:overflowPunct w:val="0"/>
      <w:autoSpaceDE w:val="0"/>
      <w:autoSpaceDN w:val="0"/>
      <w:adjustRightInd w:val="0"/>
      <w:spacing w:line="360" w:lineRule="auto"/>
      <w:ind w:left="567" w:firstLine="708"/>
      <w:jc w:val="both"/>
      <w:textAlignment w:val="baseline"/>
    </w:pPr>
    <w:rPr>
      <w:rFonts w:ascii="Arial" w:hAnsi="Arial"/>
      <w:sz w:val="22"/>
      <w:lang w:eastAsia="cs-CZ"/>
    </w:rPr>
  </w:style>
  <w:style w:type="paragraph" w:styleId="Citcia">
    <w:name w:val="Quote"/>
    <w:basedOn w:val="Normlny"/>
    <w:next w:val="Normlny"/>
    <w:link w:val="CitciaChar"/>
    <w:uiPriority w:val="99"/>
    <w:qFormat/>
    <w:rsid w:val="003F0322"/>
    <w:pPr>
      <w:widowControl/>
      <w:spacing w:before="200" w:after="120"/>
      <w:ind w:left="864" w:right="864" w:firstLine="709"/>
      <w:jc w:val="center"/>
    </w:pPr>
    <w:rPr>
      <w:rFonts w:ascii="Calibri" w:eastAsia="Calibri" w:hAnsi="Calibri"/>
      <w:i/>
      <w:iCs/>
      <w:color w:val="404040"/>
      <w:sz w:val="22"/>
      <w:szCs w:val="22"/>
      <w:lang w:eastAsia="en-US"/>
    </w:rPr>
  </w:style>
  <w:style w:type="character" w:customStyle="1" w:styleId="CitciaChar">
    <w:name w:val="Citácia Char"/>
    <w:link w:val="Citcia"/>
    <w:uiPriority w:val="99"/>
    <w:locked/>
    <w:rsid w:val="003F0322"/>
    <w:rPr>
      <w:rFonts w:cs="Times New Roman"/>
      <w:i/>
      <w:iCs/>
      <w:color w:val="404040"/>
    </w:rPr>
  </w:style>
  <w:style w:type="character" w:styleId="Jemnodkaz">
    <w:name w:val="Subtle Reference"/>
    <w:uiPriority w:val="99"/>
    <w:qFormat/>
    <w:rsid w:val="003F0322"/>
    <w:rPr>
      <w:rFonts w:cs="Times New Roman"/>
      <w:b/>
      <w:smallCaps/>
      <w:color w:val="auto"/>
    </w:rPr>
  </w:style>
  <w:style w:type="paragraph" w:customStyle="1" w:styleId="KKODSTAVEC2">
    <w:name w:val="KK ODSTAVEC 2"/>
    <w:basedOn w:val="KKODSTAVEC1"/>
    <w:link w:val="KKODSTAVEC2Char"/>
    <w:uiPriority w:val="99"/>
    <w:rsid w:val="003F0322"/>
    <w:pPr>
      <w:ind w:left="284"/>
    </w:pPr>
  </w:style>
  <w:style w:type="character" w:customStyle="1" w:styleId="KKODSTAVEC2Char">
    <w:name w:val="KK ODSTAVEC 2 Char"/>
    <w:link w:val="KKODSTAVEC2"/>
    <w:uiPriority w:val="99"/>
    <w:locked/>
    <w:rsid w:val="003F0322"/>
    <w:rPr>
      <w:rFonts w:ascii="Arial" w:hAnsi="Arial" w:cs="Times New Roman"/>
      <w:b/>
      <w:caps/>
    </w:rPr>
  </w:style>
  <w:style w:type="paragraph" w:customStyle="1" w:styleId="KKODRKY2">
    <w:name w:val="KK ODRÁŽKY 2"/>
    <w:basedOn w:val="Bezriadkovania"/>
    <w:link w:val="KKODRKY2Char"/>
    <w:uiPriority w:val="99"/>
    <w:rsid w:val="003F0322"/>
    <w:pPr>
      <w:numPr>
        <w:numId w:val="15"/>
      </w:numPr>
      <w:suppressAutoHyphens w:val="0"/>
      <w:jc w:val="both"/>
    </w:pPr>
    <w:rPr>
      <w:rFonts w:eastAsia="Times New Roman"/>
      <w:sz w:val="20"/>
      <w:szCs w:val="20"/>
      <w:lang w:eastAsia="en-US"/>
    </w:rPr>
  </w:style>
  <w:style w:type="character" w:customStyle="1" w:styleId="KKODRKY2Char">
    <w:name w:val="KK ODRÁŽKY 2 Char"/>
    <w:link w:val="KKODRKY2"/>
    <w:uiPriority w:val="99"/>
    <w:locked/>
    <w:rsid w:val="003F0322"/>
    <w:rPr>
      <w:rFonts w:eastAsia="Times New Roman" w:cs="Calibri"/>
      <w:lang w:val="cs-CZ" w:eastAsia="en-US"/>
    </w:rPr>
  </w:style>
  <w:style w:type="paragraph" w:customStyle="1" w:styleId="KKBEZMEZER">
    <w:name w:val="KK BEZ MEZER"/>
    <w:basedOn w:val="Bezriadkovania"/>
    <w:link w:val="KKBEZMEZERChar"/>
    <w:uiPriority w:val="99"/>
    <w:rsid w:val="003F0322"/>
    <w:pPr>
      <w:suppressAutoHyphens w:val="0"/>
      <w:jc w:val="both"/>
    </w:pPr>
    <w:rPr>
      <w:rFonts w:eastAsia="Times New Roman"/>
      <w:sz w:val="20"/>
      <w:szCs w:val="20"/>
      <w:lang w:eastAsia="cs-CZ"/>
    </w:rPr>
  </w:style>
  <w:style w:type="character" w:customStyle="1" w:styleId="KKBEZMEZERChar">
    <w:name w:val="KK BEZ MEZER Char"/>
    <w:link w:val="KKBEZMEZER"/>
    <w:uiPriority w:val="99"/>
    <w:locked/>
    <w:rsid w:val="003F0322"/>
    <w:rPr>
      <w:rFonts w:eastAsia="Times New Roman" w:cs="Calibri"/>
      <w:sz w:val="20"/>
      <w:szCs w:val="20"/>
      <w:lang w:val="cs-CZ" w:eastAsia="cs-CZ"/>
    </w:rPr>
  </w:style>
  <w:style w:type="character" w:customStyle="1" w:styleId="Absatz-Standardschriftart">
    <w:name w:val="Absatz-Standardschriftart"/>
    <w:uiPriority w:val="99"/>
    <w:rsid w:val="003F0322"/>
  </w:style>
  <w:style w:type="character" w:customStyle="1" w:styleId="WW-Absatz-Standardschriftart">
    <w:name w:val="WW-Absatz-Standardschriftart"/>
    <w:uiPriority w:val="99"/>
    <w:rsid w:val="003F0322"/>
  </w:style>
  <w:style w:type="character" w:customStyle="1" w:styleId="WW-Absatz-Standardschriftart1">
    <w:name w:val="WW-Absatz-Standardschriftart1"/>
    <w:uiPriority w:val="99"/>
    <w:rsid w:val="003F0322"/>
  </w:style>
  <w:style w:type="character" w:customStyle="1" w:styleId="WW8Num3z0">
    <w:name w:val="WW8Num3z0"/>
    <w:uiPriority w:val="99"/>
    <w:rsid w:val="003F0322"/>
    <w:rPr>
      <w:rFonts w:ascii="Symbol" w:hAnsi="Symbol"/>
    </w:rPr>
  </w:style>
  <w:style w:type="character" w:customStyle="1" w:styleId="WW8Num3z1">
    <w:name w:val="WW8Num3z1"/>
    <w:uiPriority w:val="99"/>
    <w:rsid w:val="003F0322"/>
    <w:rPr>
      <w:rFonts w:ascii="Courier New" w:hAnsi="Courier New"/>
    </w:rPr>
  </w:style>
  <w:style w:type="character" w:customStyle="1" w:styleId="WW8Num3z2">
    <w:name w:val="WW8Num3z2"/>
    <w:uiPriority w:val="99"/>
    <w:rsid w:val="003F0322"/>
    <w:rPr>
      <w:rFonts w:ascii="Wingdings" w:hAnsi="Wingdings"/>
    </w:rPr>
  </w:style>
  <w:style w:type="character" w:customStyle="1" w:styleId="WW8Num5z0">
    <w:name w:val="WW8Num5z0"/>
    <w:uiPriority w:val="99"/>
    <w:rsid w:val="003F0322"/>
    <w:rPr>
      <w:rFonts w:ascii="Symbol" w:hAnsi="Symbol"/>
    </w:rPr>
  </w:style>
  <w:style w:type="character" w:customStyle="1" w:styleId="WW8Num5z1">
    <w:name w:val="WW8Num5z1"/>
    <w:uiPriority w:val="99"/>
    <w:rsid w:val="003F0322"/>
    <w:rPr>
      <w:rFonts w:ascii="Courier New" w:hAnsi="Courier New"/>
    </w:rPr>
  </w:style>
  <w:style w:type="character" w:customStyle="1" w:styleId="WW8Num5z2">
    <w:name w:val="WW8Num5z2"/>
    <w:uiPriority w:val="99"/>
    <w:rsid w:val="003F0322"/>
    <w:rPr>
      <w:rFonts w:ascii="Wingdings" w:hAnsi="Wingdings"/>
    </w:rPr>
  </w:style>
  <w:style w:type="character" w:customStyle="1" w:styleId="WW8Num6z0">
    <w:name w:val="WW8Num6z0"/>
    <w:uiPriority w:val="99"/>
    <w:rsid w:val="003F0322"/>
    <w:rPr>
      <w:rFonts w:ascii="Arial" w:hAnsi="Arial"/>
    </w:rPr>
  </w:style>
  <w:style w:type="character" w:customStyle="1" w:styleId="WW8Num6z1">
    <w:name w:val="WW8Num6z1"/>
    <w:uiPriority w:val="99"/>
    <w:rsid w:val="003F0322"/>
    <w:rPr>
      <w:rFonts w:ascii="Courier New" w:hAnsi="Courier New"/>
    </w:rPr>
  </w:style>
  <w:style w:type="character" w:customStyle="1" w:styleId="WW8Num6z2">
    <w:name w:val="WW8Num6z2"/>
    <w:uiPriority w:val="99"/>
    <w:rsid w:val="003F0322"/>
    <w:rPr>
      <w:rFonts w:ascii="Wingdings" w:hAnsi="Wingdings"/>
    </w:rPr>
  </w:style>
  <w:style w:type="character" w:customStyle="1" w:styleId="WW8Num6z3">
    <w:name w:val="WW8Num6z3"/>
    <w:uiPriority w:val="99"/>
    <w:rsid w:val="003F0322"/>
    <w:rPr>
      <w:rFonts w:ascii="Symbol" w:hAnsi="Symbol"/>
    </w:rPr>
  </w:style>
  <w:style w:type="character" w:customStyle="1" w:styleId="WW8Num7z0">
    <w:name w:val="WW8Num7z0"/>
    <w:uiPriority w:val="99"/>
    <w:rsid w:val="003F0322"/>
    <w:rPr>
      <w:rFonts w:ascii="Symbol" w:hAnsi="Symbol"/>
    </w:rPr>
  </w:style>
  <w:style w:type="character" w:customStyle="1" w:styleId="WW8Num7z1">
    <w:name w:val="WW8Num7z1"/>
    <w:uiPriority w:val="99"/>
    <w:rsid w:val="003F0322"/>
    <w:rPr>
      <w:rFonts w:ascii="Courier New" w:hAnsi="Courier New"/>
    </w:rPr>
  </w:style>
  <w:style w:type="character" w:customStyle="1" w:styleId="WW8Num7z2">
    <w:name w:val="WW8Num7z2"/>
    <w:uiPriority w:val="99"/>
    <w:rsid w:val="003F0322"/>
    <w:rPr>
      <w:rFonts w:ascii="Wingdings" w:hAnsi="Wingdings"/>
    </w:rPr>
  </w:style>
  <w:style w:type="character" w:customStyle="1" w:styleId="WW8Num12z0">
    <w:name w:val="WW8Num12z0"/>
    <w:uiPriority w:val="99"/>
    <w:rsid w:val="003F0322"/>
    <w:rPr>
      <w:rFonts w:ascii="Arial" w:hAnsi="Arial"/>
      <w:sz w:val="22"/>
    </w:rPr>
  </w:style>
  <w:style w:type="character" w:customStyle="1" w:styleId="WW8Num14z0">
    <w:name w:val="WW8Num14z0"/>
    <w:uiPriority w:val="99"/>
    <w:rsid w:val="003F0322"/>
    <w:rPr>
      <w:rFonts w:ascii="Symbol" w:hAnsi="Symbol"/>
    </w:rPr>
  </w:style>
  <w:style w:type="character" w:customStyle="1" w:styleId="WW8Num14z1">
    <w:name w:val="WW8Num14z1"/>
    <w:uiPriority w:val="99"/>
    <w:rsid w:val="003F0322"/>
    <w:rPr>
      <w:rFonts w:ascii="Courier New" w:hAnsi="Courier New"/>
    </w:rPr>
  </w:style>
  <w:style w:type="character" w:customStyle="1" w:styleId="WW8Num14z2">
    <w:name w:val="WW8Num14z2"/>
    <w:uiPriority w:val="99"/>
    <w:rsid w:val="003F0322"/>
    <w:rPr>
      <w:rFonts w:ascii="Wingdings" w:hAnsi="Wingdings"/>
    </w:rPr>
  </w:style>
  <w:style w:type="character" w:customStyle="1" w:styleId="WW8Num15z0">
    <w:name w:val="WW8Num15z0"/>
    <w:uiPriority w:val="99"/>
    <w:rsid w:val="003F0322"/>
    <w:rPr>
      <w:rFonts w:ascii="Symbol" w:hAnsi="Symbol"/>
    </w:rPr>
  </w:style>
  <w:style w:type="character" w:customStyle="1" w:styleId="WW8Num15z1">
    <w:name w:val="WW8Num15z1"/>
    <w:uiPriority w:val="99"/>
    <w:rsid w:val="003F0322"/>
    <w:rPr>
      <w:rFonts w:ascii="Courier New" w:hAnsi="Courier New"/>
    </w:rPr>
  </w:style>
  <w:style w:type="character" w:customStyle="1" w:styleId="WW8Num15z2">
    <w:name w:val="WW8Num15z2"/>
    <w:uiPriority w:val="99"/>
    <w:rsid w:val="003F0322"/>
    <w:rPr>
      <w:rFonts w:ascii="Wingdings" w:hAnsi="Wingdings"/>
    </w:rPr>
  </w:style>
  <w:style w:type="character" w:customStyle="1" w:styleId="WW8Num17z0">
    <w:name w:val="WW8Num17z0"/>
    <w:uiPriority w:val="99"/>
    <w:rsid w:val="003F0322"/>
    <w:rPr>
      <w:rFonts w:ascii="Symbol" w:hAnsi="Symbol"/>
    </w:rPr>
  </w:style>
  <w:style w:type="character" w:customStyle="1" w:styleId="WW8Num17z1">
    <w:name w:val="WW8Num17z1"/>
    <w:uiPriority w:val="99"/>
    <w:rsid w:val="003F0322"/>
    <w:rPr>
      <w:rFonts w:ascii="Courier New" w:hAnsi="Courier New"/>
    </w:rPr>
  </w:style>
  <w:style w:type="character" w:customStyle="1" w:styleId="WW8Num17z2">
    <w:name w:val="WW8Num17z2"/>
    <w:uiPriority w:val="99"/>
    <w:rsid w:val="003F0322"/>
    <w:rPr>
      <w:rFonts w:ascii="Wingdings" w:hAnsi="Wingdings"/>
    </w:rPr>
  </w:style>
  <w:style w:type="character" w:customStyle="1" w:styleId="WW8Num19z0">
    <w:name w:val="WW8Num19z0"/>
    <w:uiPriority w:val="99"/>
    <w:rsid w:val="003F0322"/>
    <w:rPr>
      <w:rFonts w:ascii="Symbol" w:hAnsi="Symbol"/>
    </w:rPr>
  </w:style>
  <w:style w:type="character" w:customStyle="1" w:styleId="WW8Num19z1">
    <w:name w:val="WW8Num19z1"/>
    <w:uiPriority w:val="99"/>
    <w:rsid w:val="003F0322"/>
    <w:rPr>
      <w:rFonts w:ascii="Courier New" w:hAnsi="Courier New"/>
    </w:rPr>
  </w:style>
  <w:style w:type="character" w:customStyle="1" w:styleId="WW8Num19z2">
    <w:name w:val="WW8Num19z2"/>
    <w:uiPriority w:val="99"/>
    <w:rsid w:val="003F0322"/>
    <w:rPr>
      <w:rFonts w:ascii="Wingdings" w:hAnsi="Wingdings"/>
    </w:rPr>
  </w:style>
  <w:style w:type="character" w:customStyle="1" w:styleId="WW8Num21z0">
    <w:name w:val="WW8Num21z0"/>
    <w:uiPriority w:val="99"/>
    <w:rsid w:val="003F0322"/>
    <w:rPr>
      <w:rFonts w:ascii="Symbol" w:hAnsi="Symbol"/>
    </w:rPr>
  </w:style>
  <w:style w:type="character" w:customStyle="1" w:styleId="WW8Num21z1">
    <w:name w:val="WW8Num21z1"/>
    <w:uiPriority w:val="99"/>
    <w:rsid w:val="003F0322"/>
    <w:rPr>
      <w:rFonts w:ascii="Courier New" w:hAnsi="Courier New"/>
    </w:rPr>
  </w:style>
  <w:style w:type="character" w:customStyle="1" w:styleId="WW8Num21z2">
    <w:name w:val="WW8Num21z2"/>
    <w:uiPriority w:val="99"/>
    <w:rsid w:val="003F0322"/>
    <w:rPr>
      <w:rFonts w:ascii="Wingdings" w:hAnsi="Wingdings"/>
    </w:rPr>
  </w:style>
  <w:style w:type="character" w:customStyle="1" w:styleId="WW8NumSt7z0">
    <w:name w:val="WW8NumSt7z0"/>
    <w:uiPriority w:val="99"/>
    <w:rsid w:val="003F0322"/>
    <w:rPr>
      <w:rFonts w:ascii="Symbol" w:hAnsi="Symbol"/>
    </w:rPr>
  </w:style>
  <w:style w:type="character" w:customStyle="1" w:styleId="Predvolenpsmoodseku1">
    <w:name w:val="Predvolené písmo odseku1"/>
    <w:uiPriority w:val="99"/>
    <w:rsid w:val="003F0322"/>
  </w:style>
  <w:style w:type="character" w:styleId="PouitHypertextovPrepojenie">
    <w:name w:val="FollowedHyperlink"/>
    <w:uiPriority w:val="99"/>
    <w:rsid w:val="003F0322"/>
    <w:rPr>
      <w:rFonts w:cs="Times New Roman"/>
      <w:color w:val="800080"/>
      <w:u w:val="single"/>
    </w:rPr>
  </w:style>
  <w:style w:type="character" w:customStyle="1" w:styleId="PodtitulChar">
    <w:name w:val="Podtitul Char"/>
    <w:uiPriority w:val="99"/>
    <w:rsid w:val="003F0322"/>
    <w:rPr>
      <w:b/>
      <w:i/>
      <w:smallCaps/>
      <w:color w:val="000000"/>
      <w:sz w:val="28"/>
      <w:lang w:val="cs-CZ"/>
    </w:rPr>
  </w:style>
  <w:style w:type="character" w:customStyle="1" w:styleId="NzovChar">
    <w:name w:val="Názov Char"/>
    <w:rsid w:val="003F0322"/>
    <w:rPr>
      <w:rFonts w:ascii="Arial" w:hAnsi="Arial"/>
      <w:b/>
      <w:sz w:val="32"/>
    </w:rPr>
  </w:style>
  <w:style w:type="paragraph" w:styleId="Zoznam">
    <w:name w:val="List"/>
    <w:basedOn w:val="Zkladntext"/>
    <w:uiPriority w:val="99"/>
    <w:rsid w:val="003F0322"/>
    <w:pPr>
      <w:suppressAutoHyphens/>
      <w:autoSpaceDE/>
      <w:autoSpaceDN/>
    </w:pPr>
    <w:rPr>
      <w:rFonts w:cs="Mangal"/>
      <w:b w:val="0"/>
      <w:bCs w:val="0"/>
      <w:sz w:val="24"/>
      <w:szCs w:val="20"/>
      <w:lang w:val="sk-SK" w:eastAsia="zh-CN"/>
    </w:rPr>
  </w:style>
  <w:style w:type="paragraph" w:styleId="Popis">
    <w:name w:val="caption"/>
    <w:basedOn w:val="Normlny"/>
    <w:uiPriority w:val="35"/>
    <w:qFormat/>
    <w:rsid w:val="003F0322"/>
    <w:pPr>
      <w:widowControl/>
      <w:suppressLineNumbers/>
      <w:suppressAutoHyphens/>
      <w:spacing w:before="120" w:after="120"/>
    </w:pPr>
    <w:rPr>
      <w:rFonts w:cs="Mangal"/>
      <w:i/>
      <w:iCs/>
      <w:sz w:val="24"/>
      <w:szCs w:val="24"/>
      <w:lang w:eastAsia="zh-CN"/>
    </w:rPr>
  </w:style>
  <w:style w:type="paragraph" w:customStyle="1" w:styleId="Index">
    <w:name w:val="Index"/>
    <w:basedOn w:val="Normlny"/>
    <w:uiPriority w:val="99"/>
    <w:rsid w:val="003F0322"/>
    <w:pPr>
      <w:widowControl/>
      <w:suppressLineNumbers/>
      <w:suppressAutoHyphens/>
    </w:pPr>
    <w:rPr>
      <w:rFonts w:cs="Mangal"/>
      <w:lang w:eastAsia="zh-CN"/>
    </w:rPr>
  </w:style>
  <w:style w:type="paragraph" w:customStyle="1" w:styleId="Zkladntext21">
    <w:name w:val="Základní text 21"/>
    <w:basedOn w:val="Normlny"/>
    <w:rsid w:val="003F0322"/>
    <w:pPr>
      <w:widowControl/>
      <w:suppressAutoHyphens/>
      <w:jc w:val="both"/>
    </w:pPr>
    <w:rPr>
      <w:rFonts w:ascii="Arial" w:hAnsi="Arial" w:cs="Arial"/>
      <w:sz w:val="24"/>
      <w:lang w:eastAsia="zh-CN"/>
    </w:rPr>
  </w:style>
  <w:style w:type="paragraph" w:customStyle="1" w:styleId="Zkladntext31">
    <w:name w:val="Základní text 31"/>
    <w:basedOn w:val="Normlny"/>
    <w:uiPriority w:val="99"/>
    <w:rsid w:val="003F0322"/>
    <w:pPr>
      <w:widowControl/>
      <w:suppressAutoHyphens/>
      <w:spacing w:before="120"/>
      <w:jc w:val="both"/>
    </w:pPr>
    <w:rPr>
      <w:rFonts w:ascii="Arial" w:hAnsi="Arial" w:cs="Arial"/>
      <w:sz w:val="22"/>
      <w:lang w:eastAsia="zh-CN"/>
    </w:rPr>
  </w:style>
  <w:style w:type="paragraph" w:customStyle="1" w:styleId="Zkladntext210">
    <w:name w:val="Základný text 21"/>
    <w:basedOn w:val="Normlny"/>
    <w:uiPriority w:val="99"/>
    <w:rsid w:val="003F0322"/>
    <w:pPr>
      <w:widowControl/>
      <w:suppressAutoHyphens/>
      <w:spacing w:before="120" w:line="240" w:lineRule="atLeast"/>
      <w:jc w:val="both"/>
    </w:pPr>
    <w:rPr>
      <w:rFonts w:ascii="Arial" w:hAnsi="Arial" w:cs="Arial"/>
      <w:sz w:val="24"/>
      <w:lang w:val="cs-CZ" w:eastAsia="zh-CN"/>
    </w:rPr>
  </w:style>
  <w:style w:type="paragraph" w:customStyle="1" w:styleId="boris">
    <w:name w:val="boris"/>
    <w:rsid w:val="003F0322"/>
    <w:pPr>
      <w:suppressAutoHyphens/>
      <w:jc w:val="both"/>
    </w:pPr>
    <w:rPr>
      <w:rFonts w:ascii="Arial" w:eastAsia="Times New Roman" w:hAnsi="Arial" w:cs="Arial"/>
      <w:sz w:val="22"/>
      <w:lang w:eastAsia="zh-CN"/>
    </w:rPr>
  </w:style>
  <w:style w:type="paragraph" w:customStyle="1" w:styleId="Zarkazkladnhotextu21">
    <w:name w:val="Zarážka základného textu 21"/>
    <w:basedOn w:val="Normlny"/>
    <w:rsid w:val="003F0322"/>
    <w:pPr>
      <w:widowControl/>
      <w:suppressAutoHyphens/>
      <w:ind w:firstLine="720"/>
      <w:jc w:val="both"/>
    </w:pPr>
    <w:rPr>
      <w:sz w:val="24"/>
      <w:lang w:val="cs-CZ" w:eastAsia="zh-CN"/>
    </w:rPr>
  </w:style>
  <w:style w:type="paragraph" w:customStyle="1" w:styleId="Normlnweb1">
    <w:name w:val="Normální (web)1"/>
    <w:basedOn w:val="Normlny"/>
    <w:uiPriority w:val="99"/>
    <w:rsid w:val="003F0322"/>
    <w:pPr>
      <w:widowControl/>
      <w:suppressAutoHyphens/>
      <w:spacing w:before="144" w:after="144"/>
    </w:pPr>
    <w:rPr>
      <w:rFonts w:ascii="Arial Unicode MS" w:eastAsia="Arial Unicode MS" w:hAnsi="Arial Unicode MS" w:cs="Arial Unicode MS"/>
      <w:color w:val="000080"/>
      <w:sz w:val="24"/>
    </w:rPr>
  </w:style>
  <w:style w:type="paragraph" w:customStyle="1" w:styleId="Zkladntextodsazen31">
    <w:name w:val="Základní text odsazený 31"/>
    <w:basedOn w:val="Normlny"/>
    <w:uiPriority w:val="99"/>
    <w:rsid w:val="003F0322"/>
    <w:pPr>
      <w:widowControl/>
      <w:suppressAutoHyphens/>
      <w:overflowPunct w:val="0"/>
      <w:autoSpaceDE w:val="0"/>
      <w:ind w:firstLine="720"/>
      <w:jc w:val="both"/>
      <w:textAlignment w:val="baseline"/>
    </w:pPr>
    <w:rPr>
      <w:b/>
      <w:sz w:val="24"/>
    </w:rPr>
  </w:style>
  <w:style w:type="paragraph" w:customStyle="1" w:styleId="Zkladntext310">
    <w:name w:val="Základný text 31"/>
    <w:basedOn w:val="Normlny"/>
    <w:uiPriority w:val="99"/>
    <w:rsid w:val="003F0322"/>
    <w:pPr>
      <w:widowControl/>
      <w:suppressAutoHyphens/>
      <w:overflowPunct w:val="0"/>
      <w:autoSpaceDE w:val="0"/>
      <w:jc w:val="both"/>
      <w:textAlignment w:val="baseline"/>
    </w:pPr>
    <w:rPr>
      <w:sz w:val="22"/>
      <w:lang w:eastAsia="zh-CN"/>
    </w:rPr>
  </w:style>
  <w:style w:type="paragraph" w:customStyle="1" w:styleId="Oznaitext1">
    <w:name w:val="Označiť text1"/>
    <w:basedOn w:val="Normlny"/>
    <w:uiPriority w:val="99"/>
    <w:rsid w:val="003F0322"/>
    <w:pPr>
      <w:widowControl/>
      <w:tabs>
        <w:tab w:val="left" w:pos="0"/>
      </w:tabs>
      <w:suppressAutoHyphens/>
      <w:ind w:left="1797" w:right="-1423"/>
      <w:jc w:val="both"/>
    </w:pPr>
    <w:rPr>
      <w:rFonts w:ascii="Arial" w:hAnsi="Arial" w:cs="Arial"/>
      <w:sz w:val="24"/>
      <w:lang w:eastAsia="zh-CN"/>
    </w:rPr>
  </w:style>
  <w:style w:type="paragraph" w:customStyle="1" w:styleId="beznysty">
    <w:name w:val="bezny.sty"/>
    <w:uiPriority w:val="99"/>
    <w:rsid w:val="003F0322"/>
    <w:pPr>
      <w:suppressAutoHyphens/>
      <w:spacing w:before="120" w:line="360" w:lineRule="auto"/>
      <w:ind w:firstLine="505"/>
      <w:jc w:val="both"/>
    </w:pPr>
    <w:rPr>
      <w:rFonts w:ascii="Times New Roman" w:eastAsia="Times New Roman" w:hAnsi="Times New Roman"/>
      <w:color w:val="000000"/>
      <w:sz w:val="24"/>
      <w:lang w:eastAsia="zh-CN"/>
    </w:rPr>
  </w:style>
  <w:style w:type="paragraph" w:customStyle="1" w:styleId="Normlnysozarkami1">
    <w:name w:val="Normálny so zarážkami1"/>
    <w:basedOn w:val="Normlny"/>
    <w:uiPriority w:val="99"/>
    <w:rsid w:val="003F0322"/>
    <w:pPr>
      <w:widowControl/>
      <w:suppressAutoHyphens/>
      <w:spacing w:line="360" w:lineRule="auto"/>
      <w:ind w:firstLine="567"/>
      <w:jc w:val="both"/>
    </w:pPr>
    <w:rPr>
      <w:sz w:val="24"/>
      <w:lang w:eastAsia="zh-CN"/>
    </w:rPr>
  </w:style>
  <w:style w:type="paragraph" w:customStyle="1" w:styleId="Nadpis325">
    <w:name w:val="Nadpis 3.2(5)"/>
    <w:basedOn w:val="Normlny"/>
    <w:uiPriority w:val="99"/>
    <w:rsid w:val="003F0322"/>
    <w:pPr>
      <w:widowControl/>
      <w:tabs>
        <w:tab w:val="left" w:pos="5670"/>
        <w:tab w:val="left" w:pos="7938"/>
      </w:tabs>
      <w:suppressAutoHyphens/>
      <w:overflowPunct w:val="0"/>
      <w:autoSpaceDE w:val="0"/>
      <w:jc w:val="both"/>
      <w:textAlignment w:val="baseline"/>
    </w:pPr>
    <w:rPr>
      <w:rFonts w:ascii="Arial" w:hAnsi="Arial" w:cs="Arial"/>
      <w:i/>
      <w:sz w:val="24"/>
      <w:u w:val="single"/>
      <w:lang w:eastAsia="zh-CN"/>
    </w:rPr>
  </w:style>
  <w:style w:type="paragraph" w:customStyle="1" w:styleId="normlny-neodrazen">
    <w:name w:val="normálny-neodrazený"/>
    <w:basedOn w:val="Normlny"/>
    <w:uiPriority w:val="99"/>
    <w:rsid w:val="003F0322"/>
    <w:pPr>
      <w:widowControl/>
      <w:tabs>
        <w:tab w:val="left" w:pos="5670"/>
        <w:tab w:val="left" w:pos="7938"/>
      </w:tabs>
      <w:suppressAutoHyphens/>
      <w:overflowPunct w:val="0"/>
      <w:autoSpaceDE w:val="0"/>
      <w:spacing w:before="20" w:after="20"/>
      <w:jc w:val="both"/>
      <w:textAlignment w:val="baseline"/>
    </w:pPr>
    <w:rPr>
      <w:rFonts w:ascii="Arial" w:hAnsi="Arial" w:cs="Arial"/>
      <w:sz w:val="22"/>
      <w:lang w:eastAsia="zh-CN"/>
    </w:rPr>
  </w:style>
  <w:style w:type="paragraph" w:customStyle="1" w:styleId="F2-ZkladnText0">
    <w:name w:val="F2-Zŕkladn?Text"/>
    <w:basedOn w:val="Normlny"/>
    <w:uiPriority w:val="99"/>
    <w:rsid w:val="003F0322"/>
    <w:pPr>
      <w:suppressAutoHyphens/>
      <w:jc w:val="both"/>
    </w:pPr>
    <w:rPr>
      <w:sz w:val="24"/>
      <w:lang w:eastAsia="zh-CN"/>
    </w:rPr>
  </w:style>
  <w:style w:type="paragraph" w:customStyle="1" w:styleId="Zarkazkladnhotextu33">
    <w:name w:val="Zarážka základného textu 33"/>
    <w:basedOn w:val="Normlny"/>
    <w:uiPriority w:val="99"/>
    <w:rsid w:val="003F0322"/>
    <w:pPr>
      <w:widowControl/>
      <w:suppressAutoHyphens/>
      <w:overflowPunct w:val="0"/>
      <w:autoSpaceDE w:val="0"/>
      <w:spacing w:line="360" w:lineRule="auto"/>
      <w:ind w:firstLine="708"/>
      <w:jc w:val="both"/>
      <w:textAlignment w:val="baseline"/>
    </w:pPr>
    <w:rPr>
      <w:rFonts w:ascii="Arial" w:hAnsi="Arial" w:cs="Arial"/>
      <w:sz w:val="22"/>
      <w:lang w:eastAsia="zh-CN"/>
    </w:rPr>
  </w:style>
  <w:style w:type="paragraph" w:customStyle="1" w:styleId="Zkladntext22">
    <w:name w:val="Základný text 22"/>
    <w:basedOn w:val="Normlny"/>
    <w:uiPriority w:val="99"/>
    <w:rsid w:val="003F0322"/>
    <w:pPr>
      <w:widowControl/>
      <w:suppressAutoHyphens/>
      <w:overflowPunct w:val="0"/>
      <w:autoSpaceDE w:val="0"/>
      <w:spacing w:line="360" w:lineRule="auto"/>
      <w:ind w:left="709" w:hanging="709"/>
      <w:jc w:val="both"/>
      <w:textAlignment w:val="baseline"/>
    </w:pPr>
    <w:rPr>
      <w:rFonts w:ascii="Arial" w:hAnsi="Arial" w:cs="Arial"/>
      <w:sz w:val="22"/>
      <w:lang w:eastAsia="zh-CN"/>
    </w:rPr>
  </w:style>
  <w:style w:type="paragraph" w:customStyle="1" w:styleId="Zarkazkladnhotextu22">
    <w:name w:val="Zarážka základného textu 22"/>
    <w:basedOn w:val="Normlny"/>
    <w:uiPriority w:val="99"/>
    <w:rsid w:val="003F0322"/>
    <w:pPr>
      <w:widowControl/>
      <w:suppressAutoHyphens/>
      <w:overflowPunct w:val="0"/>
      <w:autoSpaceDE w:val="0"/>
      <w:spacing w:line="360" w:lineRule="auto"/>
      <w:ind w:left="284" w:firstLine="424"/>
      <w:jc w:val="both"/>
      <w:textAlignment w:val="baseline"/>
    </w:pPr>
    <w:rPr>
      <w:rFonts w:ascii="Arial" w:hAnsi="Arial" w:cs="Arial"/>
      <w:sz w:val="22"/>
      <w:lang w:eastAsia="zh-CN"/>
    </w:rPr>
  </w:style>
  <w:style w:type="paragraph" w:customStyle="1" w:styleId="BodyTextIndent31">
    <w:name w:val="Body Text Indent 31"/>
    <w:basedOn w:val="Normlny"/>
    <w:uiPriority w:val="99"/>
    <w:rsid w:val="003F0322"/>
    <w:pPr>
      <w:widowControl/>
      <w:suppressAutoHyphens/>
      <w:overflowPunct w:val="0"/>
      <w:autoSpaceDE w:val="0"/>
      <w:spacing w:line="360" w:lineRule="auto"/>
      <w:ind w:firstLine="708"/>
      <w:jc w:val="both"/>
      <w:textAlignment w:val="baseline"/>
    </w:pPr>
    <w:rPr>
      <w:rFonts w:ascii="Arial" w:hAnsi="Arial" w:cs="Arial"/>
      <w:sz w:val="22"/>
      <w:lang w:eastAsia="zh-CN"/>
    </w:rPr>
  </w:style>
  <w:style w:type="paragraph" w:styleId="Podtitul">
    <w:name w:val="Subtitle"/>
    <w:basedOn w:val="Normlny"/>
    <w:next w:val="Zkladntext"/>
    <w:link w:val="PodtitulChar1"/>
    <w:uiPriority w:val="99"/>
    <w:qFormat/>
    <w:rsid w:val="003F0322"/>
    <w:pPr>
      <w:suppressAutoHyphens/>
      <w:autoSpaceDE w:val="0"/>
      <w:jc w:val="center"/>
    </w:pPr>
    <w:rPr>
      <w:b/>
      <w:bCs/>
      <w:i/>
      <w:iCs/>
      <w:smallCaps/>
      <w:color w:val="000000"/>
      <w:sz w:val="28"/>
      <w:szCs w:val="28"/>
      <w:lang w:val="cs-CZ" w:eastAsia="zh-CN"/>
    </w:rPr>
  </w:style>
  <w:style w:type="character" w:customStyle="1" w:styleId="PodtitulChar1">
    <w:name w:val="Podtitul Char1"/>
    <w:link w:val="Podtitul"/>
    <w:uiPriority w:val="99"/>
    <w:locked/>
    <w:rsid w:val="003F0322"/>
    <w:rPr>
      <w:rFonts w:ascii="Times New Roman" w:hAnsi="Times New Roman" w:cs="Times New Roman"/>
      <w:b/>
      <w:bCs/>
      <w:i/>
      <w:iCs/>
      <w:smallCaps/>
      <w:color w:val="000000"/>
      <w:sz w:val="28"/>
      <w:szCs w:val="28"/>
      <w:lang w:val="cs-CZ" w:eastAsia="zh-CN"/>
    </w:rPr>
  </w:style>
  <w:style w:type="paragraph" w:customStyle="1" w:styleId="Obsahtabuky">
    <w:name w:val="Obsah tabuľky"/>
    <w:basedOn w:val="Normlny"/>
    <w:uiPriority w:val="99"/>
    <w:rsid w:val="003F0322"/>
    <w:pPr>
      <w:widowControl/>
      <w:suppressLineNumbers/>
      <w:suppressAutoHyphens/>
    </w:pPr>
    <w:rPr>
      <w:lang w:eastAsia="zh-CN"/>
    </w:rPr>
  </w:style>
  <w:style w:type="paragraph" w:customStyle="1" w:styleId="Nadpistabuky">
    <w:name w:val="Nadpis tabuľky"/>
    <w:basedOn w:val="Obsahtabuky"/>
    <w:uiPriority w:val="99"/>
    <w:rsid w:val="003F0322"/>
    <w:pPr>
      <w:jc w:val="center"/>
    </w:pPr>
    <w:rPr>
      <w:b/>
      <w:bCs/>
    </w:rPr>
  </w:style>
  <w:style w:type="character" w:styleId="slostrany">
    <w:name w:val="page number"/>
    <w:rsid w:val="003F0322"/>
    <w:rPr>
      <w:rFonts w:cs="Times New Roman"/>
    </w:rPr>
  </w:style>
  <w:style w:type="paragraph" w:customStyle="1" w:styleId="obsah">
    <w:name w:val="obsah"/>
    <w:basedOn w:val="Normlny"/>
    <w:uiPriority w:val="99"/>
    <w:rsid w:val="003F0322"/>
    <w:pPr>
      <w:widowControl/>
      <w:tabs>
        <w:tab w:val="left" w:pos="1418"/>
        <w:tab w:val="left" w:pos="7371"/>
      </w:tabs>
      <w:spacing w:after="100" w:afterAutospacing="1" w:line="240" w:lineRule="atLeast"/>
    </w:pPr>
    <w:rPr>
      <w:rFonts w:ascii="Arial" w:hAnsi="Arial"/>
      <w:sz w:val="22"/>
    </w:rPr>
  </w:style>
  <w:style w:type="paragraph" w:styleId="Normlnysozarkami">
    <w:name w:val="Normal Indent"/>
    <w:basedOn w:val="Normlny"/>
    <w:uiPriority w:val="99"/>
    <w:rsid w:val="003F0322"/>
    <w:pPr>
      <w:widowControl/>
      <w:spacing w:after="120"/>
      <w:ind w:left="709"/>
      <w:jc w:val="both"/>
    </w:pPr>
    <w:rPr>
      <w:rFonts w:ascii="Arial" w:hAnsi="Arial"/>
      <w:lang w:val="cs-CZ" w:eastAsia="cs-CZ"/>
    </w:rPr>
  </w:style>
  <w:style w:type="character" w:customStyle="1" w:styleId="il">
    <w:name w:val="il"/>
    <w:uiPriority w:val="99"/>
    <w:rsid w:val="003F0322"/>
    <w:rPr>
      <w:rFonts w:cs="Times New Roman"/>
    </w:rPr>
  </w:style>
  <w:style w:type="paragraph" w:customStyle="1" w:styleId="KKPODNADPIS1">
    <w:name w:val="KK PODNADPIS 1"/>
    <w:basedOn w:val="Nadpis1"/>
    <w:link w:val="KKPODNADPIS1Char"/>
    <w:uiPriority w:val="99"/>
    <w:rsid w:val="003F0322"/>
    <w:pPr>
      <w:numPr>
        <w:numId w:val="0"/>
      </w:numPr>
      <w:shd w:val="clear" w:color="auto" w:fill="auto"/>
      <w:tabs>
        <w:tab w:val="left" w:pos="3119"/>
        <w:tab w:val="left" w:pos="3402"/>
        <w:tab w:val="right" w:pos="6237"/>
      </w:tabs>
      <w:spacing w:after="120"/>
      <w:ind w:firstLine="1276"/>
    </w:pPr>
    <w:rPr>
      <w:bCs w:val="0"/>
      <w:caps/>
      <w:kern w:val="0"/>
      <w:sz w:val="24"/>
      <w:szCs w:val="22"/>
      <w:lang w:val="sk-SK"/>
    </w:rPr>
  </w:style>
  <w:style w:type="character" w:customStyle="1" w:styleId="KKPODNADPIS1Char">
    <w:name w:val="KK PODNADPIS 1 Char"/>
    <w:link w:val="KKPODNADPIS1"/>
    <w:uiPriority w:val="99"/>
    <w:locked/>
    <w:rsid w:val="003F0322"/>
    <w:rPr>
      <w:rFonts w:ascii="Arial" w:hAnsi="Arial" w:cs="Times New Roman"/>
      <w:b/>
      <w:caps/>
      <w:sz w:val="24"/>
    </w:rPr>
  </w:style>
  <w:style w:type="paragraph" w:customStyle="1" w:styleId="Zkladntext23">
    <w:name w:val="Základný text 23"/>
    <w:basedOn w:val="Normlny"/>
    <w:uiPriority w:val="99"/>
    <w:rsid w:val="003F0322"/>
    <w:pPr>
      <w:widowControl/>
      <w:suppressAutoHyphens/>
      <w:overflowPunct w:val="0"/>
      <w:autoSpaceDE w:val="0"/>
      <w:spacing w:line="360" w:lineRule="auto"/>
      <w:ind w:left="709" w:hanging="709"/>
      <w:jc w:val="both"/>
      <w:textAlignment w:val="baseline"/>
    </w:pPr>
    <w:rPr>
      <w:rFonts w:ascii="Arial" w:hAnsi="Arial" w:cs="Arial"/>
      <w:sz w:val="22"/>
      <w:lang w:eastAsia="zh-CN"/>
    </w:rPr>
  </w:style>
  <w:style w:type="paragraph" w:customStyle="1" w:styleId="Zarkazkladnhotextu34">
    <w:name w:val="Zarážka základného textu 34"/>
    <w:basedOn w:val="Normlny"/>
    <w:uiPriority w:val="99"/>
    <w:rsid w:val="003F0322"/>
    <w:pPr>
      <w:widowControl/>
      <w:suppressAutoHyphens/>
      <w:overflowPunct w:val="0"/>
      <w:autoSpaceDE w:val="0"/>
      <w:spacing w:line="360" w:lineRule="auto"/>
      <w:ind w:firstLine="708"/>
      <w:jc w:val="both"/>
      <w:textAlignment w:val="baseline"/>
    </w:pPr>
    <w:rPr>
      <w:rFonts w:ascii="Arial" w:hAnsi="Arial" w:cs="Arial"/>
      <w:sz w:val="22"/>
      <w:lang w:eastAsia="zh-CN"/>
    </w:rPr>
  </w:style>
  <w:style w:type="paragraph" w:customStyle="1" w:styleId="POPISPOLOZKY">
    <w:name w:val="POPIS POLOZKY"/>
    <w:basedOn w:val="Normlny"/>
    <w:link w:val="POPISPOLOZKYChar"/>
    <w:uiPriority w:val="99"/>
    <w:rsid w:val="003F0322"/>
    <w:pPr>
      <w:framePr w:hSpace="141" w:wrap="around" w:hAnchor="margin" w:y="420"/>
      <w:widowControl/>
      <w:spacing w:before="20"/>
    </w:pPr>
    <w:rPr>
      <w:rFonts w:ascii="Arial Narrow" w:eastAsia="Calibri" w:hAnsi="Arial Narrow"/>
      <w:sz w:val="16"/>
      <w:szCs w:val="16"/>
      <w:lang w:eastAsia="en-US"/>
    </w:rPr>
  </w:style>
  <w:style w:type="character" w:customStyle="1" w:styleId="POPISPOLOZKYChar">
    <w:name w:val="POPIS POLOZKY Char"/>
    <w:link w:val="POPISPOLOZKY"/>
    <w:uiPriority w:val="99"/>
    <w:locked/>
    <w:rsid w:val="003F0322"/>
    <w:rPr>
      <w:rFonts w:ascii="Arial Narrow" w:hAnsi="Arial Narrow" w:cs="Times New Roman"/>
      <w:sz w:val="16"/>
      <w:szCs w:val="16"/>
    </w:rPr>
  </w:style>
  <w:style w:type="paragraph" w:customStyle="1" w:styleId="SOUBORNAZEV">
    <w:name w:val="SOUBOR NAZEV"/>
    <w:basedOn w:val="POPISPOLOZKY"/>
    <w:link w:val="SOUBORNAZEVChar"/>
    <w:uiPriority w:val="99"/>
    <w:rsid w:val="003F0322"/>
    <w:pPr>
      <w:framePr w:wrap="around"/>
      <w:jc w:val="center"/>
    </w:pPr>
    <w:rPr>
      <w:sz w:val="38"/>
    </w:rPr>
  </w:style>
  <w:style w:type="character" w:customStyle="1" w:styleId="SOUBORNAZEVChar">
    <w:name w:val="SOUBOR NAZEV Char"/>
    <w:link w:val="SOUBORNAZEV"/>
    <w:uiPriority w:val="99"/>
    <w:locked/>
    <w:rsid w:val="003F0322"/>
    <w:rPr>
      <w:rFonts w:ascii="Arial Narrow" w:hAnsi="Arial Narrow" w:cs="Times New Roman"/>
      <w:sz w:val="16"/>
      <w:szCs w:val="16"/>
    </w:rPr>
  </w:style>
  <w:style w:type="paragraph" w:customStyle="1" w:styleId="MALEPOLOZKY">
    <w:name w:val="MALE POLOZKY"/>
    <w:basedOn w:val="SOUBORNAZEV"/>
    <w:link w:val="MALEPOLOZKYChar"/>
    <w:uiPriority w:val="99"/>
    <w:rsid w:val="003F0322"/>
    <w:pPr>
      <w:framePr w:wrap="around"/>
      <w:jc w:val="left"/>
    </w:pPr>
    <w:rPr>
      <w:sz w:val="24"/>
    </w:rPr>
  </w:style>
  <w:style w:type="character" w:customStyle="1" w:styleId="MALEPOLOZKYChar">
    <w:name w:val="MALE POLOZKY Char"/>
    <w:link w:val="MALEPOLOZKY"/>
    <w:uiPriority w:val="99"/>
    <w:locked/>
    <w:rsid w:val="003F0322"/>
    <w:rPr>
      <w:rFonts w:ascii="Arial Narrow" w:hAnsi="Arial Narrow" w:cs="Times New Roman"/>
      <w:sz w:val="16"/>
      <w:szCs w:val="16"/>
    </w:rPr>
  </w:style>
  <w:style w:type="paragraph" w:customStyle="1" w:styleId="SOUBORPOPIS">
    <w:name w:val="SOUBOR POPIS"/>
    <w:basedOn w:val="POPISPOLOZKY"/>
    <w:link w:val="SOUBORPOPISChar"/>
    <w:uiPriority w:val="99"/>
    <w:rsid w:val="003F0322"/>
    <w:pPr>
      <w:framePr w:wrap="around"/>
      <w:jc w:val="center"/>
    </w:pPr>
    <w:rPr>
      <w:sz w:val="14"/>
    </w:rPr>
  </w:style>
  <w:style w:type="character" w:customStyle="1" w:styleId="SOUBORPOPISChar">
    <w:name w:val="SOUBOR POPIS Char"/>
    <w:link w:val="SOUBORPOPIS"/>
    <w:uiPriority w:val="99"/>
    <w:locked/>
    <w:rsid w:val="003F0322"/>
    <w:rPr>
      <w:rFonts w:ascii="Arial Narrow" w:hAnsi="Arial Narrow" w:cs="Times New Roman"/>
      <w:sz w:val="16"/>
      <w:szCs w:val="16"/>
    </w:rPr>
  </w:style>
  <w:style w:type="paragraph" w:customStyle="1" w:styleId="VELKEPOLOZKY">
    <w:name w:val="VELKE POLOZKY"/>
    <w:basedOn w:val="MALEPOLOZKY"/>
    <w:link w:val="VELKEPOLOZKYChar"/>
    <w:uiPriority w:val="99"/>
    <w:rsid w:val="003F0322"/>
    <w:pPr>
      <w:framePr w:wrap="around"/>
    </w:pPr>
    <w:rPr>
      <w:sz w:val="38"/>
    </w:rPr>
  </w:style>
  <w:style w:type="character" w:customStyle="1" w:styleId="VELKEPOLOZKYChar">
    <w:name w:val="VELKE POLOZKY Char"/>
    <w:link w:val="VELKEPOLOZKY"/>
    <w:uiPriority w:val="99"/>
    <w:locked/>
    <w:rsid w:val="003F0322"/>
    <w:rPr>
      <w:rFonts w:ascii="Arial Narrow" w:hAnsi="Arial Narrow" w:cs="Times New Roman"/>
      <w:sz w:val="16"/>
      <w:szCs w:val="16"/>
    </w:rPr>
  </w:style>
  <w:style w:type="paragraph" w:styleId="Nzov">
    <w:name w:val="Title"/>
    <w:basedOn w:val="Normlny"/>
    <w:next w:val="Normlny"/>
    <w:link w:val="NzovChar1"/>
    <w:qFormat/>
    <w:rsid w:val="003F0322"/>
    <w:pPr>
      <w:widowControl/>
      <w:ind w:left="567" w:firstLine="709"/>
      <w:contextualSpacing/>
      <w:jc w:val="both"/>
    </w:pPr>
    <w:rPr>
      <w:rFonts w:ascii="Calibri Light" w:hAnsi="Calibri Light"/>
      <w:spacing w:val="-10"/>
      <w:kern w:val="28"/>
      <w:sz w:val="56"/>
      <w:szCs w:val="56"/>
      <w:lang w:eastAsia="en-US"/>
    </w:rPr>
  </w:style>
  <w:style w:type="character" w:customStyle="1" w:styleId="NzovChar1">
    <w:name w:val="Názov Char1"/>
    <w:link w:val="Nzov"/>
    <w:uiPriority w:val="99"/>
    <w:locked/>
    <w:rsid w:val="003F0322"/>
    <w:rPr>
      <w:rFonts w:ascii="Calibri Light" w:hAnsi="Calibri Light" w:cs="Times New Roman"/>
      <w:spacing w:val="-10"/>
      <w:kern w:val="28"/>
      <w:sz w:val="56"/>
      <w:szCs w:val="56"/>
    </w:rPr>
  </w:style>
  <w:style w:type="paragraph" w:customStyle="1" w:styleId="trojsloupec">
    <w:name w:val="trojsloupec"/>
    <w:basedOn w:val="Bezriadkovania"/>
    <w:uiPriority w:val="99"/>
    <w:rsid w:val="003F0322"/>
    <w:pPr>
      <w:tabs>
        <w:tab w:val="left" w:pos="5954"/>
        <w:tab w:val="right" w:pos="8222"/>
      </w:tabs>
      <w:suppressAutoHyphens w:val="0"/>
    </w:pPr>
    <w:rPr>
      <w:rFonts w:cs="Times New Roman"/>
      <w:lang w:eastAsia="en-US"/>
    </w:rPr>
  </w:style>
  <w:style w:type="paragraph" w:styleId="Textpoznmkypodiarou">
    <w:name w:val="footnote text"/>
    <w:basedOn w:val="Normlny"/>
    <w:link w:val="TextpoznmkypodiarouChar"/>
    <w:uiPriority w:val="99"/>
    <w:rsid w:val="003F0322"/>
    <w:pPr>
      <w:widowControl/>
      <w:spacing w:before="60"/>
      <w:jc w:val="both"/>
    </w:pPr>
    <w:rPr>
      <w:rFonts w:eastAsia="Calibri"/>
      <w:lang w:eastAsia="en-US"/>
    </w:rPr>
  </w:style>
  <w:style w:type="character" w:customStyle="1" w:styleId="TextpoznmkypodiarouChar">
    <w:name w:val="Text poznámky pod čiarou Char"/>
    <w:link w:val="Textpoznmkypodiarou"/>
    <w:uiPriority w:val="99"/>
    <w:locked/>
    <w:rsid w:val="003F0322"/>
    <w:rPr>
      <w:rFonts w:ascii="Times New Roman" w:hAnsi="Times New Roman" w:cs="Times New Roman"/>
      <w:sz w:val="20"/>
      <w:szCs w:val="20"/>
    </w:rPr>
  </w:style>
  <w:style w:type="paragraph" w:customStyle="1" w:styleId="odrka">
    <w:name w:val="odrážka"/>
    <w:basedOn w:val="Odsekzoznamu"/>
    <w:uiPriority w:val="99"/>
    <w:rsid w:val="003F0322"/>
    <w:pPr>
      <w:numPr>
        <w:numId w:val="16"/>
      </w:numPr>
      <w:tabs>
        <w:tab w:val="left" w:pos="3969"/>
        <w:tab w:val="right" w:pos="5670"/>
      </w:tabs>
      <w:spacing w:after="160" w:line="259" w:lineRule="auto"/>
    </w:pPr>
    <w:rPr>
      <w:rFonts w:ascii="Calibri" w:eastAsia="Calibri" w:hAnsi="Calibri"/>
      <w:sz w:val="22"/>
      <w:szCs w:val="22"/>
    </w:rPr>
  </w:style>
  <w:style w:type="paragraph" w:customStyle="1" w:styleId="Atext">
    <w:name w:val="A_text"/>
    <w:basedOn w:val="Zkladntext"/>
    <w:uiPriority w:val="99"/>
    <w:rsid w:val="003F0322"/>
    <w:pPr>
      <w:autoSpaceDE/>
      <w:autoSpaceDN/>
      <w:spacing w:line="276" w:lineRule="auto"/>
    </w:pPr>
    <w:rPr>
      <w:b w:val="0"/>
      <w:bCs w:val="0"/>
      <w:sz w:val="22"/>
      <w:szCs w:val="20"/>
      <w:lang w:val="sk-SK" w:eastAsia="sk-SK"/>
    </w:rPr>
  </w:style>
  <w:style w:type="paragraph" w:customStyle="1" w:styleId="CharCharCharCharCharCharChar">
    <w:name w:val="Char Char Char Char Char Char Char"/>
    <w:basedOn w:val="Normlny"/>
    <w:rsid w:val="00FC497D"/>
    <w:pPr>
      <w:widowControl/>
      <w:spacing w:after="160" w:line="240" w:lineRule="exact"/>
    </w:pPr>
    <w:rPr>
      <w:rFonts w:ascii="Tahoma" w:hAnsi="Tahoma"/>
      <w:lang w:val="en-US" w:eastAsia="en-US"/>
    </w:rPr>
  </w:style>
  <w:style w:type="table" w:styleId="Mriekatabuky">
    <w:name w:val="Table Grid"/>
    <w:basedOn w:val="Normlnatabuka"/>
    <w:locked/>
    <w:rsid w:val="00F025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ln1">
    <w:name w:val="Normální1"/>
    <w:basedOn w:val="Normlny"/>
    <w:rsid w:val="009F1D55"/>
  </w:style>
  <w:style w:type="character" w:customStyle="1" w:styleId="Nevyrieenzmienka2">
    <w:name w:val="Nevyriešená zmienka2"/>
    <w:uiPriority w:val="99"/>
    <w:semiHidden/>
    <w:unhideWhenUsed/>
    <w:rsid w:val="009D4F45"/>
    <w:rPr>
      <w:color w:val="808080"/>
      <w:shd w:val="clear" w:color="auto" w:fill="E6E6E6"/>
    </w:rPr>
  </w:style>
  <w:style w:type="paragraph" w:customStyle="1" w:styleId="tlPodaokrajaPrvriadok125cm">
    <w:name w:val="Štýl Podľa okraja Prvý riadok:  1.25 cm"/>
    <w:basedOn w:val="Normlny"/>
    <w:rsid w:val="00275605"/>
    <w:pPr>
      <w:widowControl/>
      <w:ind w:firstLine="709"/>
      <w:jc w:val="both"/>
    </w:pPr>
    <w:rPr>
      <w:sz w:val="24"/>
    </w:rPr>
  </w:style>
  <w:style w:type="paragraph" w:customStyle="1" w:styleId="tabulky">
    <w:name w:val="tabulky"/>
    <w:basedOn w:val="Normlny"/>
    <w:rsid w:val="0017496E"/>
    <w:pPr>
      <w:widowControl/>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18"/>
      <w:szCs w:val="16"/>
      <w:lang w:eastAsia="cs-CZ"/>
    </w:rPr>
  </w:style>
  <w:style w:type="paragraph" w:customStyle="1" w:styleId="BBSnormal">
    <w:name w:val="_BBS normal"/>
    <w:basedOn w:val="Normlny"/>
    <w:rsid w:val="0017496E"/>
    <w:pPr>
      <w:widowControl/>
      <w:jc w:val="both"/>
    </w:pPr>
    <w:rPr>
      <w:rFonts w:ascii="Arial" w:hAnsi="Arial" w:cs="Arial"/>
      <w:sz w:val="22"/>
      <w:lang w:val="cs-CZ" w:eastAsia="cs-CZ"/>
    </w:rPr>
  </w:style>
  <w:style w:type="paragraph" w:customStyle="1" w:styleId="f8-body">
    <w:name w:val="f8-body"/>
    <w:basedOn w:val="Normlny"/>
    <w:rsid w:val="0017496E"/>
    <w:pPr>
      <w:widowControl/>
      <w:spacing w:before="100" w:beforeAutospacing="1" w:after="100" w:afterAutospacing="1"/>
    </w:pPr>
    <w:rPr>
      <w:sz w:val="24"/>
      <w:szCs w:val="24"/>
      <w:lang w:eastAsia="cs-CZ"/>
    </w:rPr>
  </w:style>
  <w:style w:type="paragraph" w:customStyle="1" w:styleId="f3-odsek">
    <w:name w:val="f3-odsek"/>
    <w:basedOn w:val="Normlny"/>
    <w:rsid w:val="0017496E"/>
    <w:pPr>
      <w:widowControl/>
      <w:spacing w:before="100" w:beforeAutospacing="1" w:after="100" w:afterAutospacing="1"/>
    </w:pPr>
    <w:rPr>
      <w:sz w:val="24"/>
      <w:szCs w:val="24"/>
      <w:lang w:eastAsia="cs-CZ"/>
    </w:rPr>
  </w:style>
  <w:style w:type="paragraph" w:customStyle="1" w:styleId="DokOds">
    <w:name w:val="DokOds"/>
    <w:basedOn w:val="Normlny"/>
    <w:rsid w:val="0017496E"/>
    <w:pPr>
      <w:widowControl/>
      <w:spacing w:before="120" w:after="60"/>
      <w:ind w:left="284"/>
      <w:jc w:val="both"/>
    </w:pPr>
    <w:rPr>
      <w:rFonts w:ascii="Arial" w:hAnsi="Arial" w:cs="Arial"/>
      <w:lang w:eastAsia="cs-CZ"/>
    </w:rPr>
  </w:style>
  <w:style w:type="character" w:customStyle="1" w:styleId="LegalLevel11Char">
    <w:name w:val="Legal Level 1.1. Char"/>
    <w:rsid w:val="00F32CD5"/>
    <w:rPr>
      <w:rFonts w:ascii="Cambria" w:eastAsia="Times New Roman" w:hAnsi="Cambria" w:cs="Times New Roman"/>
      <w:i/>
      <w:iCs/>
      <w:color w:val="404040"/>
      <w:sz w:val="20"/>
      <w:szCs w:val="20"/>
      <w:lang w:eastAsia="sk-SK"/>
    </w:rPr>
  </w:style>
  <w:style w:type="paragraph" w:customStyle="1" w:styleId="3CBD5A742C28424DA5172AD252E32316">
    <w:name w:val="3CBD5A742C28424DA5172AD252E32316"/>
    <w:rsid w:val="00F32CD5"/>
    <w:pPr>
      <w:spacing w:after="200" w:line="276" w:lineRule="auto"/>
    </w:pPr>
    <w:rPr>
      <w:rFonts w:eastAsia="Times New Roman"/>
      <w:sz w:val="22"/>
      <w:szCs w:val="22"/>
    </w:rPr>
  </w:style>
  <w:style w:type="character" w:customStyle="1" w:styleId="Zkladntext0">
    <w:name w:val="Základný text_"/>
    <w:link w:val="Zkladntext30"/>
    <w:rsid w:val="00F32CD5"/>
    <w:rPr>
      <w:rFonts w:ascii="Arial" w:eastAsia="Arial" w:hAnsi="Arial" w:cs="Arial"/>
      <w:shd w:val="clear" w:color="auto" w:fill="FFFFFF"/>
    </w:rPr>
  </w:style>
  <w:style w:type="paragraph" w:customStyle="1" w:styleId="Zkladntext30">
    <w:name w:val="Základný text3"/>
    <w:basedOn w:val="Normlny"/>
    <w:link w:val="Zkladntext0"/>
    <w:rsid w:val="00F32CD5"/>
    <w:pPr>
      <w:shd w:val="clear" w:color="auto" w:fill="FFFFFF"/>
      <w:spacing w:before="300" w:after="60" w:line="379" w:lineRule="exact"/>
      <w:jc w:val="both"/>
    </w:pPr>
    <w:rPr>
      <w:rFonts w:ascii="Arial" w:eastAsia="Arial" w:hAnsi="Arial" w:cs="Arial"/>
    </w:rPr>
  </w:style>
  <w:style w:type="character" w:styleId="Odkaznakomentr">
    <w:name w:val="annotation reference"/>
    <w:semiHidden/>
    <w:unhideWhenUsed/>
    <w:rsid w:val="00F32CD5"/>
    <w:rPr>
      <w:sz w:val="16"/>
      <w:szCs w:val="16"/>
    </w:rPr>
  </w:style>
  <w:style w:type="paragraph" w:styleId="Predmetkomentra">
    <w:name w:val="annotation subject"/>
    <w:basedOn w:val="Textkomentra"/>
    <w:next w:val="Textkomentra"/>
    <w:link w:val="PredmetkomentraChar"/>
    <w:uiPriority w:val="99"/>
    <w:semiHidden/>
    <w:unhideWhenUsed/>
    <w:rsid w:val="00F32CD5"/>
    <w:pPr>
      <w:widowControl/>
      <w:suppressAutoHyphens w:val="0"/>
    </w:pPr>
    <w:rPr>
      <w:rFonts w:eastAsia="Times New Roman"/>
      <w:b/>
      <w:bCs/>
      <w:sz w:val="20"/>
      <w:szCs w:val="20"/>
    </w:rPr>
  </w:style>
  <w:style w:type="character" w:customStyle="1" w:styleId="PredmetkomentraChar">
    <w:name w:val="Predmet komentára Char"/>
    <w:link w:val="Predmetkomentra"/>
    <w:uiPriority w:val="99"/>
    <w:semiHidden/>
    <w:rsid w:val="00F32CD5"/>
    <w:rPr>
      <w:rFonts w:ascii="Times New Roman" w:eastAsia="Times New Roman" w:hAnsi="Times New Roman" w:cs="Times New Roman"/>
      <w:b/>
      <w:bCs/>
      <w:sz w:val="24"/>
      <w:szCs w:val="24"/>
      <w:lang w:eastAsia="sk-SK"/>
    </w:rPr>
  </w:style>
  <w:style w:type="numbering" w:customStyle="1" w:styleId="Bezzoznamu1">
    <w:name w:val="Bez zoznamu1"/>
    <w:next w:val="Bezzoznamu"/>
    <w:uiPriority w:val="99"/>
    <w:semiHidden/>
    <w:unhideWhenUsed/>
    <w:rsid w:val="00F32CD5"/>
  </w:style>
  <w:style w:type="paragraph" w:customStyle="1" w:styleId="Normln10">
    <w:name w:val="Normální1"/>
    <w:basedOn w:val="Normlny"/>
    <w:rsid w:val="00F32CD5"/>
  </w:style>
  <w:style w:type="table" w:customStyle="1" w:styleId="Mriekatabuky1">
    <w:name w:val="Mriežka tabuľky1"/>
    <w:basedOn w:val="Normlnatabuka"/>
    <w:next w:val="Mriekatabuky"/>
    <w:rsid w:val="00F32CD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1">
    <w:name w:val="Styl1"/>
    <w:basedOn w:val="Normlny"/>
    <w:rsid w:val="00F32CD5"/>
    <w:pPr>
      <w:widowControl/>
      <w:spacing w:before="120" w:after="120" w:line="360" w:lineRule="atLeast"/>
      <w:jc w:val="both"/>
    </w:pPr>
    <w:rPr>
      <w:sz w:val="24"/>
      <w:lang w:val="cs-CZ" w:eastAsia="cs-CZ"/>
    </w:rPr>
  </w:style>
  <w:style w:type="character" w:customStyle="1" w:styleId="OdsekzoznamuChar">
    <w:name w:val="Odsek zoznamu Char"/>
    <w:link w:val="Odsekzoznamu"/>
    <w:uiPriority w:val="34"/>
    <w:locked/>
    <w:rsid w:val="00D26017"/>
    <w:rPr>
      <w:rFonts w:ascii="Arial Narrow" w:eastAsia="Times New Roman" w:hAnsi="Arial Narrow"/>
      <w:szCs w:val="24"/>
      <w:lang w:eastAsia="en-US"/>
    </w:rPr>
  </w:style>
  <w:style w:type="character" w:customStyle="1" w:styleId="A-Text11Char">
    <w:name w:val="A-Text11 Char"/>
    <w:link w:val="A-Text11"/>
    <w:locked/>
    <w:rsid w:val="00D21B63"/>
    <w:rPr>
      <w:rFonts w:ascii="Arial" w:eastAsia="Times New Roman" w:hAnsi="Arial" w:cs="Arial"/>
      <w:sz w:val="22"/>
      <w:szCs w:val="22"/>
      <w:lang w:eastAsia="en-US"/>
    </w:rPr>
  </w:style>
  <w:style w:type="paragraph" w:customStyle="1" w:styleId="A-Text11">
    <w:name w:val="A-Text11"/>
    <w:basedOn w:val="Normlny"/>
    <w:link w:val="A-Text11Char"/>
    <w:qFormat/>
    <w:rsid w:val="00D21B63"/>
    <w:pPr>
      <w:widowControl/>
      <w:spacing w:before="120" w:line="276" w:lineRule="auto"/>
      <w:ind w:firstLine="426"/>
      <w:jc w:val="both"/>
    </w:pPr>
    <w:rPr>
      <w:rFonts w:ascii="Arial" w:hAnsi="Arial" w:cs="Arial"/>
      <w:sz w:val="22"/>
      <w:szCs w:val="22"/>
      <w:lang w:eastAsia="en-US"/>
    </w:rPr>
  </w:style>
  <w:style w:type="character" w:styleId="Nevyrieenzmienka">
    <w:name w:val="Unresolved Mention"/>
    <w:uiPriority w:val="99"/>
    <w:semiHidden/>
    <w:unhideWhenUsed/>
    <w:rsid w:val="001413C2"/>
    <w:rPr>
      <w:color w:val="605E5C"/>
      <w:shd w:val="clear" w:color="auto" w:fill="E1DFDD"/>
    </w:rPr>
  </w:style>
  <w:style w:type="paragraph" w:customStyle="1" w:styleId="Normln">
    <w:name w:val="Normální"/>
    <w:basedOn w:val="Normlny"/>
    <w:rsid w:val="00487572"/>
  </w:style>
  <w:style w:type="paragraph" w:customStyle="1" w:styleId="CM61">
    <w:name w:val="CM61"/>
    <w:basedOn w:val="Normlny"/>
    <w:uiPriority w:val="99"/>
    <w:rsid w:val="007B13AE"/>
    <w:pPr>
      <w:widowControl/>
      <w:autoSpaceDE w:val="0"/>
      <w:autoSpaceDN w:val="0"/>
    </w:pPr>
    <w:rPr>
      <w:rFonts w:ascii="Calibri" w:eastAsia="Calibri" w:hAnsi="Calibri" w:cs="Calibri"/>
      <w:sz w:val="24"/>
      <w:szCs w:val="24"/>
    </w:rPr>
  </w:style>
  <w:style w:type="table" w:customStyle="1" w:styleId="TableGrid">
    <w:name w:val="TableGrid"/>
    <w:rsid w:val="00540F7F"/>
    <w:rPr>
      <w:rFonts w:eastAsia="Times New Roman"/>
      <w:sz w:val="22"/>
      <w:szCs w:val="22"/>
    </w:rPr>
    <w:tblPr>
      <w:tblCellMar>
        <w:top w:w="0" w:type="dxa"/>
        <w:left w:w="0" w:type="dxa"/>
        <w:bottom w:w="0" w:type="dxa"/>
        <w:right w:w="0" w:type="dxa"/>
      </w:tblCellMar>
    </w:tblPr>
  </w:style>
  <w:style w:type="character" w:customStyle="1" w:styleId="Zdraznnjemn1">
    <w:name w:val="Zdůraznění – jemné1"/>
    <w:rsid w:val="008853F5"/>
    <w:rPr>
      <w:rFonts w:ascii="Calibri" w:hAnsi="Calibri" w:cs="Calibri" w:hint="default"/>
      <w:i/>
      <w:iCs/>
      <w:color w:val="auto"/>
      <w:sz w:val="20"/>
      <w:u w:val="single"/>
    </w:rPr>
  </w:style>
  <w:style w:type="paragraph" w:customStyle="1" w:styleId="3rovenadpis">
    <w:name w:val="3 úroveň nadpis"/>
    <w:basedOn w:val="Nadpis3"/>
    <w:link w:val="3rovenadpisChar"/>
    <w:qFormat/>
    <w:rsid w:val="00B515AB"/>
    <w:pPr>
      <w:numPr>
        <w:ilvl w:val="2"/>
        <w:numId w:val="1"/>
      </w:numPr>
      <w:spacing w:before="240" w:after="120"/>
      <w:ind w:left="0" w:firstLine="0"/>
    </w:pPr>
    <w:rPr>
      <w:caps w:val="0"/>
      <w:sz w:val="28"/>
    </w:rPr>
  </w:style>
  <w:style w:type="character" w:customStyle="1" w:styleId="3rovenadpisChar">
    <w:name w:val="3 úroveň nadpis Char"/>
    <w:basedOn w:val="Nadpis3Char"/>
    <w:link w:val="3rovenadpis"/>
    <w:rsid w:val="00B515AB"/>
    <w:rPr>
      <w:rFonts w:ascii="Arial" w:eastAsia="MS Mincho" w:hAnsi="Arial" w:cs="Times New Roman"/>
      <w:b/>
      <w:iCs/>
      <w:caps w:val="0"/>
      <w:sz w:val="28"/>
      <w:szCs w:val="20"/>
      <w:lang w:eastAsia="cs-CZ"/>
    </w:rPr>
  </w:style>
  <w:style w:type="paragraph" w:customStyle="1" w:styleId="paragraph">
    <w:name w:val="paragraph"/>
    <w:basedOn w:val="Normlny"/>
    <w:rsid w:val="00590C44"/>
    <w:pPr>
      <w:widowControl/>
      <w:spacing w:before="100" w:beforeAutospacing="1" w:after="100" w:afterAutospacing="1"/>
    </w:pPr>
    <w:rPr>
      <w:sz w:val="24"/>
      <w:szCs w:val="24"/>
    </w:rPr>
  </w:style>
  <w:style w:type="character" w:customStyle="1" w:styleId="normaltextrun">
    <w:name w:val="normaltextrun"/>
    <w:basedOn w:val="Predvolenpsmoodseku"/>
    <w:rsid w:val="00590C44"/>
  </w:style>
  <w:style w:type="character" w:customStyle="1" w:styleId="eop">
    <w:name w:val="eop"/>
    <w:basedOn w:val="Predvolenpsmoodseku"/>
    <w:rsid w:val="00590C44"/>
  </w:style>
  <w:style w:type="character" w:customStyle="1" w:styleId="spellingerror">
    <w:name w:val="spellingerror"/>
    <w:basedOn w:val="Predvolenpsmoodseku"/>
    <w:rsid w:val="00590C44"/>
  </w:style>
  <w:style w:type="character" w:customStyle="1" w:styleId="pagebreaktextspan">
    <w:name w:val="pagebreaktextspan"/>
    <w:basedOn w:val="Predvolenpsmoodseku"/>
    <w:rsid w:val="00590C44"/>
  </w:style>
  <w:style w:type="table" w:styleId="Strednzoznam1zvraznenie5">
    <w:name w:val="Medium List 1 Accent 5"/>
    <w:basedOn w:val="Normlnatabuka"/>
    <w:uiPriority w:val="65"/>
    <w:rsid w:val="00DA613E"/>
    <w:rPr>
      <w:rFonts w:ascii="Times New Roman" w:eastAsia="Times New Roman" w:hAnsi="Times New Roman"/>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paragraph" w:styleId="PredformtovanHTML">
    <w:name w:val="HTML Preformatted"/>
    <w:basedOn w:val="Normlny"/>
    <w:link w:val="PredformtovanHTMLChar"/>
    <w:uiPriority w:val="99"/>
    <w:rsid w:val="006213C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PredformtovanHTMLChar">
    <w:name w:val="Predformátované HTML Char"/>
    <w:basedOn w:val="Predvolenpsmoodseku"/>
    <w:link w:val="PredformtovanHTML"/>
    <w:uiPriority w:val="99"/>
    <w:rsid w:val="006213CA"/>
    <w:rPr>
      <w:rFonts w:ascii="Courier New" w:eastAsia="Times New Roman"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37504">
      <w:bodyDiv w:val="1"/>
      <w:marLeft w:val="0"/>
      <w:marRight w:val="0"/>
      <w:marTop w:val="0"/>
      <w:marBottom w:val="0"/>
      <w:divBdr>
        <w:top w:val="none" w:sz="0" w:space="0" w:color="auto"/>
        <w:left w:val="none" w:sz="0" w:space="0" w:color="auto"/>
        <w:bottom w:val="none" w:sz="0" w:space="0" w:color="auto"/>
        <w:right w:val="none" w:sz="0" w:space="0" w:color="auto"/>
      </w:divBdr>
    </w:div>
    <w:div w:id="7873515">
      <w:bodyDiv w:val="1"/>
      <w:marLeft w:val="0"/>
      <w:marRight w:val="0"/>
      <w:marTop w:val="0"/>
      <w:marBottom w:val="0"/>
      <w:divBdr>
        <w:top w:val="none" w:sz="0" w:space="0" w:color="auto"/>
        <w:left w:val="none" w:sz="0" w:space="0" w:color="auto"/>
        <w:bottom w:val="none" w:sz="0" w:space="0" w:color="auto"/>
        <w:right w:val="none" w:sz="0" w:space="0" w:color="auto"/>
      </w:divBdr>
    </w:div>
    <w:div w:id="17775720">
      <w:bodyDiv w:val="1"/>
      <w:marLeft w:val="0"/>
      <w:marRight w:val="0"/>
      <w:marTop w:val="0"/>
      <w:marBottom w:val="0"/>
      <w:divBdr>
        <w:top w:val="none" w:sz="0" w:space="0" w:color="auto"/>
        <w:left w:val="none" w:sz="0" w:space="0" w:color="auto"/>
        <w:bottom w:val="none" w:sz="0" w:space="0" w:color="auto"/>
        <w:right w:val="none" w:sz="0" w:space="0" w:color="auto"/>
      </w:divBdr>
    </w:div>
    <w:div w:id="53159452">
      <w:bodyDiv w:val="1"/>
      <w:marLeft w:val="0"/>
      <w:marRight w:val="0"/>
      <w:marTop w:val="0"/>
      <w:marBottom w:val="0"/>
      <w:divBdr>
        <w:top w:val="none" w:sz="0" w:space="0" w:color="auto"/>
        <w:left w:val="none" w:sz="0" w:space="0" w:color="auto"/>
        <w:bottom w:val="none" w:sz="0" w:space="0" w:color="auto"/>
        <w:right w:val="none" w:sz="0" w:space="0" w:color="auto"/>
      </w:divBdr>
    </w:div>
    <w:div w:id="57097688">
      <w:bodyDiv w:val="1"/>
      <w:marLeft w:val="0"/>
      <w:marRight w:val="0"/>
      <w:marTop w:val="0"/>
      <w:marBottom w:val="0"/>
      <w:divBdr>
        <w:top w:val="none" w:sz="0" w:space="0" w:color="auto"/>
        <w:left w:val="none" w:sz="0" w:space="0" w:color="auto"/>
        <w:bottom w:val="none" w:sz="0" w:space="0" w:color="auto"/>
        <w:right w:val="none" w:sz="0" w:space="0" w:color="auto"/>
      </w:divBdr>
    </w:div>
    <w:div w:id="59326277">
      <w:bodyDiv w:val="1"/>
      <w:marLeft w:val="0"/>
      <w:marRight w:val="0"/>
      <w:marTop w:val="0"/>
      <w:marBottom w:val="0"/>
      <w:divBdr>
        <w:top w:val="none" w:sz="0" w:space="0" w:color="auto"/>
        <w:left w:val="none" w:sz="0" w:space="0" w:color="auto"/>
        <w:bottom w:val="none" w:sz="0" w:space="0" w:color="auto"/>
        <w:right w:val="none" w:sz="0" w:space="0" w:color="auto"/>
      </w:divBdr>
    </w:div>
    <w:div w:id="76900214">
      <w:bodyDiv w:val="1"/>
      <w:marLeft w:val="0"/>
      <w:marRight w:val="0"/>
      <w:marTop w:val="0"/>
      <w:marBottom w:val="0"/>
      <w:divBdr>
        <w:top w:val="none" w:sz="0" w:space="0" w:color="auto"/>
        <w:left w:val="none" w:sz="0" w:space="0" w:color="auto"/>
        <w:bottom w:val="none" w:sz="0" w:space="0" w:color="auto"/>
        <w:right w:val="none" w:sz="0" w:space="0" w:color="auto"/>
      </w:divBdr>
    </w:div>
    <w:div w:id="80764768">
      <w:bodyDiv w:val="1"/>
      <w:marLeft w:val="0"/>
      <w:marRight w:val="0"/>
      <w:marTop w:val="0"/>
      <w:marBottom w:val="0"/>
      <w:divBdr>
        <w:top w:val="none" w:sz="0" w:space="0" w:color="auto"/>
        <w:left w:val="none" w:sz="0" w:space="0" w:color="auto"/>
        <w:bottom w:val="none" w:sz="0" w:space="0" w:color="auto"/>
        <w:right w:val="none" w:sz="0" w:space="0" w:color="auto"/>
      </w:divBdr>
    </w:div>
    <w:div w:id="103306682">
      <w:bodyDiv w:val="1"/>
      <w:marLeft w:val="0"/>
      <w:marRight w:val="0"/>
      <w:marTop w:val="0"/>
      <w:marBottom w:val="0"/>
      <w:divBdr>
        <w:top w:val="none" w:sz="0" w:space="0" w:color="auto"/>
        <w:left w:val="none" w:sz="0" w:space="0" w:color="auto"/>
        <w:bottom w:val="none" w:sz="0" w:space="0" w:color="auto"/>
        <w:right w:val="none" w:sz="0" w:space="0" w:color="auto"/>
      </w:divBdr>
    </w:div>
    <w:div w:id="105348594">
      <w:bodyDiv w:val="1"/>
      <w:marLeft w:val="0"/>
      <w:marRight w:val="0"/>
      <w:marTop w:val="0"/>
      <w:marBottom w:val="0"/>
      <w:divBdr>
        <w:top w:val="none" w:sz="0" w:space="0" w:color="auto"/>
        <w:left w:val="none" w:sz="0" w:space="0" w:color="auto"/>
        <w:bottom w:val="none" w:sz="0" w:space="0" w:color="auto"/>
        <w:right w:val="none" w:sz="0" w:space="0" w:color="auto"/>
      </w:divBdr>
    </w:div>
    <w:div w:id="125706929">
      <w:bodyDiv w:val="1"/>
      <w:marLeft w:val="0"/>
      <w:marRight w:val="0"/>
      <w:marTop w:val="0"/>
      <w:marBottom w:val="0"/>
      <w:divBdr>
        <w:top w:val="none" w:sz="0" w:space="0" w:color="auto"/>
        <w:left w:val="none" w:sz="0" w:space="0" w:color="auto"/>
        <w:bottom w:val="none" w:sz="0" w:space="0" w:color="auto"/>
        <w:right w:val="none" w:sz="0" w:space="0" w:color="auto"/>
      </w:divBdr>
    </w:div>
    <w:div w:id="156045396">
      <w:bodyDiv w:val="1"/>
      <w:marLeft w:val="0"/>
      <w:marRight w:val="0"/>
      <w:marTop w:val="0"/>
      <w:marBottom w:val="0"/>
      <w:divBdr>
        <w:top w:val="none" w:sz="0" w:space="0" w:color="auto"/>
        <w:left w:val="none" w:sz="0" w:space="0" w:color="auto"/>
        <w:bottom w:val="none" w:sz="0" w:space="0" w:color="auto"/>
        <w:right w:val="none" w:sz="0" w:space="0" w:color="auto"/>
      </w:divBdr>
    </w:div>
    <w:div w:id="174420897">
      <w:bodyDiv w:val="1"/>
      <w:marLeft w:val="0"/>
      <w:marRight w:val="0"/>
      <w:marTop w:val="0"/>
      <w:marBottom w:val="0"/>
      <w:divBdr>
        <w:top w:val="none" w:sz="0" w:space="0" w:color="auto"/>
        <w:left w:val="none" w:sz="0" w:space="0" w:color="auto"/>
        <w:bottom w:val="none" w:sz="0" w:space="0" w:color="auto"/>
        <w:right w:val="none" w:sz="0" w:space="0" w:color="auto"/>
      </w:divBdr>
    </w:div>
    <w:div w:id="184953204">
      <w:bodyDiv w:val="1"/>
      <w:marLeft w:val="0"/>
      <w:marRight w:val="0"/>
      <w:marTop w:val="0"/>
      <w:marBottom w:val="0"/>
      <w:divBdr>
        <w:top w:val="none" w:sz="0" w:space="0" w:color="auto"/>
        <w:left w:val="none" w:sz="0" w:space="0" w:color="auto"/>
        <w:bottom w:val="none" w:sz="0" w:space="0" w:color="auto"/>
        <w:right w:val="none" w:sz="0" w:space="0" w:color="auto"/>
      </w:divBdr>
    </w:div>
    <w:div w:id="185949060">
      <w:bodyDiv w:val="1"/>
      <w:marLeft w:val="0"/>
      <w:marRight w:val="0"/>
      <w:marTop w:val="0"/>
      <w:marBottom w:val="0"/>
      <w:divBdr>
        <w:top w:val="none" w:sz="0" w:space="0" w:color="auto"/>
        <w:left w:val="none" w:sz="0" w:space="0" w:color="auto"/>
        <w:bottom w:val="none" w:sz="0" w:space="0" w:color="auto"/>
        <w:right w:val="none" w:sz="0" w:space="0" w:color="auto"/>
      </w:divBdr>
    </w:div>
    <w:div w:id="193229837">
      <w:bodyDiv w:val="1"/>
      <w:marLeft w:val="0"/>
      <w:marRight w:val="0"/>
      <w:marTop w:val="0"/>
      <w:marBottom w:val="0"/>
      <w:divBdr>
        <w:top w:val="none" w:sz="0" w:space="0" w:color="auto"/>
        <w:left w:val="none" w:sz="0" w:space="0" w:color="auto"/>
        <w:bottom w:val="none" w:sz="0" w:space="0" w:color="auto"/>
        <w:right w:val="none" w:sz="0" w:space="0" w:color="auto"/>
      </w:divBdr>
    </w:div>
    <w:div w:id="214198077">
      <w:bodyDiv w:val="1"/>
      <w:marLeft w:val="0"/>
      <w:marRight w:val="0"/>
      <w:marTop w:val="0"/>
      <w:marBottom w:val="0"/>
      <w:divBdr>
        <w:top w:val="none" w:sz="0" w:space="0" w:color="auto"/>
        <w:left w:val="none" w:sz="0" w:space="0" w:color="auto"/>
        <w:bottom w:val="none" w:sz="0" w:space="0" w:color="auto"/>
        <w:right w:val="none" w:sz="0" w:space="0" w:color="auto"/>
      </w:divBdr>
    </w:div>
    <w:div w:id="237055932">
      <w:bodyDiv w:val="1"/>
      <w:marLeft w:val="0"/>
      <w:marRight w:val="0"/>
      <w:marTop w:val="0"/>
      <w:marBottom w:val="0"/>
      <w:divBdr>
        <w:top w:val="none" w:sz="0" w:space="0" w:color="auto"/>
        <w:left w:val="none" w:sz="0" w:space="0" w:color="auto"/>
        <w:bottom w:val="none" w:sz="0" w:space="0" w:color="auto"/>
        <w:right w:val="none" w:sz="0" w:space="0" w:color="auto"/>
      </w:divBdr>
    </w:div>
    <w:div w:id="268397471">
      <w:bodyDiv w:val="1"/>
      <w:marLeft w:val="0"/>
      <w:marRight w:val="0"/>
      <w:marTop w:val="0"/>
      <w:marBottom w:val="0"/>
      <w:divBdr>
        <w:top w:val="none" w:sz="0" w:space="0" w:color="auto"/>
        <w:left w:val="none" w:sz="0" w:space="0" w:color="auto"/>
        <w:bottom w:val="none" w:sz="0" w:space="0" w:color="auto"/>
        <w:right w:val="none" w:sz="0" w:space="0" w:color="auto"/>
      </w:divBdr>
    </w:div>
    <w:div w:id="306935410">
      <w:bodyDiv w:val="1"/>
      <w:marLeft w:val="0"/>
      <w:marRight w:val="0"/>
      <w:marTop w:val="0"/>
      <w:marBottom w:val="0"/>
      <w:divBdr>
        <w:top w:val="none" w:sz="0" w:space="0" w:color="auto"/>
        <w:left w:val="none" w:sz="0" w:space="0" w:color="auto"/>
        <w:bottom w:val="none" w:sz="0" w:space="0" w:color="auto"/>
        <w:right w:val="none" w:sz="0" w:space="0" w:color="auto"/>
      </w:divBdr>
    </w:div>
    <w:div w:id="309797001">
      <w:bodyDiv w:val="1"/>
      <w:marLeft w:val="0"/>
      <w:marRight w:val="0"/>
      <w:marTop w:val="0"/>
      <w:marBottom w:val="0"/>
      <w:divBdr>
        <w:top w:val="none" w:sz="0" w:space="0" w:color="auto"/>
        <w:left w:val="none" w:sz="0" w:space="0" w:color="auto"/>
        <w:bottom w:val="none" w:sz="0" w:space="0" w:color="auto"/>
        <w:right w:val="none" w:sz="0" w:space="0" w:color="auto"/>
      </w:divBdr>
    </w:div>
    <w:div w:id="323168377">
      <w:bodyDiv w:val="1"/>
      <w:marLeft w:val="0"/>
      <w:marRight w:val="0"/>
      <w:marTop w:val="0"/>
      <w:marBottom w:val="0"/>
      <w:divBdr>
        <w:top w:val="none" w:sz="0" w:space="0" w:color="auto"/>
        <w:left w:val="none" w:sz="0" w:space="0" w:color="auto"/>
        <w:bottom w:val="none" w:sz="0" w:space="0" w:color="auto"/>
        <w:right w:val="none" w:sz="0" w:space="0" w:color="auto"/>
      </w:divBdr>
    </w:div>
    <w:div w:id="325133073">
      <w:bodyDiv w:val="1"/>
      <w:marLeft w:val="0"/>
      <w:marRight w:val="0"/>
      <w:marTop w:val="0"/>
      <w:marBottom w:val="0"/>
      <w:divBdr>
        <w:top w:val="none" w:sz="0" w:space="0" w:color="auto"/>
        <w:left w:val="none" w:sz="0" w:space="0" w:color="auto"/>
        <w:bottom w:val="none" w:sz="0" w:space="0" w:color="auto"/>
        <w:right w:val="none" w:sz="0" w:space="0" w:color="auto"/>
      </w:divBdr>
    </w:div>
    <w:div w:id="405883708">
      <w:bodyDiv w:val="1"/>
      <w:marLeft w:val="0"/>
      <w:marRight w:val="0"/>
      <w:marTop w:val="0"/>
      <w:marBottom w:val="0"/>
      <w:divBdr>
        <w:top w:val="none" w:sz="0" w:space="0" w:color="auto"/>
        <w:left w:val="none" w:sz="0" w:space="0" w:color="auto"/>
        <w:bottom w:val="none" w:sz="0" w:space="0" w:color="auto"/>
        <w:right w:val="none" w:sz="0" w:space="0" w:color="auto"/>
      </w:divBdr>
    </w:div>
    <w:div w:id="448546089">
      <w:bodyDiv w:val="1"/>
      <w:marLeft w:val="0"/>
      <w:marRight w:val="0"/>
      <w:marTop w:val="0"/>
      <w:marBottom w:val="0"/>
      <w:divBdr>
        <w:top w:val="none" w:sz="0" w:space="0" w:color="auto"/>
        <w:left w:val="none" w:sz="0" w:space="0" w:color="auto"/>
        <w:bottom w:val="none" w:sz="0" w:space="0" w:color="auto"/>
        <w:right w:val="none" w:sz="0" w:space="0" w:color="auto"/>
      </w:divBdr>
    </w:div>
    <w:div w:id="449275758">
      <w:bodyDiv w:val="1"/>
      <w:marLeft w:val="0"/>
      <w:marRight w:val="0"/>
      <w:marTop w:val="0"/>
      <w:marBottom w:val="0"/>
      <w:divBdr>
        <w:top w:val="none" w:sz="0" w:space="0" w:color="auto"/>
        <w:left w:val="none" w:sz="0" w:space="0" w:color="auto"/>
        <w:bottom w:val="none" w:sz="0" w:space="0" w:color="auto"/>
        <w:right w:val="none" w:sz="0" w:space="0" w:color="auto"/>
      </w:divBdr>
    </w:div>
    <w:div w:id="518740764">
      <w:bodyDiv w:val="1"/>
      <w:marLeft w:val="0"/>
      <w:marRight w:val="0"/>
      <w:marTop w:val="0"/>
      <w:marBottom w:val="0"/>
      <w:divBdr>
        <w:top w:val="none" w:sz="0" w:space="0" w:color="auto"/>
        <w:left w:val="none" w:sz="0" w:space="0" w:color="auto"/>
        <w:bottom w:val="none" w:sz="0" w:space="0" w:color="auto"/>
        <w:right w:val="none" w:sz="0" w:space="0" w:color="auto"/>
      </w:divBdr>
    </w:div>
    <w:div w:id="536704487">
      <w:bodyDiv w:val="1"/>
      <w:marLeft w:val="0"/>
      <w:marRight w:val="0"/>
      <w:marTop w:val="0"/>
      <w:marBottom w:val="0"/>
      <w:divBdr>
        <w:top w:val="none" w:sz="0" w:space="0" w:color="auto"/>
        <w:left w:val="none" w:sz="0" w:space="0" w:color="auto"/>
        <w:bottom w:val="none" w:sz="0" w:space="0" w:color="auto"/>
        <w:right w:val="none" w:sz="0" w:space="0" w:color="auto"/>
      </w:divBdr>
    </w:div>
    <w:div w:id="607659016">
      <w:bodyDiv w:val="1"/>
      <w:marLeft w:val="0"/>
      <w:marRight w:val="0"/>
      <w:marTop w:val="0"/>
      <w:marBottom w:val="0"/>
      <w:divBdr>
        <w:top w:val="none" w:sz="0" w:space="0" w:color="auto"/>
        <w:left w:val="none" w:sz="0" w:space="0" w:color="auto"/>
        <w:bottom w:val="none" w:sz="0" w:space="0" w:color="auto"/>
        <w:right w:val="none" w:sz="0" w:space="0" w:color="auto"/>
      </w:divBdr>
    </w:div>
    <w:div w:id="625740139">
      <w:bodyDiv w:val="1"/>
      <w:marLeft w:val="0"/>
      <w:marRight w:val="0"/>
      <w:marTop w:val="0"/>
      <w:marBottom w:val="0"/>
      <w:divBdr>
        <w:top w:val="none" w:sz="0" w:space="0" w:color="auto"/>
        <w:left w:val="none" w:sz="0" w:space="0" w:color="auto"/>
        <w:bottom w:val="none" w:sz="0" w:space="0" w:color="auto"/>
        <w:right w:val="none" w:sz="0" w:space="0" w:color="auto"/>
      </w:divBdr>
    </w:div>
    <w:div w:id="641809885">
      <w:bodyDiv w:val="1"/>
      <w:marLeft w:val="0"/>
      <w:marRight w:val="0"/>
      <w:marTop w:val="0"/>
      <w:marBottom w:val="0"/>
      <w:divBdr>
        <w:top w:val="none" w:sz="0" w:space="0" w:color="auto"/>
        <w:left w:val="none" w:sz="0" w:space="0" w:color="auto"/>
        <w:bottom w:val="none" w:sz="0" w:space="0" w:color="auto"/>
        <w:right w:val="none" w:sz="0" w:space="0" w:color="auto"/>
      </w:divBdr>
    </w:div>
    <w:div w:id="661935978">
      <w:bodyDiv w:val="1"/>
      <w:marLeft w:val="0"/>
      <w:marRight w:val="0"/>
      <w:marTop w:val="0"/>
      <w:marBottom w:val="0"/>
      <w:divBdr>
        <w:top w:val="none" w:sz="0" w:space="0" w:color="auto"/>
        <w:left w:val="none" w:sz="0" w:space="0" w:color="auto"/>
        <w:bottom w:val="none" w:sz="0" w:space="0" w:color="auto"/>
        <w:right w:val="none" w:sz="0" w:space="0" w:color="auto"/>
      </w:divBdr>
    </w:div>
    <w:div w:id="672487453">
      <w:bodyDiv w:val="1"/>
      <w:marLeft w:val="0"/>
      <w:marRight w:val="0"/>
      <w:marTop w:val="0"/>
      <w:marBottom w:val="0"/>
      <w:divBdr>
        <w:top w:val="none" w:sz="0" w:space="0" w:color="auto"/>
        <w:left w:val="none" w:sz="0" w:space="0" w:color="auto"/>
        <w:bottom w:val="none" w:sz="0" w:space="0" w:color="auto"/>
        <w:right w:val="none" w:sz="0" w:space="0" w:color="auto"/>
      </w:divBdr>
    </w:div>
    <w:div w:id="683435861">
      <w:bodyDiv w:val="1"/>
      <w:marLeft w:val="0"/>
      <w:marRight w:val="0"/>
      <w:marTop w:val="0"/>
      <w:marBottom w:val="0"/>
      <w:divBdr>
        <w:top w:val="none" w:sz="0" w:space="0" w:color="auto"/>
        <w:left w:val="none" w:sz="0" w:space="0" w:color="auto"/>
        <w:bottom w:val="none" w:sz="0" w:space="0" w:color="auto"/>
        <w:right w:val="none" w:sz="0" w:space="0" w:color="auto"/>
      </w:divBdr>
    </w:div>
    <w:div w:id="697003999">
      <w:bodyDiv w:val="1"/>
      <w:marLeft w:val="0"/>
      <w:marRight w:val="0"/>
      <w:marTop w:val="0"/>
      <w:marBottom w:val="0"/>
      <w:divBdr>
        <w:top w:val="none" w:sz="0" w:space="0" w:color="auto"/>
        <w:left w:val="none" w:sz="0" w:space="0" w:color="auto"/>
        <w:bottom w:val="none" w:sz="0" w:space="0" w:color="auto"/>
        <w:right w:val="none" w:sz="0" w:space="0" w:color="auto"/>
      </w:divBdr>
    </w:div>
    <w:div w:id="762536462">
      <w:bodyDiv w:val="1"/>
      <w:marLeft w:val="0"/>
      <w:marRight w:val="0"/>
      <w:marTop w:val="0"/>
      <w:marBottom w:val="0"/>
      <w:divBdr>
        <w:top w:val="none" w:sz="0" w:space="0" w:color="auto"/>
        <w:left w:val="none" w:sz="0" w:space="0" w:color="auto"/>
        <w:bottom w:val="none" w:sz="0" w:space="0" w:color="auto"/>
        <w:right w:val="none" w:sz="0" w:space="0" w:color="auto"/>
      </w:divBdr>
    </w:div>
    <w:div w:id="773981366">
      <w:bodyDiv w:val="1"/>
      <w:marLeft w:val="0"/>
      <w:marRight w:val="0"/>
      <w:marTop w:val="0"/>
      <w:marBottom w:val="0"/>
      <w:divBdr>
        <w:top w:val="none" w:sz="0" w:space="0" w:color="auto"/>
        <w:left w:val="none" w:sz="0" w:space="0" w:color="auto"/>
        <w:bottom w:val="none" w:sz="0" w:space="0" w:color="auto"/>
        <w:right w:val="none" w:sz="0" w:space="0" w:color="auto"/>
      </w:divBdr>
    </w:div>
    <w:div w:id="778373318">
      <w:bodyDiv w:val="1"/>
      <w:marLeft w:val="0"/>
      <w:marRight w:val="0"/>
      <w:marTop w:val="0"/>
      <w:marBottom w:val="0"/>
      <w:divBdr>
        <w:top w:val="none" w:sz="0" w:space="0" w:color="auto"/>
        <w:left w:val="none" w:sz="0" w:space="0" w:color="auto"/>
        <w:bottom w:val="none" w:sz="0" w:space="0" w:color="auto"/>
        <w:right w:val="none" w:sz="0" w:space="0" w:color="auto"/>
      </w:divBdr>
    </w:div>
    <w:div w:id="800076235">
      <w:bodyDiv w:val="1"/>
      <w:marLeft w:val="0"/>
      <w:marRight w:val="0"/>
      <w:marTop w:val="0"/>
      <w:marBottom w:val="0"/>
      <w:divBdr>
        <w:top w:val="none" w:sz="0" w:space="0" w:color="auto"/>
        <w:left w:val="none" w:sz="0" w:space="0" w:color="auto"/>
        <w:bottom w:val="none" w:sz="0" w:space="0" w:color="auto"/>
        <w:right w:val="none" w:sz="0" w:space="0" w:color="auto"/>
      </w:divBdr>
    </w:div>
    <w:div w:id="872183553">
      <w:bodyDiv w:val="1"/>
      <w:marLeft w:val="0"/>
      <w:marRight w:val="0"/>
      <w:marTop w:val="0"/>
      <w:marBottom w:val="0"/>
      <w:divBdr>
        <w:top w:val="none" w:sz="0" w:space="0" w:color="auto"/>
        <w:left w:val="none" w:sz="0" w:space="0" w:color="auto"/>
        <w:bottom w:val="none" w:sz="0" w:space="0" w:color="auto"/>
        <w:right w:val="none" w:sz="0" w:space="0" w:color="auto"/>
      </w:divBdr>
    </w:div>
    <w:div w:id="907963199">
      <w:bodyDiv w:val="1"/>
      <w:marLeft w:val="0"/>
      <w:marRight w:val="0"/>
      <w:marTop w:val="0"/>
      <w:marBottom w:val="0"/>
      <w:divBdr>
        <w:top w:val="none" w:sz="0" w:space="0" w:color="auto"/>
        <w:left w:val="none" w:sz="0" w:space="0" w:color="auto"/>
        <w:bottom w:val="none" w:sz="0" w:space="0" w:color="auto"/>
        <w:right w:val="none" w:sz="0" w:space="0" w:color="auto"/>
      </w:divBdr>
    </w:div>
    <w:div w:id="916397438">
      <w:bodyDiv w:val="1"/>
      <w:marLeft w:val="0"/>
      <w:marRight w:val="0"/>
      <w:marTop w:val="0"/>
      <w:marBottom w:val="0"/>
      <w:divBdr>
        <w:top w:val="none" w:sz="0" w:space="0" w:color="auto"/>
        <w:left w:val="none" w:sz="0" w:space="0" w:color="auto"/>
        <w:bottom w:val="none" w:sz="0" w:space="0" w:color="auto"/>
        <w:right w:val="none" w:sz="0" w:space="0" w:color="auto"/>
      </w:divBdr>
    </w:div>
    <w:div w:id="930115532">
      <w:bodyDiv w:val="1"/>
      <w:marLeft w:val="0"/>
      <w:marRight w:val="0"/>
      <w:marTop w:val="0"/>
      <w:marBottom w:val="0"/>
      <w:divBdr>
        <w:top w:val="none" w:sz="0" w:space="0" w:color="auto"/>
        <w:left w:val="none" w:sz="0" w:space="0" w:color="auto"/>
        <w:bottom w:val="none" w:sz="0" w:space="0" w:color="auto"/>
        <w:right w:val="none" w:sz="0" w:space="0" w:color="auto"/>
      </w:divBdr>
    </w:div>
    <w:div w:id="957879911">
      <w:bodyDiv w:val="1"/>
      <w:marLeft w:val="0"/>
      <w:marRight w:val="0"/>
      <w:marTop w:val="0"/>
      <w:marBottom w:val="0"/>
      <w:divBdr>
        <w:top w:val="none" w:sz="0" w:space="0" w:color="auto"/>
        <w:left w:val="none" w:sz="0" w:space="0" w:color="auto"/>
        <w:bottom w:val="none" w:sz="0" w:space="0" w:color="auto"/>
        <w:right w:val="none" w:sz="0" w:space="0" w:color="auto"/>
      </w:divBdr>
    </w:div>
    <w:div w:id="966472985">
      <w:bodyDiv w:val="1"/>
      <w:marLeft w:val="0"/>
      <w:marRight w:val="0"/>
      <w:marTop w:val="0"/>
      <w:marBottom w:val="0"/>
      <w:divBdr>
        <w:top w:val="none" w:sz="0" w:space="0" w:color="auto"/>
        <w:left w:val="none" w:sz="0" w:space="0" w:color="auto"/>
        <w:bottom w:val="none" w:sz="0" w:space="0" w:color="auto"/>
        <w:right w:val="none" w:sz="0" w:space="0" w:color="auto"/>
      </w:divBdr>
    </w:div>
    <w:div w:id="978846747">
      <w:bodyDiv w:val="1"/>
      <w:marLeft w:val="0"/>
      <w:marRight w:val="0"/>
      <w:marTop w:val="0"/>
      <w:marBottom w:val="0"/>
      <w:divBdr>
        <w:top w:val="none" w:sz="0" w:space="0" w:color="auto"/>
        <w:left w:val="none" w:sz="0" w:space="0" w:color="auto"/>
        <w:bottom w:val="none" w:sz="0" w:space="0" w:color="auto"/>
        <w:right w:val="none" w:sz="0" w:space="0" w:color="auto"/>
      </w:divBdr>
    </w:div>
    <w:div w:id="989794980">
      <w:bodyDiv w:val="1"/>
      <w:marLeft w:val="0"/>
      <w:marRight w:val="0"/>
      <w:marTop w:val="0"/>
      <w:marBottom w:val="0"/>
      <w:divBdr>
        <w:top w:val="none" w:sz="0" w:space="0" w:color="auto"/>
        <w:left w:val="none" w:sz="0" w:space="0" w:color="auto"/>
        <w:bottom w:val="none" w:sz="0" w:space="0" w:color="auto"/>
        <w:right w:val="none" w:sz="0" w:space="0" w:color="auto"/>
      </w:divBdr>
    </w:div>
    <w:div w:id="1012878280">
      <w:bodyDiv w:val="1"/>
      <w:marLeft w:val="0"/>
      <w:marRight w:val="0"/>
      <w:marTop w:val="0"/>
      <w:marBottom w:val="0"/>
      <w:divBdr>
        <w:top w:val="none" w:sz="0" w:space="0" w:color="auto"/>
        <w:left w:val="none" w:sz="0" w:space="0" w:color="auto"/>
        <w:bottom w:val="none" w:sz="0" w:space="0" w:color="auto"/>
        <w:right w:val="none" w:sz="0" w:space="0" w:color="auto"/>
      </w:divBdr>
    </w:div>
    <w:div w:id="1028332813">
      <w:bodyDiv w:val="1"/>
      <w:marLeft w:val="0"/>
      <w:marRight w:val="0"/>
      <w:marTop w:val="0"/>
      <w:marBottom w:val="0"/>
      <w:divBdr>
        <w:top w:val="none" w:sz="0" w:space="0" w:color="auto"/>
        <w:left w:val="none" w:sz="0" w:space="0" w:color="auto"/>
        <w:bottom w:val="none" w:sz="0" w:space="0" w:color="auto"/>
        <w:right w:val="none" w:sz="0" w:space="0" w:color="auto"/>
      </w:divBdr>
    </w:div>
    <w:div w:id="1034844111">
      <w:bodyDiv w:val="1"/>
      <w:marLeft w:val="0"/>
      <w:marRight w:val="0"/>
      <w:marTop w:val="0"/>
      <w:marBottom w:val="0"/>
      <w:divBdr>
        <w:top w:val="none" w:sz="0" w:space="0" w:color="auto"/>
        <w:left w:val="none" w:sz="0" w:space="0" w:color="auto"/>
        <w:bottom w:val="none" w:sz="0" w:space="0" w:color="auto"/>
        <w:right w:val="none" w:sz="0" w:space="0" w:color="auto"/>
      </w:divBdr>
    </w:div>
    <w:div w:id="1062678612">
      <w:bodyDiv w:val="1"/>
      <w:marLeft w:val="0"/>
      <w:marRight w:val="0"/>
      <w:marTop w:val="0"/>
      <w:marBottom w:val="0"/>
      <w:divBdr>
        <w:top w:val="none" w:sz="0" w:space="0" w:color="auto"/>
        <w:left w:val="none" w:sz="0" w:space="0" w:color="auto"/>
        <w:bottom w:val="none" w:sz="0" w:space="0" w:color="auto"/>
        <w:right w:val="none" w:sz="0" w:space="0" w:color="auto"/>
      </w:divBdr>
    </w:div>
    <w:div w:id="1064841735">
      <w:bodyDiv w:val="1"/>
      <w:marLeft w:val="0"/>
      <w:marRight w:val="0"/>
      <w:marTop w:val="0"/>
      <w:marBottom w:val="0"/>
      <w:divBdr>
        <w:top w:val="none" w:sz="0" w:space="0" w:color="auto"/>
        <w:left w:val="none" w:sz="0" w:space="0" w:color="auto"/>
        <w:bottom w:val="none" w:sz="0" w:space="0" w:color="auto"/>
        <w:right w:val="none" w:sz="0" w:space="0" w:color="auto"/>
      </w:divBdr>
    </w:div>
    <w:div w:id="1072193313">
      <w:bodyDiv w:val="1"/>
      <w:marLeft w:val="0"/>
      <w:marRight w:val="0"/>
      <w:marTop w:val="0"/>
      <w:marBottom w:val="0"/>
      <w:divBdr>
        <w:top w:val="none" w:sz="0" w:space="0" w:color="auto"/>
        <w:left w:val="none" w:sz="0" w:space="0" w:color="auto"/>
        <w:bottom w:val="none" w:sz="0" w:space="0" w:color="auto"/>
        <w:right w:val="none" w:sz="0" w:space="0" w:color="auto"/>
      </w:divBdr>
    </w:div>
    <w:div w:id="1085879338">
      <w:bodyDiv w:val="1"/>
      <w:marLeft w:val="0"/>
      <w:marRight w:val="0"/>
      <w:marTop w:val="0"/>
      <w:marBottom w:val="0"/>
      <w:divBdr>
        <w:top w:val="none" w:sz="0" w:space="0" w:color="auto"/>
        <w:left w:val="none" w:sz="0" w:space="0" w:color="auto"/>
        <w:bottom w:val="none" w:sz="0" w:space="0" w:color="auto"/>
        <w:right w:val="none" w:sz="0" w:space="0" w:color="auto"/>
      </w:divBdr>
    </w:div>
    <w:div w:id="1097367272">
      <w:bodyDiv w:val="1"/>
      <w:marLeft w:val="0"/>
      <w:marRight w:val="0"/>
      <w:marTop w:val="0"/>
      <w:marBottom w:val="0"/>
      <w:divBdr>
        <w:top w:val="none" w:sz="0" w:space="0" w:color="auto"/>
        <w:left w:val="none" w:sz="0" w:space="0" w:color="auto"/>
        <w:bottom w:val="none" w:sz="0" w:space="0" w:color="auto"/>
        <w:right w:val="none" w:sz="0" w:space="0" w:color="auto"/>
      </w:divBdr>
    </w:div>
    <w:div w:id="1110468680">
      <w:bodyDiv w:val="1"/>
      <w:marLeft w:val="0"/>
      <w:marRight w:val="0"/>
      <w:marTop w:val="0"/>
      <w:marBottom w:val="0"/>
      <w:divBdr>
        <w:top w:val="none" w:sz="0" w:space="0" w:color="auto"/>
        <w:left w:val="none" w:sz="0" w:space="0" w:color="auto"/>
        <w:bottom w:val="none" w:sz="0" w:space="0" w:color="auto"/>
        <w:right w:val="none" w:sz="0" w:space="0" w:color="auto"/>
      </w:divBdr>
    </w:div>
    <w:div w:id="1117917290">
      <w:bodyDiv w:val="1"/>
      <w:marLeft w:val="0"/>
      <w:marRight w:val="0"/>
      <w:marTop w:val="0"/>
      <w:marBottom w:val="0"/>
      <w:divBdr>
        <w:top w:val="none" w:sz="0" w:space="0" w:color="auto"/>
        <w:left w:val="none" w:sz="0" w:space="0" w:color="auto"/>
        <w:bottom w:val="none" w:sz="0" w:space="0" w:color="auto"/>
        <w:right w:val="none" w:sz="0" w:space="0" w:color="auto"/>
      </w:divBdr>
    </w:div>
    <w:div w:id="1130973887">
      <w:bodyDiv w:val="1"/>
      <w:marLeft w:val="0"/>
      <w:marRight w:val="0"/>
      <w:marTop w:val="0"/>
      <w:marBottom w:val="0"/>
      <w:divBdr>
        <w:top w:val="none" w:sz="0" w:space="0" w:color="auto"/>
        <w:left w:val="none" w:sz="0" w:space="0" w:color="auto"/>
        <w:bottom w:val="none" w:sz="0" w:space="0" w:color="auto"/>
        <w:right w:val="none" w:sz="0" w:space="0" w:color="auto"/>
      </w:divBdr>
    </w:div>
    <w:div w:id="1133982042">
      <w:bodyDiv w:val="1"/>
      <w:marLeft w:val="0"/>
      <w:marRight w:val="0"/>
      <w:marTop w:val="0"/>
      <w:marBottom w:val="0"/>
      <w:divBdr>
        <w:top w:val="none" w:sz="0" w:space="0" w:color="auto"/>
        <w:left w:val="none" w:sz="0" w:space="0" w:color="auto"/>
        <w:bottom w:val="none" w:sz="0" w:space="0" w:color="auto"/>
        <w:right w:val="none" w:sz="0" w:space="0" w:color="auto"/>
      </w:divBdr>
    </w:div>
    <w:div w:id="1163665162">
      <w:bodyDiv w:val="1"/>
      <w:marLeft w:val="0"/>
      <w:marRight w:val="0"/>
      <w:marTop w:val="0"/>
      <w:marBottom w:val="0"/>
      <w:divBdr>
        <w:top w:val="none" w:sz="0" w:space="0" w:color="auto"/>
        <w:left w:val="none" w:sz="0" w:space="0" w:color="auto"/>
        <w:bottom w:val="none" w:sz="0" w:space="0" w:color="auto"/>
        <w:right w:val="none" w:sz="0" w:space="0" w:color="auto"/>
      </w:divBdr>
    </w:div>
    <w:div w:id="1167399212">
      <w:bodyDiv w:val="1"/>
      <w:marLeft w:val="0"/>
      <w:marRight w:val="0"/>
      <w:marTop w:val="0"/>
      <w:marBottom w:val="0"/>
      <w:divBdr>
        <w:top w:val="none" w:sz="0" w:space="0" w:color="auto"/>
        <w:left w:val="none" w:sz="0" w:space="0" w:color="auto"/>
        <w:bottom w:val="none" w:sz="0" w:space="0" w:color="auto"/>
        <w:right w:val="none" w:sz="0" w:space="0" w:color="auto"/>
      </w:divBdr>
    </w:div>
    <w:div w:id="1171487120">
      <w:bodyDiv w:val="1"/>
      <w:marLeft w:val="0"/>
      <w:marRight w:val="0"/>
      <w:marTop w:val="0"/>
      <w:marBottom w:val="0"/>
      <w:divBdr>
        <w:top w:val="none" w:sz="0" w:space="0" w:color="auto"/>
        <w:left w:val="none" w:sz="0" w:space="0" w:color="auto"/>
        <w:bottom w:val="none" w:sz="0" w:space="0" w:color="auto"/>
        <w:right w:val="none" w:sz="0" w:space="0" w:color="auto"/>
      </w:divBdr>
    </w:div>
    <w:div w:id="1220289635">
      <w:bodyDiv w:val="1"/>
      <w:marLeft w:val="0"/>
      <w:marRight w:val="0"/>
      <w:marTop w:val="0"/>
      <w:marBottom w:val="0"/>
      <w:divBdr>
        <w:top w:val="none" w:sz="0" w:space="0" w:color="auto"/>
        <w:left w:val="none" w:sz="0" w:space="0" w:color="auto"/>
        <w:bottom w:val="none" w:sz="0" w:space="0" w:color="auto"/>
        <w:right w:val="none" w:sz="0" w:space="0" w:color="auto"/>
      </w:divBdr>
    </w:div>
    <w:div w:id="1222447789">
      <w:bodyDiv w:val="1"/>
      <w:marLeft w:val="0"/>
      <w:marRight w:val="0"/>
      <w:marTop w:val="0"/>
      <w:marBottom w:val="0"/>
      <w:divBdr>
        <w:top w:val="none" w:sz="0" w:space="0" w:color="auto"/>
        <w:left w:val="none" w:sz="0" w:space="0" w:color="auto"/>
        <w:bottom w:val="none" w:sz="0" w:space="0" w:color="auto"/>
        <w:right w:val="none" w:sz="0" w:space="0" w:color="auto"/>
      </w:divBdr>
    </w:div>
    <w:div w:id="1234972933">
      <w:bodyDiv w:val="1"/>
      <w:marLeft w:val="0"/>
      <w:marRight w:val="0"/>
      <w:marTop w:val="0"/>
      <w:marBottom w:val="0"/>
      <w:divBdr>
        <w:top w:val="none" w:sz="0" w:space="0" w:color="auto"/>
        <w:left w:val="none" w:sz="0" w:space="0" w:color="auto"/>
        <w:bottom w:val="none" w:sz="0" w:space="0" w:color="auto"/>
        <w:right w:val="none" w:sz="0" w:space="0" w:color="auto"/>
      </w:divBdr>
    </w:div>
    <w:div w:id="1239244073">
      <w:bodyDiv w:val="1"/>
      <w:marLeft w:val="0"/>
      <w:marRight w:val="0"/>
      <w:marTop w:val="0"/>
      <w:marBottom w:val="0"/>
      <w:divBdr>
        <w:top w:val="none" w:sz="0" w:space="0" w:color="auto"/>
        <w:left w:val="none" w:sz="0" w:space="0" w:color="auto"/>
        <w:bottom w:val="none" w:sz="0" w:space="0" w:color="auto"/>
        <w:right w:val="none" w:sz="0" w:space="0" w:color="auto"/>
      </w:divBdr>
    </w:div>
    <w:div w:id="1249995010">
      <w:marLeft w:val="0"/>
      <w:marRight w:val="0"/>
      <w:marTop w:val="0"/>
      <w:marBottom w:val="0"/>
      <w:divBdr>
        <w:top w:val="none" w:sz="0" w:space="0" w:color="auto"/>
        <w:left w:val="none" w:sz="0" w:space="0" w:color="auto"/>
        <w:bottom w:val="none" w:sz="0" w:space="0" w:color="auto"/>
        <w:right w:val="none" w:sz="0" w:space="0" w:color="auto"/>
      </w:divBdr>
    </w:div>
    <w:div w:id="1263876631">
      <w:bodyDiv w:val="1"/>
      <w:marLeft w:val="0"/>
      <w:marRight w:val="0"/>
      <w:marTop w:val="0"/>
      <w:marBottom w:val="0"/>
      <w:divBdr>
        <w:top w:val="none" w:sz="0" w:space="0" w:color="auto"/>
        <w:left w:val="none" w:sz="0" w:space="0" w:color="auto"/>
        <w:bottom w:val="none" w:sz="0" w:space="0" w:color="auto"/>
        <w:right w:val="none" w:sz="0" w:space="0" w:color="auto"/>
      </w:divBdr>
    </w:div>
    <w:div w:id="1270892067">
      <w:bodyDiv w:val="1"/>
      <w:marLeft w:val="0"/>
      <w:marRight w:val="0"/>
      <w:marTop w:val="0"/>
      <w:marBottom w:val="0"/>
      <w:divBdr>
        <w:top w:val="none" w:sz="0" w:space="0" w:color="auto"/>
        <w:left w:val="none" w:sz="0" w:space="0" w:color="auto"/>
        <w:bottom w:val="none" w:sz="0" w:space="0" w:color="auto"/>
        <w:right w:val="none" w:sz="0" w:space="0" w:color="auto"/>
      </w:divBdr>
    </w:div>
    <w:div w:id="1342659752">
      <w:bodyDiv w:val="1"/>
      <w:marLeft w:val="0"/>
      <w:marRight w:val="0"/>
      <w:marTop w:val="0"/>
      <w:marBottom w:val="0"/>
      <w:divBdr>
        <w:top w:val="none" w:sz="0" w:space="0" w:color="auto"/>
        <w:left w:val="none" w:sz="0" w:space="0" w:color="auto"/>
        <w:bottom w:val="none" w:sz="0" w:space="0" w:color="auto"/>
        <w:right w:val="none" w:sz="0" w:space="0" w:color="auto"/>
      </w:divBdr>
    </w:div>
    <w:div w:id="1346247122">
      <w:bodyDiv w:val="1"/>
      <w:marLeft w:val="0"/>
      <w:marRight w:val="0"/>
      <w:marTop w:val="0"/>
      <w:marBottom w:val="0"/>
      <w:divBdr>
        <w:top w:val="none" w:sz="0" w:space="0" w:color="auto"/>
        <w:left w:val="none" w:sz="0" w:space="0" w:color="auto"/>
        <w:bottom w:val="none" w:sz="0" w:space="0" w:color="auto"/>
        <w:right w:val="none" w:sz="0" w:space="0" w:color="auto"/>
      </w:divBdr>
    </w:div>
    <w:div w:id="1369991999">
      <w:bodyDiv w:val="1"/>
      <w:marLeft w:val="0"/>
      <w:marRight w:val="0"/>
      <w:marTop w:val="0"/>
      <w:marBottom w:val="0"/>
      <w:divBdr>
        <w:top w:val="none" w:sz="0" w:space="0" w:color="auto"/>
        <w:left w:val="none" w:sz="0" w:space="0" w:color="auto"/>
        <w:bottom w:val="none" w:sz="0" w:space="0" w:color="auto"/>
        <w:right w:val="none" w:sz="0" w:space="0" w:color="auto"/>
      </w:divBdr>
    </w:div>
    <w:div w:id="1377506762">
      <w:bodyDiv w:val="1"/>
      <w:marLeft w:val="0"/>
      <w:marRight w:val="0"/>
      <w:marTop w:val="0"/>
      <w:marBottom w:val="0"/>
      <w:divBdr>
        <w:top w:val="none" w:sz="0" w:space="0" w:color="auto"/>
        <w:left w:val="none" w:sz="0" w:space="0" w:color="auto"/>
        <w:bottom w:val="none" w:sz="0" w:space="0" w:color="auto"/>
        <w:right w:val="none" w:sz="0" w:space="0" w:color="auto"/>
      </w:divBdr>
    </w:div>
    <w:div w:id="1377896133">
      <w:bodyDiv w:val="1"/>
      <w:marLeft w:val="0"/>
      <w:marRight w:val="0"/>
      <w:marTop w:val="0"/>
      <w:marBottom w:val="0"/>
      <w:divBdr>
        <w:top w:val="none" w:sz="0" w:space="0" w:color="auto"/>
        <w:left w:val="none" w:sz="0" w:space="0" w:color="auto"/>
        <w:bottom w:val="none" w:sz="0" w:space="0" w:color="auto"/>
        <w:right w:val="none" w:sz="0" w:space="0" w:color="auto"/>
      </w:divBdr>
    </w:div>
    <w:div w:id="1380327254">
      <w:bodyDiv w:val="1"/>
      <w:marLeft w:val="0"/>
      <w:marRight w:val="0"/>
      <w:marTop w:val="0"/>
      <w:marBottom w:val="0"/>
      <w:divBdr>
        <w:top w:val="none" w:sz="0" w:space="0" w:color="auto"/>
        <w:left w:val="none" w:sz="0" w:space="0" w:color="auto"/>
        <w:bottom w:val="none" w:sz="0" w:space="0" w:color="auto"/>
        <w:right w:val="none" w:sz="0" w:space="0" w:color="auto"/>
      </w:divBdr>
    </w:div>
    <w:div w:id="1384403206">
      <w:bodyDiv w:val="1"/>
      <w:marLeft w:val="0"/>
      <w:marRight w:val="0"/>
      <w:marTop w:val="0"/>
      <w:marBottom w:val="0"/>
      <w:divBdr>
        <w:top w:val="none" w:sz="0" w:space="0" w:color="auto"/>
        <w:left w:val="none" w:sz="0" w:space="0" w:color="auto"/>
        <w:bottom w:val="none" w:sz="0" w:space="0" w:color="auto"/>
        <w:right w:val="none" w:sz="0" w:space="0" w:color="auto"/>
      </w:divBdr>
    </w:div>
    <w:div w:id="1387992631">
      <w:bodyDiv w:val="1"/>
      <w:marLeft w:val="0"/>
      <w:marRight w:val="0"/>
      <w:marTop w:val="0"/>
      <w:marBottom w:val="0"/>
      <w:divBdr>
        <w:top w:val="none" w:sz="0" w:space="0" w:color="auto"/>
        <w:left w:val="none" w:sz="0" w:space="0" w:color="auto"/>
        <w:bottom w:val="none" w:sz="0" w:space="0" w:color="auto"/>
        <w:right w:val="none" w:sz="0" w:space="0" w:color="auto"/>
      </w:divBdr>
    </w:div>
    <w:div w:id="1413774839">
      <w:bodyDiv w:val="1"/>
      <w:marLeft w:val="0"/>
      <w:marRight w:val="0"/>
      <w:marTop w:val="0"/>
      <w:marBottom w:val="0"/>
      <w:divBdr>
        <w:top w:val="none" w:sz="0" w:space="0" w:color="auto"/>
        <w:left w:val="none" w:sz="0" w:space="0" w:color="auto"/>
        <w:bottom w:val="none" w:sz="0" w:space="0" w:color="auto"/>
        <w:right w:val="none" w:sz="0" w:space="0" w:color="auto"/>
      </w:divBdr>
    </w:div>
    <w:div w:id="1419906639">
      <w:bodyDiv w:val="1"/>
      <w:marLeft w:val="0"/>
      <w:marRight w:val="0"/>
      <w:marTop w:val="0"/>
      <w:marBottom w:val="0"/>
      <w:divBdr>
        <w:top w:val="none" w:sz="0" w:space="0" w:color="auto"/>
        <w:left w:val="none" w:sz="0" w:space="0" w:color="auto"/>
        <w:bottom w:val="none" w:sz="0" w:space="0" w:color="auto"/>
        <w:right w:val="none" w:sz="0" w:space="0" w:color="auto"/>
      </w:divBdr>
    </w:div>
    <w:div w:id="1423799281">
      <w:bodyDiv w:val="1"/>
      <w:marLeft w:val="0"/>
      <w:marRight w:val="0"/>
      <w:marTop w:val="0"/>
      <w:marBottom w:val="0"/>
      <w:divBdr>
        <w:top w:val="none" w:sz="0" w:space="0" w:color="auto"/>
        <w:left w:val="none" w:sz="0" w:space="0" w:color="auto"/>
        <w:bottom w:val="none" w:sz="0" w:space="0" w:color="auto"/>
        <w:right w:val="none" w:sz="0" w:space="0" w:color="auto"/>
      </w:divBdr>
    </w:div>
    <w:div w:id="1449011425">
      <w:bodyDiv w:val="1"/>
      <w:marLeft w:val="0"/>
      <w:marRight w:val="0"/>
      <w:marTop w:val="0"/>
      <w:marBottom w:val="0"/>
      <w:divBdr>
        <w:top w:val="none" w:sz="0" w:space="0" w:color="auto"/>
        <w:left w:val="none" w:sz="0" w:space="0" w:color="auto"/>
        <w:bottom w:val="none" w:sz="0" w:space="0" w:color="auto"/>
        <w:right w:val="none" w:sz="0" w:space="0" w:color="auto"/>
      </w:divBdr>
    </w:div>
    <w:div w:id="1454057744">
      <w:bodyDiv w:val="1"/>
      <w:marLeft w:val="0"/>
      <w:marRight w:val="0"/>
      <w:marTop w:val="0"/>
      <w:marBottom w:val="0"/>
      <w:divBdr>
        <w:top w:val="none" w:sz="0" w:space="0" w:color="auto"/>
        <w:left w:val="none" w:sz="0" w:space="0" w:color="auto"/>
        <w:bottom w:val="none" w:sz="0" w:space="0" w:color="auto"/>
        <w:right w:val="none" w:sz="0" w:space="0" w:color="auto"/>
      </w:divBdr>
    </w:div>
    <w:div w:id="1456754125">
      <w:bodyDiv w:val="1"/>
      <w:marLeft w:val="0"/>
      <w:marRight w:val="0"/>
      <w:marTop w:val="0"/>
      <w:marBottom w:val="0"/>
      <w:divBdr>
        <w:top w:val="none" w:sz="0" w:space="0" w:color="auto"/>
        <w:left w:val="none" w:sz="0" w:space="0" w:color="auto"/>
        <w:bottom w:val="none" w:sz="0" w:space="0" w:color="auto"/>
        <w:right w:val="none" w:sz="0" w:space="0" w:color="auto"/>
      </w:divBdr>
    </w:div>
    <w:div w:id="1461531883">
      <w:bodyDiv w:val="1"/>
      <w:marLeft w:val="0"/>
      <w:marRight w:val="0"/>
      <w:marTop w:val="0"/>
      <w:marBottom w:val="0"/>
      <w:divBdr>
        <w:top w:val="none" w:sz="0" w:space="0" w:color="auto"/>
        <w:left w:val="none" w:sz="0" w:space="0" w:color="auto"/>
        <w:bottom w:val="none" w:sz="0" w:space="0" w:color="auto"/>
        <w:right w:val="none" w:sz="0" w:space="0" w:color="auto"/>
      </w:divBdr>
    </w:div>
    <w:div w:id="1462920783">
      <w:bodyDiv w:val="1"/>
      <w:marLeft w:val="0"/>
      <w:marRight w:val="0"/>
      <w:marTop w:val="0"/>
      <w:marBottom w:val="0"/>
      <w:divBdr>
        <w:top w:val="none" w:sz="0" w:space="0" w:color="auto"/>
        <w:left w:val="none" w:sz="0" w:space="0" w:color="auto"/>
        <w:bottom w:val="none" w:sz="0" w:space="0" w:color="auto"/>
        <w:right w:val="none" w:sz="0" w:space="0" w:color="auto"/>
      </w:divBdr>
    </w:div>
    <w:div w:id="1474058220">
      <w:bodyDiv w:val="1"/>
      <w:marLeft w:val="0"/>
      <w:marRight w:val="0"/>
      <w:marTop w:val="0"/>
      <w:marBottom w:val="0"/>
      <w:divBdr>
        <w:top w:val="none" w:sz="0" w:space="0" w:color="auto"/>
        <w:left w:val="none" w:sz="0" w:space="0" w:color="auto"/>
        <w:bottom w:val="none" w:sz="0" w:space="0" w:color="auto"/>
        <w:right w:val="none" w:sz="0" w:space="0" w:color="auto"/>
      </w:divBdr>
    </w:div>
    <w:div w:id="1475293972">
      <w:bodyDiv w:val="1"/>
      <w:marLeft w:val="0"/>
      <w:marRight w:val="0"/>
      <w:marTop w:val="0"/>
      <w:marBottom w:val="0"/>
      <w:divBdr>
        <w:top w:val="none" w:sz="0" w:space="0" w:color="auto"/>
        <w:left w:val="none" w:sz="0" w:space="0" w:color="auto"/>
        <w:bottom w:val="none" w:sz="0" w:space="0" w:color="auto"/>
        <w:right w:val="none" w:sz="0" w:space="0" w:color="auto"/>
      </w:divBdr>
    </w:div>
    <w:div w:id="1482888728">
      <w:bodyDiv w:val="1"/>
      <w:marLeft w:val="0"/>
      <w:marRight w:val="0"/>
      <w:marTop w:val="0"/>
      <w:marBottom w:val="0"/>
      <w:divBdr>
        <w:top w:val="none" w:sz="0" w:space="0" w:color="auto"/>
        <w:left w:val="none" w:sz="0" w:space="0" w:color="auto"/>
        <w:bottom w:val="none" w:sz="0" w:space="0" w:color="auto"/>
        <w:right w:val="none" w:sz="0" w:space="0" w:color="auto"/>
      </w:divBdr>
    </w:div>
    <w:div w:id="1487624685">
      <w:bodyDiv w:val="1"/>
      <w:marLeft w:val="0"/>
      <w:marRight w:val="0"/>
      <w:marTop w:val="0"/>
      <w:marBottom w:val="0"/>
      <w:divBdr>
        <w:top w:val="none" w:sz="0" w:space="0" w:color="auto"/>
        <w:left w:val="none" w:sz="0" w:space="0" w:color="auto"/>
        <w:bottom w:val="none" w:sz="0" w:space="0" w:color="auto"/>
        <w:right w:val="none" w:sz="0" w:space="0" w:color="auto"/>
      </w:divBdr>
    </w:div>
    <w:div w:id="1488088005">
      <w:bodyDiv w:val="1"/>
      <w:marLeft w:val="0"/>
      <w:marRight w:val="0"/>
      <w:marTop w:val="0"/>
      <w:marBottom w:val="0"/>
      <w:divBdr>
        <w:top w:val="none" w:sz="0" w:space="0" w:color="auto"/>
        <w:left w:val="none" w:sz="0" w:space="0" w:color="auto"/>
        <w:bottom w:val="none" w:sz="0" w:space="0" w:color="auto"/>
        <w:right w:val="none" w:sz="0" w:space="0" w:color="auto"/>
      </w:divBdr>
    </w:div>
    <w:div w:id="1489861744">
      <w:bodyDiv w:val="1"/>
      <w:marLeft w:val="0"/>
      <w:marRight w:val="0"/>
      <w:marTop w:val="0"/>
      <w:marBottom w:val="0"/>
      <w:divBdr>
        <w:top w:val="none" w:sz="0" w:space="0" w:color="auto"/>
        <w:left w:val="none" w:sz="0" w:space="0" w:color="auto"/>
        <w:bottom w:val="none" w:sz="0" w:space="0" w:color="auto"/>
        <w:right w:val="none" w:sz="0" w:space="0" w:color="auto"/>
      </w:divBdr>
    </w:div>
    <w:div w:id="1494907307">
      <w:bodyDiv w:val="1"/>
      <w:marLeft w:val="0"/>
      <w:marRight w:val="0"/>
      <w:marTop w:val="0"/>
      <w:marBottom w:val="0"/>
      <w:divBdr>
        <w:top w:val="none" w:sz="0" w:space="0" w:color="auto"/>
        <w:left w:val="none" w:sz="0" w:space="0" w:color="auto"/>
        <w:bottom w:val="none" w:sz="0" w:space="0" w:color="auto"/>
        <w:right w:val="none" w:sz="0" w:space="0" w:color="auto"/>
      </w:divBdr>
    </w:div>
    <w:div w:id="1521353032">
      <w:bodyDiv w:val="1"/>
      <w:marLeft w:val="0"/>
      <w:marRight w:val="0"/>
      <w:marTop w:val="0"/>
      <w:marBottom w:val="0"/>
      <w:divBdr>
        <w:top w:val="none" w:sz="0" w:space="0" w:color="auto"/>
        <w:left w:val="none" w:sz="0" w:space="0" w:color="auto"/>
        <w:bottom w:val="none" w:sz="0" w:space="0" w:color="auto"/>
        <w:right w:val="none" w:sz="0" w:space="0" w:color="auto"/>
      </w:divBdr>
    </w:div>
    <w:div w:id="1545755434">
      <w:bodyDiv w:val="1"/>
      <w:marLeft w:val="0"/>
      <w:marRight w:val="0"/>
      <w:marTop w:val="0"/>
      <w:marBottom w:val="0"/>
      <w:divBdr>
        <w:top w:val="none" w:sz="0" w:space="0" w:color="auto"/>
        <w:left w:val="none" w:sz="0" w:space="0" w:color="auto"/>
        <w:bottom w:val="none" w:sz="0" w:space="0" w:color="auto"/>
        <w:right w:val="none" w:sz="0" w:space="0" w:color="auto"/>
      </w:divBdr>
    </w:div>
    <w:div w:id="1546018780">
      <w:bodyDiv w:val="1"/>
      <w:marLeft w:val="0"/>
      <w:marRight w:val="0"/>
      <w:marTop w:val="0"/>
      <w:marBottom w:val="0"/>
      <w:divBdr>
        <w:top w:val="none" w:sz="0" w:space="0" w:color="auto"/>
        <w:left w:val="none" w:sz="0" w:space="0" w:color="auto"/>
        <w:bottom w:val="none" w:sz="0" w:space="0" w:color="auto"/>
        <w:right w:val="none" w:sz="0" w:space="0" w:color="auto"/>
      </w:divBdr>
    </w:div>
    <w:div w:id="1556577496">
      <w:bodyDiv w:val="1"/>
      <w:marLeft w:val="0"/>
      <w:marRight w:val="0"/>
      <w:marTop w:val="0"/>
      <w:marBottom w:val="0"/>
      <w:divBdr>
        <w:top w:val="none" w:sz="0" w:space="0" w:color="auto"/>
        <w:left w:val="none" w:sz="0" w:space="0" w:color="auto"/>
        <w:bottom w:val="none" w:sz="0" w:space="0" w:color="auto"/>
        <w:right w:val="none" w:sz="0" w:space="0" w:color="auto"/>
      </w:divBdr>
    </w:div>
    <w:div w:id="1570652701">
      <w:bodyDiv w:val="1"/>
      <w:marLeft w:val="0"/>
      <w:marRight w:val="0"/>
      <w:marTop w:val="0"/>
      <w:marBottom w:val="0"/>
      <w:divBdr>
        <w:top w:val="none" w:sz="0" w:space="0" w:color="auto"/>
        <w:left w:val="none" w:sz="0" w:space="0" w:color="auto"/>
        <w:bottom w:val="none" w:sz="0" w:space="0" w:color="auto"/>
        <w:right w:val="none" w:sz="0" w:space="0" w:color="auto"/>
      </w:divBdr>
    </w:div>
    <w:div w:id="1577014519">
      <w:bodyDiv w:val="1"/>
      <w:marLeft w:val="0"/>
      <w:marRight w:val="0"/>
      <w:marTop w:val="0"/>
      <w:marBottom w:val="0"/>
      <w:divBdr>
        <w:top w:val="none" w:sz="0" w:space="0" w:color="auto"/>
        <w:left w:val="none" w:sz="0" w:space="0" w:color="auto"/>
        <w:bottom w:val="none" w:sz="0" w:space="0" w:color="auto"/>
        <w:right w:val="none" w:sz="0" w:space="0" w:color="auto"/>
      </w:divBdr>
    </w:div>
    <w:div w:id="1578588696">
      <w:bodyDiv w:val="1"/>
      <w:marLeft w:val="0"/>
      <w:marRight w:val="0"/>
      <w:marTop w:val="0"/>
      <w:marBottom w:val="0"/>
      <w:divBdr>
        <w:top w:val="none" w:sz="0" w:space="0" w:color="auto"/>
        <w:left w:val="none" w:sz="0" w:space="0" w:color="auto"/>
        <w:bottom w:val="none" w:sz="0" w:space="0" w:color="auto"/>
        <w:right w:val="none" w:sz="0" w:space="0" w:color="auto"/>
      </w:divBdr>
    </w:div>
    <w:div w:id="1610624643">
      <w:bodyDiv w:val="1"/>
      <w:marLeft w:val="0"/>
      <w:marRight w:val="0"/>
      <w:marTop w:val="0"/>
      <w:marBottom w:val="0"/>
      <w:divBdr>
        <w:top w:val="none" w:sz="0" w:space="0" w:color="auto"/>
        <w:left w:val="none" w:sz="0" w:space="0" w:color="auto"/>
        <w:bottom w:val="none" w:sz="0" w:space="0" w:color="auto"/>
        <w:right w:val="none" w:sz="0" w:space="0" w:color="auto"/>
      </w:divBdr>
    </w:div>
    <w:div w:id="1615285357">
      <w:bodyDiv w:val="1"/>
      <w:marLeft w:val="0"/>
      <w:marRight w:val="0"/>
      <w:marTop w:val="0"/>
      <w:marBottom w:val="0"/>
      <w:divBdr>
        <w:top w:val="none" w:sz="0" w:space="0" w:color="auto"/>
        <w:left w:val="none" w:sz="0" w:space="0" w:color="auto"/>
        <w:bottom w:val="none" w:sz="0" w:space="0" w:color="auto"/>
        <w:right w:val="none" w:sz="0" w:space="0" w:color="auto"/>
      </w:divBdr>
    </w:div>
    <w:div w:id="1663581846">
      <w:bodyDiv w:val="1"/>
      <w:marLeft w:val="0"/>
      <w:marRight w:val="0"/>
      <w:marTop w:val="0"/>
      <w:marBottom w:val="0"/>
      <w:divBdr>
        <w:top w:val="none" w:sz="0" w:space="0" w:color="auto"/>
        <w:left w:val="none" w:sz="0" w:space="0" w:color="auto"/>
        <w:bottom w:val="none" w:sz="0" w:space="0" w:color="auto"/>
        <w:right w:val="none" w:sz="0" w:space="0" w:color="auto"/>
      </w:divBdr>
    </w:div>
    <w:div w:id="1686977850">
      <w:bodyDiv w:val="1"/>
      <w:marLeft w:val="0"/>
      <w:marRight w:val="0"/>
      <w:marTop w:val="0"/>
      <w:marBottom w:val="0"/>
      <w:divBdr>
        <w:top w:val="none" w:sz="0" w:space="0" w:color="auto"/>
        <w:left w:val="none" w:sz="0" w:space="0" w:color="auto"/>
        <w:bottom w:val="none" w:sz="0" w:space="0" w:color="auto"/>
        <w:right w:val="none" w:sz="0" w:space="0" w:color="auto"/>
      </w:divBdr>
    </w:div>
    <w:div w:id="1770275710">
      <w:bodyDiv w:val="1"/>
      <w:marLeft w:val="0"/>
      <w:marRight w:val="0"/>
      <w:marTop w:val="0"/>
      <w:marBottom w:val="0"/>
      <w:divBdr>
        <w:top w:val="none" w:sz="0" w:space="0" w:color="auto"/>
        <w:left w:val="none" w:sz="0" w:space="0" w:color="auto"/>
        <w:bottom w:val="none" w:sz="0" w:space="0" w:color="auto"/>
        <w:right w:val="none" w:sz="0" w:space="0" w:color="auto"/>
      </w:divBdr>
    </w:div>
    <w:div w:id="1784416340">
      <w:bodyDiv w:val="1"/>
      <w:marLeft w:val="0"/>
      <w:marRight w:val="0"/>
      <w:marTop w:val="0"/>
      <w:marBottom w:val="0"/>
      <w:divBdr>
        <w:top w:val="none" w:sz="0" w:space="0" w:color="auto"/>
        <w:left w:val="none" w:sz="0" w:space="0" w:color="auto"/>
        <w:bottom w:val="none" w:sz="0" w:space="0" w:color="auto"/>
        <w:right w:val="none" w:sz="0" w:space="0" w:color="auto"/>
      </w:divBdr>
    </w:div>
    <w:div w:id="1785925281">
      <w:bodyDiv w:val="1"/>
      <w:marLeft w:val="0"/>
      <w:marRight w:val="0"/>
      <w:marTop w:val="0"/>
      <w:marBottom w:val="0"/>
      <w:divBdr>
        <w:top w:val="none" w:sz="0" w:space="0" w:color="auto"/>
        <w:left w:val="none" w:sz="0" w:space="0" w:color="auto"/>
        <w:bottom w:val="none" w:sz="0" w:space="0" w:color="auto"/>
        <w:right w:val="none" w:sz="0" w:space="0" w:color="auto"/>
      </w:divBdr>
    </w:div>
    <w:div w:id="1791701511">
      <w:bodyDiv w:val="1"/>
      <w:marLeft w:val="0"/>
      <w:marRight w:val="0"/>
      <w:marTop w:val="0"/>
      <w:marBottom w:val="0"/>
      <w:divBdr>
        <w:top w:val="none" w:sz="0" w:space="0" w:color="auto"/>
        <w:left w:val="none" w:sz="0" w:space="0" w:color="auto"/>
        <w:bottom w:val="none" w:sz="0" w:space="0" w:color="auto"/>
        <w:right w:val="none" w:sz="0" w:space="0" w:color="auto"/>
      </w:divBdr>
    </w:div>
    <w:div w:id="1797677171">
      <w:bodyDiv w:val="1"/>
      <w:marLeft w:val="0"/>
      <w:marRight w:val="0"/>
      <w:marTop w:val="0"/>
      <w:marBottom w:val="0"/>
      <w:divBdr>
        <w:top w:val="none" w:sz="0" w:space="0" w:color="auto"/>
        <w:left w:val="none" w:sz="0" w:space="0" w:color="auto"/>
        <w:bottom w:val="none" w:sz="0" w:space="0" w:color="auto"/>
        <w:right w:val="none" w:sz="0" w:space="0" w:color="auto"/>
      </w:divBdr>
    </w:div>
    <w:div w:id="1800762077">
      <w:bodyDiv w:val="1"/>
      <w:marLeft w:val="0"/>
      <w:marRight w:val="0"/>
      <w:marTop w:val="0"/>
      <w:marBottom w:val="0"/>
      <w:divBdr>
        <w:top w:val="none" w:sz="0" w:space="0" w:color="auto"/>
        <w:left w:val="none" w:sz="0" w:space="0" w:color="auto"/>
        <w:bottom w:val="none" w:sz="0" w:space="0" w:color="auto"/>
        <w:right w:val="none" w:sz="0" w:space="0" w:color="auto"/>
      </w:divBdr>
    </w:div>
    <w:div w:id="1809979901">
      <w:bodyDiv w:val="1"/>
      <w:marLeft w:val="0"/>
      <w:marRight w:val="0"/>
      <w:marTop w:val="0"/>
      <w:marBottom w:val="0"/>
      <w:divBdr>
        <w:top w:val="none" w:sz="0" w:space="0" w:color="auto"/>
        <w:left w:val="none" w:sz="0" w:space="0" w:color="auto"/>
        <w:bottom w:val="none" w:sz="0" w:space="0" w:color="auto"/>
        <w:right w:val="none" w:sz="0" w:space="0" w:color="auto"/>
      </w:divBdr>
    </w:div>
    <w:div w:id="1825657333">
      <w:bodyDiv w:val="1"/>
      <w:marLeft w:val="0"/>
      <w:marRight w:val="0"/>
      <w:marTop w:val="0"/>
      <w:marBottom w:val="0"/>
      <w:divBdr>
        <w:top w:val="none" w:sz="0" w:space="0" w:color="auto"/>
        <w:left w:val="none" w:sz="0" w:space="0" w:color="auto"/>
        <w:bottom w:val="none" w:sz="0" w:space="0" w:color="auto"/>
        <w:right w:val="none" w:sz="0" w:space="0" w:color="auto"/>
      </w:divBdr>
    </w:div>
    <w:div w:id="1847550831">
      <w:bodyDiv w:val="1"/>
      <w:marLeft w:val="0"/>
      <w:marRight w:val="0"/>
      <w:marTop w:val="0"/>
      <w:marBottom w:val="0"/>
      <w:divBdr>
        <w:top w:val="none" w:sz="0" w:space="0" w:color="auto"/>
        <w:left w:val="none" w:sz="0" w:space="0" w:color="auto"/>
        <w:bottom w:val="none" w:sz="0" w:space="0" w:color="auto"/>
        <w:right w:val="none" w:sz="0" w:space="0" w:color="auto"/>
      </w:divBdr>
    </w:div>
    <w:div w:id="1849327612">
      <w:bodyDiv w:val="1"/>
      <w:marLeft w:val="0"/>
      <w:marRight w:val="0"/>
      <w:marTop w:val="0"/>
      <w:marBottom w:val="0"/>
      <w:divBdr>
        <w:top w:val="none" w:sz="0" w:space="0" w:color="auto"/>
        <w:left w:val="none" w:sz="0" w:space="0" w:color="auto"/>
        <w:bottom w:val="none" w:sz="0" w:space="0" w:color="auto"/>
        <w:right w:val="none" w:sz="0" w:space="0" w:color="auto"/>
      </w:divBdr>
    </w:div>
    <w:div w:id="1862009821">
      <w:bodyDiv w:val="1"/>
      <w:marLeft w:val="0"/>
      <w:marRight w:val="0"/>
      <w:marTop w:val="0"/>
      <w:marBottom w:val="0"/>
      <w:divBdr>
        <w:top w:val="none" w:sz="0" w:space="0" w:color="auto"/>
        <w:left w:val="none" w:sz="0" w:space="0" w:color="auto"/>
        <w:bottom w:val="none" w:sz="0" w:space="0" w:color="auto"/>
        <w:right w:val="none" w:sz="0" w:space="0" w:color="auto"/>
      </w:divBdr>
    </w:div>
    <w:div w:id="1865362588">
      <w:bodyDiv w:val="1"/>
      <w:marLeft w:val="0"/>
      <w:marRight w:val="0"/>
      <w:marTop w:val="0"/>
      <w:marBottom w:val="0"/>
      <w:divBdr>
        <w:top w:val="none" w:sz="0" w:space="0" w:color="auto"/>
        <w:left w:val="none" w:sz="0" w:space="0" w:color="auto"/>
        <w:bottom w:val="none" w:sz="0" w:space="0" w:color="auto"/>
        <w:right w:val="none" w:sz="0" w:space="0" w:color="auto"/>
      </w:divBdr>
    </w:div>
    <w:div w:id="1878735763">
      <w:bodyDiv w:val="1"/>
      <w:marLeft w:val="0"/>
      <w:marRight w:val="0"/>
      <w:marTop w:val="0"/>
      <w:marBottom w:val="0"/>
      <w:divBdr>
        <w:top w:val="none" w:sz="0" w:space="0" w:color="auto"/>
        <w:left w:val="none" w:sz="0" w:space="0" w:color="auto"/>
        <w:bottom w:val="none" w:sz="0" w:space="0" w:color="auto"/>
        <w:right w:val="none" w:sz="0" w:space="0" w:color="auto"/>
      </w:divBdr>
    </w:div>
    <w:div w:id="1879857725">
      <w:bodyDiv w:val="1"/>
      <w:marLeft w:val="0"/>
      <w:marRight w:val="0"/>
      <w:marTop w:val="0"/>
      <w:marBottom w:val="0"/>
      <w:divBdr>
        <w:top w:val="none" w:sz="0" w:space="0" w:color="auto"/>
        <w:left w:val="none" w:sz="0" w:space="0" w:color="auto"/>
        <w:bottom w:val="none" w:sz="0" w:space="0" w:color="auto"/>
        <w:right w:val="none" w:sz="0" w:space="0" w:color="auto"/>
      </w:divBdr>
    </w:div>
    <w:div w:id="1888445575">
      <w:bodyDiv w:val="1"/>
      <w:marLeft w:val="0"/>
      <w:marRight w:val="0"/>
      <w:marTop w:val="0"/>
      <w:marBottom w:val="0"/>
      <w:divBdr>
        <w:top w:val="none" w:sz="0" w:space="0" w:color="auto"/>
        <w:left w:val="none" w:sz="0" w:space="0" w:color="auto"/>
        <w:bottom w:val="none" w:sz="0" w:space="0" w:color="auto"/>
        <w:right w:val="none" w:sz="0" w:space="0" w:color="auto"/>
      </w:divBdr>
    </w:div>
    <w:div w:id="1951618746">
      <w:bodyDiv w:val="1"/>
      <w:marLeft w:val="0"/>
      <w:marRight w:val="0"/>
      <w:marTop w:val="0"/>
      <w:marBottom w:val="0"/>
      <w:divBdr>
        <w:top w:val="none" w:sz="0" w:space="0" w:color="auto"/>
        <w:left w:val="none" w:sz="0" w:space="0" w:color="auto"/>
        <w:bottom w:val="none" w:sz="0" w:space="0" w:color="auto"/>
        <w:right w:val="none" w:sz="0" w:space="0" w:color="auto"/>
      </w:divBdr>
    </w:div>
    <w:div w:id="1956599683">
      <w:bodyDiv w:val="1"/>
      <w:marLeft w:val="0"/>
      <w:marRight w:val="0"/>
      <w:marTop w:val="0"/>
      <w:marBottom w:val="0"/>
      <w:divBdr>
        <w:top w:val="none" w:sz="0" w:space="0" w:color="auto"/>
        <w:left w:val="none" w:sz="0" w:space="0" w:color="auto"/>
        <w:bottom w:val="none" w:sz="0" w:space="0" w:color="auto"/>
        <w:right w:val="none" w:sz="0" w:space="0" w:color="auto"/>
      </w:divBdr>
    </w:div>
    <w:div w:id="1959337123">
      <w:bodyDiv w:val="1"/>
      <w:marLeft w:val="0"/>
      <w:marRight w:val="0"/>
      <w:marTop w:val="0"/>
      <w:marBottom w:val="0"/>
      <w:divBdr>
        <w:top w:val="none" w:sz="0" w:space="0" w:color="auto"/>
        <w:left w:val="none" w:sz="0" w:space="0" w:color="auto"/>
        <w:bottom w:val="none" w:sz="0" w:space="0" w:color="auto"/>
        <w:right w:val="none" w:sz="0" w:space="0" w:color="auto"/>
      </w:divBdr>
    </w:div>
    <w:div w:id="1996296150">
      <w:bodyDiv w:val="1"/>
      <w:marLeft w:val="0"/>
      <w:marRight w:val="0"/>
      <w:marTop w:val="0"/>
      <w:marBottom w:val="0"/>
      <w:divBdr>
        <w:top w:val="none" w:sz="0" w:space="0" w:color="auto"/>
        <w:left w:val="none" w:sz="0" w:space="0" w:color="auto"/>
        <w:bottom w:val="none" w:sz="0" w:space="0" w:color="auto"/>
        <w:right w:val="none" w:sz="0" w:space="0" w:color="auto"/>
      </w:divBdr>
    </w:div>
    <w:div w:id="2008820318">
      <w:bodyDiv w:val="1"/>
      <w:marLeft w:val="0"/>
      <w:marRight w:val="0"/>
      <w:marTop w:val="0"/>
      <w:marBottom w:val="0"/>
      <w:divBdr>
        <w:top w:val="none" w:sz="0" w:space="0" w:color="auto"/>
        <w:left w:val="none" w:sz="0" w:space="0" w:color="auto"/>
        <w:bottom w:val="none" w:sz="0" w:space="0" w:color="auto"/>
        <w:right w:val="none" w:sz="0" w:space="0" w:color="auto"/>
      </w:divBdr>
    </w:div>
    <w:div w:id="2012873901">
      <w:bodyDiv w:val="1"/>
      <w:marLeft w:val="0"/>
      <w:marRight w:val="0"/>
      <w:marTop w:val="0"/>
      <w:marBottom w:val="0"/>
      <w:divBdr>
        <w:top w:val="none" w:sz="0" w:space="0" w:color="auto"/>
        <w:left w:val="none" w:sz="0" w:space="0" w:color="auto"/>
        <w:bottom w:val="none" w:sz="0" w:space="0" w:color="auto"/>
        <w:right w:val="none" w:sz="0" w:space="0" w:color="auto"/>
      </w:divBdr>
    </w:div>
    <w:div w:id="2042588719">
      <w:bodyDiv w:val="1"/>
      <w:marLeft w:val="0"/>
      <w:marRight w:val="0"/>
      <w:marTop w:val="0"/>
      <w:marBottom w:val="0"/>
      <w:divBdr>
        <w:top w:val="none" w:sz="0" w:space="0" w:color="auto"/>
        <w:left w:val="none" w:sz="0" w:space="0" w:color="auto"/>
        <w:bottom w:val="none" w:sz="0" w:space="0" w:color="auto"/>
        <w:right w:val="none" w:sz="0" w:space="0" w:color="auto"/>
      </w:divBdr>
    </w:div>
    <w:div w:id="2052146862">
      <w:bodyDiv w:val="1"/>
      <w:marLeft w:val="0"/>
      <w:marRight w:val="0"/>
      <w:marTop w:val="0"/>
      <w:marBottom w:val="0"/>
      <w:divBdr>
        <w:top w:val="none" w:sz="0" w:space="0" w:color="auto"/>
        <w:left w:val="none" w:sz="0" w:space="0" w:color="auto"/>
        <w:bottom w:val="none" w:sz="0" w:space="0" w:color="auto"/>
        <w:right w:val="none" w:sz="0" w:space="0" w:color="auto"/>
      </w:divBdr>
    </w:div>
    <w:div w:id="2054650769">
      <w:bodyDiv w:val="1"/>
      <w:marLeft w:val="0"/>
      <w:marRight w:val="0"/>
      <w:marTop w:val="0"/>
      <w:marBottom w:val="0"/>
      <w:divBdr>
        <w:top w:val="none" w:sz="0" w:space="0" w:color="auto"/>
        <w:left w:val="none" w:sz="0" w:space="0" w:color="auto"/>
        <w:bottom w:val="none" w:sz="0" w:space="0" w:color="auto"/>
        <w:right w:val="none" w:sz="0" w:space="0" w:color="auto"/>
      </w:divBdr>
    </w:div>
    <w:div w:id="2059088162">
      <w:bodyDiv w:val="1"/>
      <w:marLeft w:val="0"/>
      <w:marRight w:val="0"/>
      <w:marTop w:val="0"/>
      <w:marBottom w:val="0"/>
      <w:divBdr>
        <w:top w:val="none" w:sz="0" w:space="0" w:color="auto"/>
        <w:left w:val="none" w:sz="0" w:space="0" w:color="auto"/>
        <w:bottom w:val="none" w:sz="0" w:space="0" w:color="auto"/>
        <w:right w:val="none" w:sz="0" w:space="0" w:color="auto"/>
      </w:divBdr>
    </w:div>
    <w:div w:id="2079593412">
      <w:bodyDiv w:val="1"/>
      <w:marLeft w:val="0"/>
      <w:marRight w:val="0"/>
      <w:marTop w:val="0"/>
      <w:marBottom w:val="0"/>
      <w:divBdr>
        <w:top w:val="none" w:sz="0" w:space="0" w:color="auto"/>
        <w:left w:val="none" w:sz="0" w:space="0" w:color="auto"/>
        <w:bottom w:val="none" w:sz="0" w:space="0" w:color="auto"/>
        <w:right w:val="none" w:sz="0" w:space="0" w:color="auto"/>
      </w:divBdr>
    </w:div>
    <w:div w:id="2079741536">
      <w:bodyDiv w:val="1"/>
      <w:marLeft w:val="0"/>
      <w:marRight w:val="0"/>
      <w:marTop w:val="0"/>
      <w:marBottom w:val="0"/>
      <w:divBdr>
        <w:top w:val="none" w:sz="0" w:space="0" w:color="auto"/>
        <w:left w:val="none" w:sz="0" w:space="0" w:color="auto"/>
        <w:bottom w:val="none" w:sz="0" w:space="0" w:color="auto"/>
        <w:right w:val="none" w:sz="0" w:space="0" w:color="auto"/>
      </w:divBdr>
    </w:div>
    <w:div w:id="2080713163">
      <w:bodyDiv w:val="1"/>
      <w:marLeft w:val="0"/>
      <w:marRight w:val="0"/>
      <w:marTop w:val="0"/>
      <w:marBottom w:val="0"/>
      <w:divBdr>
        <w:top w:val="none" w:sz="0" w:space="0" w:color="auto"/>
        <w:left w:val="none" w:sz="0" w:space="0" w:color="auto"/>
        <w:bottom w:val="none" w:sz="0" w:space="0" w:color="auto"/>
        <w:right w:val="none" w:sz="0" w:space="0" w:color="auto"/>
      </w:divBdr>
    </w:div>
    <w:div w:id="2083288091">
      <w:bodyDiv w:val="1"/>
      <w:marLeft w:val="0"/>
      <w:marRight w:val="0"/>
      <w:marTop w:val="0"/>
      <w:marBottom w:val="0"/>
      <w:divBdr>
        <w:top w:val="none" w:sz="0" w:space="0" w:color="auto"/>
        <w:left w:val="none" w:sz="0" w:space="0" w:color="auto"/>
        <w:bottom w:val="none" w:sz="0" w:space="0" w:color="auto"/>
        <w:right w:val="none" w:sz="0" w:space="0" w:color="auto"/>
      </w:divBdr>
    </w:div>
    <w:div w:id="2107648549">
      <w:bodyDiv w:val="1"/>
      <w:marLeft w:val="0"/>
      <w:marRight w:val="0"/>
      <w:marTop w:val="0"/>
      <w:marBottom w:val="0"/>
      <w:divBdr>
        <w:top w:val="none" w:sz="0" w:space="0" w:color="auto"/>
        <w:left w:val="none" w:sz="0" w:space="0" w:color="auto"/>
        <w:bottom w:val="none" w:sz="0" w:space="0" w:color="auto"/>
        <w:right w:val="none" w:sz="0" w:space="0" w:color="auto"/>
      </w:divBdr>
    </w:div>
    <w:div w:id="2134015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k.wikipedia.org/wiki/Vraku%C5%88a" TargetMode="External"/><Relationship Id="rId21" Type="http://schemas.openxmlformats.org/officeDocument/2006/relationships/hyperlink" Target="https://sk.wikipedia.org/wiki/Starosta" TargetMode="External"/><Relationship Id="rId42" Type="http://schemas.openxmlformats.org/officeDocument/2006/relationships/hyperlink" Target="https://sk.wikipedia.org/wiki/Rusovce" TargetMode="External"/><Relationship Id="rId47" Type="http://schemas.openxmlformats.org/officeDocument/2006/relationships/image" Target="media/image11.png"/><Relationship Id="rId63" Type="http://schemas.openxmlformats.org/officeDocument/2006/relationships/image" Target="media/image27.png"/><Relationship Id="rId68" Type="http://schemas.openxmlformats.org/officeDocument/2006/relationships/image" Target="media/image31.emf"/><Relationship Id="rId84" Type="http://schemas.openxmlformats.org/officeDocument/2006/relationships/oleObject" Target="embeddings/oleObject5.bin"/><Relationship Id="rId89" Type="http://schemas.openxmlformats.org/officeDocument/2006/relationships/fontTable" Target="fontTable.xml"/><Relationship Id="rId16" Type="http://schemas.openxmlformats.org/officeDocument/2006/relationships/image" Target="media/image3.jpeg"/><Relationship Id="rId11" Type="http://schemas.openxmlformats.org/officeDocument/2006/relationships/image" Target="media/image1.gif"/><Relationship Id="rId32" Type="http://schemas.openxmlformats.org/officeDocument/2006/relationships/hyperlink" Target="https://sk.wikipedia.org/wiki/Bratislava_IV_(okres)" TargetMode="External"/><Relationship Id="rId37" Type="http://schemas.openxmlformats.org/officeDocument/2006/relationships/hyperlink" Target="https://sk.wikipedia.org/wiki/Bratislava_%E2%80%93_mestsk%C3%A1_%C4%8Das%C5%A5_Lama%C4%8D" TargetMode="External"/><Relationship Id="rId53" Type="http://schemas.openxmlformats.org/officeDocument/2006/relationships/image" Target="media/image17.png"/><Relationship Id="rId58" Type="http://schemas.openxmlformats.org/officeDocument/2006/relationships/image" Target="media/image22.png"/><Relationship Id="rId74" Type="http://schemas.openxmlformats.org/officeDocument/2006/relationships/image" Target="media/image36.wmf"/><Relationship Id="rId79" Type="http://schemas.openxmlformats.org/officeDocument/2006/relationships/oleObject" Target="embeddings/oleObject3.bin"/><Relationship Id="rId5" Type="http://schemas.openxmlformats.org/officeDocument/2006/relationships/numbering" Target="numbering.xml"/><Relationship Id="rId90" Type="http://schemas.openxmlformats.org/officeDocument/2006/relationships/theme" Target="theme/theme1.xml"/><Relationship Id="rId14" Type="http://schemas.openxmlformats.org/officeDocument/2006/relationships/hyperlink" Target="mailto:matus.mocary@metroba.sk" TargetMode="External"/><Relationship Id="rId22" Type="http://schemas.openxmlformats.org/officeDocument/2006/relationships/hyperlink" Target="https://sk.wikipedia.org/wiki/Star%C3%A9_Mesto_(Bratislava)" TargetMode="External"/><Relationship Id="rId27" Type="http://schemas.openxmlformats.org/officeDocument/2006/relationships/hyperlink" Target="https://sk.wikipedia.org/wiki/Podunajsk%C3%A9_Biskupice" TargetMode="External"/><Relationship Id="rId30" Type="http://schemas.openxmlformats.org/officeDocument/2006/relationships/hyperlink" Target="https://sk.wikipedia.org/wiki/Ra%C4%8Da_(mestsk%C3%A1_%C4%8Das%C5%A5)" TargetMode="External"/><Relationship Id="rId35" Type="http://schemas.openxmlformats.org/officeDocument/2006/relationships/hyperlink" Target="https://sk.wikipedia.org/wiki/Bratislava_-_Dev%C3%ADn" TargetMode="External"/><Relationship Id="rId43" Type="http://schemas.openxmlformats.org/officeDocument/2006/relationships/hyperlink" Target="https://sk.wikipedia.org/wiki/%C4%8Cunovo" TargetMode="External"/><Relationship Id="rId48" Type="http://schemas.openxmlformats.org/officeDocument/2006/relationships/image" Target="media/image12.png"/><Relationship Id="rId56" Type="http://schemas.openxmlformats.org/officeDocument/2006/relationships/image" Target="media/image20.png"/><Relationship Id="rId64" Type="http://schemas.openxmlformats.org/officeDocument/2006/relationships/image" Target="media/image28.png"/><Relationship Id="rId69" Type="http://schemas.openxmlformats.org/officeDocument/2006/relationships/image" Target="media/image32.emf"/><Relationship Id="rId77" Type="http://schemas.openxmlformats.org/officeDocument/2006/relationships/oleObject" Target="embeddings/oleObject2.bin"/><Relationship Id="rId8" Type="http://schemas.openxmlformats.org/officeDocument/2006/relationships/webSettings" Target="webSettings.xml"/><Relationship Id="rId51" Type="http://schemas.openxmlformats.org/officeDocument/2006/relationships/image" Target="media/image15.png"/><Relationship Id="rId72" Type="http://schemas.openxmlformats.org/officeDocument/2006/relationships/image" Target="media/image35.emf"/><Relationship Id="rId80" Type="http://schemas.openxmlformats.org/officeDocument/2006/relationships/image" Target="media/image39.wmf"/><Relationship Id="rId85" Type="http://schemas.openxmlformats.org/officeDocument/2006/relationships/chart" Target="charts/chart3.xml"/><Relationship Id="rId3" Type="http://schemas.openxmlformats.org/officeDocument/2006/relationships/customXml" Target="../customXml/item3.xml"/><Relationship Id="rId12" Type="http://schemas.openxmlformats.org/officeDocument/2006/relationships/image" Target="media/image1.jpg"/><Relationship Id="rId17" Type="http://schemas.openxmlformats.org/officeDocument/2006/relationships/image" Target="media/image4.jpeg"/><Relationship Id="rId25" Type="http://schemas.openxmlformats.org/officeDocument/2006/relationships/hyperlink" Target="https://sk.wikipedia.org/wiki/Ru%C5%BEinov" TargetMode="External"/><Relationship Id="rId33" Type="http://schemas.openxmlformats.org/officeDocument/2006/relationships/hyperlink" Target="https://sk.wikipedia.org/wiki/D%C3%BAbravka_(Bratislava)" TargetMode="External"/><Relationship Id="rId38" Type="http://schemas.openxmlformats.org/officeDocument/2006/relationships/hyperlink" Target="https://sk.wikipedia.org/wiki/Z%C3%A1horsk%C3%A1_Bystrica" TargetMode="External"/><Relationship Id="rId46" Type="http://schemas.openxmlformats.org/officeDocument/2006/relationships/image" Target="media/image10.png"/><Relationship Id="rId59" Type="http://schemas.openxmlformats.org/officeDocument/2006/relationships/image" Target="media/image23.png"/><Relationship Id="rId67" Type="http://schemas.openxmlformats.org/officeDocument/2006/relationships/image" Target="media/image30.emf"/><Relationship Id="rId20" Type="http://schemas.openxmlformats.org/officeDocument/2006/relationships/hyperlink" Target="https://sk.wikipedia.org/wiki/Mestsk%C3%A1_%C4%8Das%C5%A5" TargetMode="External"/><Relationship Id="rId41" Type="http://schemas.openxmlformats.org/officeDocument/2006/relationships/hyperlink" Target="https://sk.wikipedia.org/wiki/Jarovce" TargetMode="External"/><Relationship Id="rId54" Type="http://schemas.openxmlformats.org/officeDocument/2006/relationships/image" Target="media/image18.png"/><Relationship Id="rId62" Type="http://schemas.openxmlformats.org/officeDocument/2006/relationships/image" Target="media/image26.jpeg"/><Relationship Id="rId70" Type="http://schemas.openxmlformats.org/officeDocument/2006/relationships/image" Target="media/image33.png"/><Relationship Id="rId75" Type="http://schemas.openxmlformats.org/officeDocument/2006/relationships/oleObject" Target="embeddings/oleObject1.bin"/><Relationship Id="rId83" Type="http://schemas.openxmlformats.org/officeDocument/2006/relationships/image" Target="media/image40.wmf"/><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jpeg"/><Relationship Id="rId23" Type="http://schemas.openxmlformats.org/officeDocument/2006/relationships/image" Target="media/image7.png"/><Relationship Id="rId28" Type="http://schemas.openxmlformats.org/officeDocument/2006/relationships/hyperlink" Target="https://sk.wikipedia.org/wiki/Bratislava_III_(okres)" TargetMode="External"/><Relationship Id="rId36" Type="http://schemas.openxmlformats.org/officeDocument/2006/relationships/hyperlink" Target="https://sk.wikipedia.org/wiki/Bratislava_%E2%80%93_mestsk%C3%A1_%C4%8Das%C5%A5_Dev%C3%ADnska_Nov%C3%A1_Ves" TargetMode="External"/><Relationship Id="rId49" Type="http://schemas.openxmlformats.org/officeDocument/2006/relationships/image" Target="media/image13.png"/><Relationship Id="rId57" Type="http://schemas.openxmlformats.org/officeDocument/2006/relationships/image" Target="media/image21.png"/><Relationship Id="rId10" Type="http://schemas.openxmlformats.org/officeDocument/2006/relationships/endnotes" Target="endnotes.xml"/><Relationship Id="rId31" Type="http://schemas.openxmlformats.org/officeDocument/2006/relationships/hyperlink" Target="https://sk.wikipedia.org/wiki/Vajnory" TargetMode="External"/><Relationship Id="rId44" Type="http://schemas.openxmlformats.org/officeDocument/2006/relationships/image" Target="media/image8.png"/><Relationship Id="rId52" Type="http://schemas.openxmlformats.org/officeDocument/2006/relationships/image" Target="media/image16.png"/><Relationship Id="rId60" Type="http://schemas.openxmlformats.org/officeDocument/2006/relationships/image" Target="media/image24.png"/><Relationship Id="rId65" Type="http://schemas.openxmlformats.org/officeDocument/2006/relationships/hyperlink" Target="https://dieselnet.com/standards/eu/nonroad.php%23s3" TargetMode="External"/><Relationship Id="rId73" Type="http://schemas.openxmlformats.org/officeDocument/2006/relationships/chart" Target="charts/chart1.xml"/><Relationship Id="rId78" Type="http://schemas.openxmlformats.org/officeDocument/2006/relationships/image" Target="media/image38.wmf"/><Relationship Id="rId81" Type="http://schemas.openxmlformats.org/officeDocument/2006/relationships/oleObject" Target="embeddings/oleObject4.bin"/><Relationship Id="rId86" Type="http://schemas.openxmlformats.org/officeDocument/2006/relationships/chart" Target="charts/chart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matus.mocary@metroba.sk" TargetMode="External"/><Relationship Id="rId18" Type="http://schemas.openxmlformats.org/officeDocument/2006/relationships/image" Target="media/image5.jpeg"/><Relationship Id="rId39" Type="http://schemas.openxmlformats.org/officeDocument/2006/relationships/hyperlink" Target="https://sk.wikipedia.org/wiki/Bratislava_V_(okres)" TargetMode="External"/><Relationship Id="rId34" Type="http://schemas.openxmlformats.org/officeDocument/2006/relationships/hyperlink" Target="https://sk.wikipedia.org/wiki/Bratislava_-_Karlova_Ves" TargetMode="External"/><Relationship Id="rId50" Type="http://schemas.openxmlformats.org/officeDocument/2006/relationships/image" Target="media/image14.png"/><Relationship Id="rId55" Type="http://schemas.openxmlformats.org/officeDocument/2006/relationships/image" Target="media/image19.png"/><Relationship Id="rId76" Type="http://schemas.openxmlformats.org/officeDocument/2006/relationships/image" Target="media/image37.wmf"/><Relationship Id="rId7" Type="http://schemas.openxmlformats.org/officeDocument/2006/relationships/settings" Target="settings.xml"/><Relationship Id="rId71" Type="http://schemas.openxmlformats.org/officeDocument/2006/relationships/image" Target="media/image34.png"/><Relationship Id="rId2" Type="http://schemas.openxmlformats.org/officeDocument/2006/relationships/customXml" Target="../customXml/item2.xml"/><Relationship Id="rId29" Type="http://schemas.openxmlformats.org/officeDocument/2006/relationships/hyperlink" Target="https://sk.wikipedia.org/wiki/Nov%C3%A9_Mesto_(Bratislava)" TargetMode="External"/><Relationship Id="rId24" Type="http://schemas.openxmlformats.org/officeDocument/2006/relationships/hyperlink" Target="https://sk.wikipedia.org/wiki/Bratislava_II_(okres)" TargetMode="External"/><Relationship Id="rId40" Type="http://schemas.openxmlformats.org/officeDocument/2006/relationships/hyperlink" Target="https://sk.wikipedia.org/wiki/Petr%C5%BEalka" TargetMode="External"/><Relationship Id="rId45" Type="http://schemas.openxmlformats.org/officeDocument/2006/relationships/image" Target="media/image9.png"/><Relationship Id="rId66" Type="http://schemas.openxmlformats.org/officeDocument/2006/relationships/image" Target="media/image29.png"/><Relationship Id="rId87" Type="http://schemas.openxmlformats.org/officeDocument/2006/relationships/header" Target="header1.xml"/><Relationship Id="rId61" Type="http://schemas.openxmlformats.org/officeDocument/2006/relationships/image" Target="media/image25.png"/><Relationship Id="rId82" Type="http://schemas.openxmlformats.org/officeDocument/2006/relationships/chart" Target="charts/chart2.xml"/><Relationship Id="rId19" Type="http://schemas.openxmlformats.org/officeDocument/2006/relationships/image" Target="media/image6.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45"/>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1602078615394596E-2"/>
          <c:y val="7.8617474515402297E-2"/>
          <c:w val="0.86254429991718784"/>
          <c:h val="0.66821965196689093"/>
        </c:manualLayout>
      </c:layout>
      <c:bar3DChart>
        <c:barDir val="col"/>
        <c:grouping val="clustered"/>
        <c:varyColors val="0"/>
        <c:ser>
          <c:idx val="0"/>
          <c:order val="0"/>
          <c:tx>
            <c:strRef>
              <c:f>Sheet1!$A$2</c:f>
              <c:strCache>
                <c:ptCount val="1"/>
                <c:pt idx="0">
                  <c:v>váha</c:v>
                </c:pt>
              </c:strCache>
            </c:strRef>
          </c:tx>
          <c:spPr>
            <a:solidFill>
              <a:srgbClr val="9999FF"/>
            </a:solidFill>
            <a:ln w="12056">
              <a:solidFill>
                <a:srgbClr val="000000"/>
              </a:solidFill>
              <a:prstDash val="solid"/>
            </a:ln>
          </c:spPr>
          <c:invertIfNegative val="0"/>
          <c:cat>
            <c:strRef>
              <c:f>Sheet1!$B$1:$U$1</c:f>
              <c:strCache>
                <c:ptCount val="20"/>
                <c:pt idx="0">
                  <c:v>I.1</c:v>
                </c:pt>
                <c:pt idx="1">
                  <c:v>I,2</c:v>
                </c:pt>
                <c:pt idx="2">
                  <c:v>I.3</c:v>
                </c:pt>
                <c:pt idx="3">
                  <c:v>I.4</c:v>
                </c:pt>
                <c:pt idx="4">
                  <c:v>I.5</c:v>
                </c:pt>
                <c:pt idx="5">
                  <c:v>I.6</c:v>
                </c:pt>
                <c:pt idx="6">
                  <c:v>I.7</c:v>
                </c:pt>
                <c:pt idx="7">
                  <c:v>I.8</c:v>
                </c:pt>
                <c:pt idx="8">
                  <c:v>II.1</c:v>
                </c:pt>
                <c:pt idx="9">
                  <c:v>II.2</c:v>
                </c:pt>
                <c:pt idx="10">
                  <c:v>II.3</c:v>
                </c:pt>
                <c:pt idx="11">
                  <c:v>II.4</c:v>
                </c:pt>
                <c:pt idx="12">
                  <c:v>III.1</c:v>
                </c:pt>
                <c:pt idx="13">
                  <c:v>III.2</c:v>
                </c:pt>
                <c:pt idx="14">
                  <c:v>III.3</c:v>
                </c:pt>
                <c:pt idx="15">
                  <c:v>III.4</c:v>
                </c:pt>
                <c:pt idx="16">
                  <c:v>III.5</c:v>
                </c:pt>
                <c:pt idx="17">
                  <c:v>III.6</c:v>
                </c:pt>
                <c:pt idx="18">
                  <c:v>III.7</c:v>
                </c:pt>
                <c:pt idx="19">
                  <c:v>III.8</c:v>
                </c:pt>
              </c:strCache>
            </c:strRef>
          </c:cat>
          <c:val>
            <c:numRef>
              <c:f>Sheet1!$B$2:$U$2</c:f>
              <c:numCache>
                <c:formatCode>General</c:formatCode>
                <c:ptCount val="20"/>
                <c:pt idx="0">
                  <c:v>2.1000000000000001E-2</c:v>
                </c:pt>
                <c:pt idx="1">
                  <c:v>1.0999999999999999E-2</c:v>
                </c:pt>
                <c:pt idx="2">
                  <c:v>2.1000000000000001E-2</c:v>
                </c:pt>
                <c:pt idx="3">
                  <c:v>3.2000000000000001E-2</c:v>
                </c:pt>
                <c:pt idx="4">
                  <c:v>0.1</c:v>
                </c:pt>
                <c:pt idx="5">
                  <c:v>9.5000000000000001E-2</c:v>
                </c:pt>
                <c:pt idx="6">
                  <c:v>7.9000000000000001E-2</c:v>
                </c:pt>
                <c:pt idx="7">
                  <c:v>6.3E-2</c:v>
                </c:pt>
                <c:pt idx="8">
                  <c:v>2.5999999999999999E-2</c:v>
                </c:pt>
                <c:pt idx="9">
                  <c:v>5.0000000000000001E-3</c:v>
                </c:pt>
                <c:pt idx="10">
                  <c:v>4.2000000000000003E-2</c:v>
                </c:pt>
                <c:pt idx="11">
                  <c:v>7.3999999999999996E-2</c:v>
                </c:pt>
                <c:pt idx="12">
                  <c:v>3.6999999999999998E-2</c:v>
                </c:pt>
                <c:pt idx="13">
                  <c:v>7.3999999999999996E-2</c:v>
                </c:pt>
                <c:pt idx="14">
                  <c:v>1.6E-2</c:v>
                </c:pt>
                <c:pt idx="15">
                  <c:v>7.9000000000000001E-2</c:v>
                </c:pt>
                <c:pt idx="16">
                  <c:v>5.1999999999999998E-2</c:v>
                </c:pt>
                <c:pt idx="17">
                  <c:v>5.2499999999999998E-2</c:v>
                </c:pt>
                <c:pt idx="18">
                  <c:v>5.8000000000000003E-2</c:v>
                </c:pt>
                <c:pt idx="19">
                  <c:v>6.3E-2</c:v>
                </c:pt>
              </c:numCache>
            </c:numRef>
          </c:val>
          <c:extLst>
            <c:ext xmlns:c16="http://schemas.microsoft.com/office/drawing/2014/chart" uri="{C3380CC4-5D6E-409C-BE32-E72D297353CC}">
              <c16:uniqueId val="{00000000-2A04-463F-9DD7-BA36C9108B47}"/>
            </c:ext>
          </c:extLst>
        </c:ser>
        <c:dLbls>
          <c:showLegendKey val="0"/>
          <c:showVal val="0"/>
          <c:showCatName val="0"/>
          <c:showSerName val="0"/>
          <c:showPercent val="0"/>
          <c:showBubbleSize val="0"/>
        </c:dLbls>
        <c:gapWidth val="150"/>
        <c:gapDepth val="0"/>
        <c:shape val="box"/>
        <c:axId val="2036786656"/>
        <c:axId val="1"/>
        <c:axId val="0"/>
      </c:bar3DChart>
      <c:catAx>
        <c:axId val="2036786656"/>
        <c:scaling>
          <c:orientation val="minMax"/>
        </c:scaling>
        <c:delete val="0"/>
        <c:axPos val="b"/>
        <c:numFmt formatCode="General" sourceLinked="1"/>
        <c:majorTickMark val="out"/>
        <c:minorTickMark val="none"/>
        <c:tickLblPos val="low"/>
        <c:spPr>
          <a:ln w="3014">
            <a:solidFill>
              <a:srgbClr val="000000"/>
            </a:solidFill>
            <a:prstDash val="solid"/>
          </a:ln>
        </c:spPr>
        <c:txPr>
          <a:bodyPr rot="0" vert="horz"/>
          <a:lstStyle/>
          <a:p>
            <a:pPr>
              <a:defRPr sz="856" b="1" i="0" u="none" strike="noStrike" baseline="0">
                <a:solidFill>
                  <a:srgbClr val="000000"/>
                </a:solidFill>
                <a:latin typeface="Arial CE"/>
                <a:ea typeface="Arial CE"/>
                <a:cs typeface="Arial CE"/>
              </a:defRPr>
            </a:pPr>
            <a:endParaRPr lang="sk-SK"/>
          </a:p>
        </c:txPr>
        <c:crossAx val="1"/>
        <c:crosses val="autoZero"/>
        <c:auto val="1"/>
        <c:lblAlgn val="ctr"/>
        <c:lblOffset val="100"/>
        <c:tickLblSkip val="1"/>
        <c:tickMarkSkip val="1"/>
        <c:noMultiLvlLbl val="0"/>
      </c:catAx>
      <c:valAx>
        <c:axId val="1"/>
        <c:scaling>
          <c:orientation val="minMax"/>
        </c:scaling>
        <c:delete val="0"/>
        <c:axPos val="l"/>
        <c:majorGridlines>
          <c:spPr>
            <a:ln w="3014">
              <a:solidFill>
                <a:srgbClr val="000000"/>
              </a:solidFill>
              <a:prstDash val="solid"/>
            </a:ln>
          </c:spPr>
        </c:majorGridlines>
        <c:numFmt formatCode="General" sourceLinked="1"/>
        <c:majorTickMark val="out"/>
        <c:minorTickMark val="none"/>
        <c:tickLblPos val="nextTo"/>
        <c:spPr>
          <a:ln w="3014">
            <a:solidFill>
              <a:srgbClr val="000000"/>
            </a:solidFill>
            <a:prstDash val="solid"/>
          </a:ln>
        </c:spPr>
        <c:txPr>
          <a:bodyPr rot="0" vert="horz"/>
          <a:lstStyle/>
          <a:p>
            <a:pPr>
              <a:defRPr sz="1141" b="1" i="0" u="none" strike="noStrike" baseline="0">
                <a:solidFill>
                  <a:srgbClr val="000000"/>
                </a:solidFill>
                <a:latin typeface="Arial CE"/>
                <a:ea typeface="Arial CE"/>
                <a:cs typeface="Arial CE"/>
              </a:defRPr>
            </a:pPr>
            <a:endParaRPr lang="sk-SK"/>
          </a:p>
        </c:txPr>
        <c:crossAx val="2036786656"/>
        <c:crosses val="autoZero"/>
        <c:crossBetween val="between"/>
      </c:valAx>
      <c:spPr>
        <a:noFill/>
        <a:ln w="25432">
          <a:noFill/>
        </a:ln>
      </c:spPr>
    </c:plotArea>
    <c:legend>
      <c:legendPos val="r"/>
      <c:layout>
        <c:manualLayout>
          <c:xMode val="edge"/>
          <c:yMode val="edge"/>
          <c:x val="0.61695984204506082"/>
          <c:y val="0.82709880811640757"/>
          <c:w val="0.26534229663979747"/>
          <c:h val="9.6733659000840203E-2"/>
        </c:manualLayout>
      </c:layout>
      <c:overlay val="0"/>
      <c:spPr>
        <a:noFill/>
        <a:ln w="3014">
          <a:solidFill>
            <a:srgbClr val="000000"/>
          </a:solidFill>
          <a:prstDash val="solid"/>
        </a:ln>
      </c:spPr>
      <c:txPr>
        <a:bodyPr/>
        <a:lstStyle/>
        <a:p>
          <a:pPr>
            <a:defRPr sz="1044" b="1" i="0" u="none" strike="noStrike" baseline="0">
              <a:solidFill>
                <a:srgbClr val="000000"/>
              </a:solidFill>
              <a:latin typeface="Arial CE"/>
              <a:ea typeface="Arial CE"/>
              <a:cs typeface="Arial CE"/>
            </a:defRPr>
          </a:pPr>
          <a:endParaRPr lang="sk-SK"/>
        </a:p>
      </c:txPr>
    </c:legend>
    <c:plotVisOnly val="1"/>
    <c:dispBlanksAs val="gap"/>
    <c:showDLblsOverMax val="0"/>
  </c:chart>
  <c:spPr>
    <a:noFill/>
    <a:ln>
      <a:noFill/>
    </a:ln>
  </c:spPr>
  <c:txPr>
    <a:bodyPr/>
    <a:lstStyle/>
    <a:p>
      <a:pPr>
        <a:defRPr sz="1141" b="1" i="0" u="none" strike="noStrike" baseline="0">
          <a:solidFill>
            <a:srgbClr val="000000"/>
          </a:solidFill>
          <a:latin typeface="Arial CE"/>
          <a:ea typeface="Arial CE"/>
          <a:cs typeface="Arial CE"/>
        </a:defRPr>
      </a:pPr>
      <a:endParaRPr lang="sk-SK"/>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36"/>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180849139646212E-2"/>
          <c:y val="6.4176340332304765E-2"/>
          <c:w val="0.83463338533541342"/>
          <c:h val="0.75715805153725191"/>
        </c:manualLayout>
      </c:layout>
      <c:bar3DChart>
        <c:barDir val="col"/>
        <c:grouping val="clustered"/>
        <c:varyColors val="0"/>
        <c:ser>
          <c:idx val="0"/>
          <c:order val="0"/>
          <c:tx>
            <c:strRef>
              <c:f>Sheet1!$A$2</c:f>
              <c:strCache>
                <c:ptCount val="1"/>
                <c:pt idx="0">
                  <c:v>váha</c:v>
                </c:pt>
              </c:strCache>
            </c:strRef>
          </c:tx>
          <c:spPr>
            <a:solidFill>
              <a:srgbClr val="9999FF"/>
            </a:solidFill>
            <a:ln w="13023">
              <a:solidFill>
                <a:srgbClr val="000000"/>
              </a:solidFill>
              <a:prstDash val="solid"/>
            </a:ln>
          </c:spPr>
          <c:invertIfNegative val="0"/>
          <c:cat>
            <c:numRef>
              <c:f>Sheet1!$B$1:$Z$1</c:f>
              <c:numCache>
                <c:formatCode>General</c:formatCode>
                <c:ptCount val="25"/>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cat>
          <c:val>
            <c:numRef>
              <c:f>Sheet1!$B$2:$Z$2</c:f>
              <c:numCache>
                <c:formatCode>General</c:formatCode>
                <c:ptCount val="25"/>
                <c:pt idx="1">
                  <c:v>2.3699999999999999E-2</c:v>
                </c:pt>
                <c:pt idx="2">
                  <c:v>3.1600000000000003E-2</c:v>
                </c:pt>
                <c:pt idx="3">
                  <c:v>5.1400000000000001E-2</c:v>
                </c:pt>
                <c:pt idx="4">
                  <c:v>7.9000000000000008E-3</c:v>
                </c:pt>
                <c:pt idx="5">
                  <c:v>7.9100000000000004E-2</c:v>
                </c:pt>
                <c:pt idx="6">
                  <c:v>5.1400000000000001E-2</c:v>
                </c:pt>
                <c:pt idx="7">
                  <c:v>2.3699999999999999E-2</c:v>
                </c:pt>
                <c:pt idx="8">
                  <c:v>7.9000000000000008E-3</c:v>
                </c:pt>
                <c:pt idx="9">
                  <c:v>1.119E-2</c:v>
                </c:pt>
                <c:pt idx="10">
                  <c:v>4.0000000000000001E-3</c:v>
                </c:pt>
                <c:pt idx="11">
                  <c:v>1.1900000000000001E-2</c:v>
                </c:pt>
                <c:pt idx="12">
                  <c:v>2.3699999999999999E-2</c:v>
                </c:pt>
                <c:pt idx="13">
                  <c:v>4.3499999999999997E-2</c:v>
                </c:pt>
                <c:pt idx="14">
                  <c:v>7.51E-2</c:v>
                </c:pt>
                <c:pt idx="15">
                  <c:v>5.1400000000000001E-2</c:v>
                </c:pt>
                <c:pt idx="16">
                  <c:v>6.3200000000000006E-2</c:v>
                </c:pt>
                <c:pt idx="17">
                  <c:v>4.3499999999999997E-2</c:v>
                </c:pt>
                <c:pt idx="18">
                  <c:v>7.51E-2</c:v>
                </c:pt>
                <c:pt idx="19">
                  <c:v>6.7199999999999996E-2</c:v>
                </c:pt>
                <c:pt idx="20">
                  <c:v>7.1099999999999997E-2</c:v>
                </c:pt>
                <c:pt idx="21">
                  <c:v>6.7199999999999996E-2</c:v>
                </c:pt>
                <c:pt idx="22">
                  <c:v>5.5300000000000002E-2</c:v>
                </c:pt>
                <c:pt idx="23">
                  <c:v>5.9299999999999999E-2</c:v>
                </c:pt>
              </c:numCache>
            </c:numRef>
          </c:val>
          <c:extLst>
            <c:ext xmlns:c16="http://schemas.microsoft.com/office/drawing/2014/chart" uri="{C3380CC4-5D6E-409C-BE32-E72D297353CC}">
              <c16:uniqueId val="{00000000-75BC-46F0-A2AA-FF93A4BCE564}"/>
            </c:ext>
          </c:extLst>
        </c:ser>
        <c:dLbls>
          <c:showLegendKey val="0"/>
          <c:showVal val="0"/>
          <c:showCatName val="0"/>
          <c:showSerName val="0"/>
          <c:showPercent val="0"/>
          <c:showBubbleSize val="0"/>
        </c:dLbls>
        <c:gapWidth val="150"/>
        <c:gapDepth val="0"/>
        <c:shape val="box"/>
        <c:axId val="2035029456"/>
        <c:axId val="1"/>
        <c:axId val="0"/>
      </c:bar3DChart>
      <c:catAx>
        <c:axId val="2035029456"/>
        <c:scaling>
          <c:orientation val="minMax"/>
        </c:scaling>
        <c:delete val="0"/>
        <c:axPos val="b"/>
        <c:numFmt formatCode="General" sourceLinked="1"/>
        <c:majorTickMark val="out"/>
        <c:minorTickMark val="none"/>
        <c:tickLblPos val="low"/>
        <c:spPr>
          <a:ln w="3257">
            <a:solidFill>
              <a:srgbClr val="000000"/>
            </a:solidFill>
            <a:prstDash val="solid"/>
          </a:ln>
        </c:spPr>
        <c:txPr>
          <a:bodyPr rot="0" vert="horz"/>
          <a:lstStyle/>
          <a:p>
            <a:pPr>
              <a:defRPr sz="925" b="1" i="0" u="none" strike="noStrike" baseline="0">
                <a:solidFill>
                  <a:srgbClr val="000000"/>
                </a:solidFill>
                <a:latin typeface="Arial CE"/>
                <a:ea typeface="Arial CE"/>
                <a:cs typeface="Arial CE"/>
              </a:defRPr>
            </a:pPr>
            <a:endParaRPr lang="sk-SK"/>
          </a:p>
        </c:txPr>
        <c:crossAx val="1"/>
        <c:crosses val="autoZero"/>
        <c:auto val="1"/>
        <c:lblAlgn val="ctr"/>
        <c:lblOffset val="100"/>
        <c:tickLblSkip val="1"/>
        <c:tickMarkSkip val="1"/>
        <c:noMultiLvlLbl val="0"/>
      </c:catAx>
      <c:valAx>
        <c:axId val="1"/>
        <c:scaling>
          <c:orientation val="minMax"/>
        </c:scaling>
        <c:delete val="0"/>
        <c:axPos val="l"/>
        <c:majorGridlines>
          <c:spPr>
            <a:ln w="3257">
              <a:solidFill>
                <a:srgbClr val="000000"/>
              </a:solidFill>
              <a:prstDash val="solid"/>
            </a:ln>
          </c:spPr>
        </c:majorGridlines>
        <c:numFmt formatCode="General" sourceLinked="1"/>
        <c:majorTickMark val="out"/>
        <c:minorTickMark val="none"/>
        <c:tickLblPos val="nextTo"/>
        <c:spPr>
          <a:ln w="3257">
            <a:solidFill>
              <a:srgbClr val="000000"/>
            </a:solidFill>
            <a:prstDash val="solid"/>
          </a:ln>
        </c:spPr>
        <c:txPr>
          <a:bodyPr rot="0" vert="horz"/>
          <a:lstStyle/>
          <a:p>
            <a:pPr>
              <a:defRPr sz="1025" b="1" i="0" u="none" strike="noStrike" baseline="0">
                <a:solidFill>
                  <a:srgbClr val="000000"/>
                </a:solidFill>
                <a:latin typeface="Arial CE"/>
                <a:ea typeface="Arial CE"/>
                <a:cs typeface="Arial CE"/>
              </a:defRPr>
            </a:pPr>
            <a:endParaRPr lang="sk-SK"/>
          </a:p>
        </c:txPr>
        <c:crossAx val="2035029456"/>
        <c:crosses val="autoZero"/>
        <c:crossBetween val="between"/>
      </c:valAx>
      <c:spPr>
        <a:noFill/>
        <a:ln w="25407">
          <a:noFill/>
        </a:ln>
      </c:spPr>
    </c:plotArea>
    <c:legend>
      <c:legendPos val="r"/>
      <c:layout>
        <c:manualLayout>
          <c:xMode val="edge"/>
          <c:yMode val="edge"/>
          <c:x val="0.71769639821056064"/>
          <c:y val="0.83057171481325087"/>
          <c:w val="0.15559376670565489"/>
          <c:h val="9.777749326049695E-2"/>
        </c:manualLayout>
      </c:layout>
      <c:overlay val="0"/>
      <c:spPr>
        <a:noFill/>
        <a:ln w="3257">
          <a:solidFill>
            <a:srgbClr val="000000"/>
          </a:solidFill>
          <a:prstDash val="solid"/>
        </a:ln>
      </c:spPr>
      <c:txPr>
        <a:bodyPr/>
        <a:lstStyle/>
        <a:p>
          <a:pPr>
            <a:defRPr sz="943" b="1" i="0" u="none" strike="noStrike" baseline="0">
              <a:solidFill>
                <a:srgbClr val="000000"/>
              </a:solidFill>
              <a:latin typeface="Arial CE"/>
              <a:ea typeface="Arial CE"/>
              <a:cs typeface="Arial CE"/>
            </a:defRPr>
          </a:pPr>
          <a:endParaRPr lang="sk-SK"/>
        </a:p>
      </c:txPr>
    </c:legend>
    <c:plotVisOnly val="1"/>
    <c:dispBlanksAs val="gap"/>
    <c:showDLblsOverMax val="0"/>
  </c:chart>
  <c:spPr>
    <a:noFill/>
    <a:ln>
      <a:noFill/>
    </a:ln>
  </c:spPr>
  <c:txPr>
    <a:bodyPr/>
    <a:lstStyle/>
    <a:p>
      <a:pPr>
        <a:defRPr sz="1025" b="1" i="0" u="none" strike="noStrike" baseline="0">
          <a:solidFill>
            <a:srgbClr val="000000"/>
          </a:solidFill>
          <a:latin typeface="Arial CE"/>
          <a:ea typeface="Arial CE"/>
          <a:cs typeface="Arial CE"/>
        </a:defRPr>
      </a:pPr>
      <a:endParaRPr lang="sk-SK"/>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64"/>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4257425742574254E-2"/>
          <c:y val="5.8823529411764705E-2"/>
          <c:w val="0.59405940594059403"/>
          <c:h val="0.70955882352941202"/>
        </c:manualLayout>
      </c:layout>
      <c:bar3DChart>
        <c:barDir val="col"/>
        <c:grouping val="clustered"/>
        <c:varyColors val="0"/>
        <c:ser>
          <c:idx val="0"/>
          <c:order val="0"/>
          <c:tx>
            <c:strRef>
              <c:f>Sheet1!$A$2</c:f>
              <c:strCache>
                <c:ptCount val="1"/>
                <c:pt idx="0">
                  <c:v>výsledné hodnotenie</c:v>
                </c:pt>
              </c:strCache>
            </c:strRef>
          </c:tx>
          <c:spPr>
            <a:solidFill>
              <a:srgbClr val="9999FF"/>
            </a:solidFill>
            <a:ln w="9017">
              <a:solidFill>
                <a:srgbClr val="000000"/>
              </a:solidFill>
              <a:prstDash val="solid"/>
            </a:ln>
          </c:spPr>
          <c:invertIfNegative val="0"/>
          <c:cat>
            <c:strRef>
              <c:f>Sheet1!$B$1:$F$1</c:f>
              <c:strCache>
                <c:ptCount val="4"/>
                <c:pt idx="1">
                  <c:v>O-variant</c:v>
                </c:pt>
                <c:pt idx="2">
                  <c:v>V1</c:v>
                </c:pt>
                <c:pt idx="3">
                  <c:v>V2</c:v>
                </c:pt>
              </c:strCache>
            </c:strRef>
          </c:cat>
          <c:val>
            <c:numRef>
              <c:f>Sheet1!$B$2:$F$2</c:f>
              <c:numCache>
                <c:formatCode>General</c:formatCode>
                <c:ptCount val="5"/>
                <c:pt idx="1">
                  <c:v>-4.1000000000000002E-2</c:v>
                </c:pt>
                <c:pt idx="2">
                  <c:v>0.68300000000000005</c:v>
                </c:pt>
                <c:pt idx="3">
                  <c:v>0.73599999999999999</c:v>
                </c:pt>
              </c:numCache>
            </c:numRef>
          </c:val>
          <c:extLst>
            <c:ext xmlns:c16="http://schemas.microsoft.com/office/drawing/2014/chart" uri="{C3380CC4-5D6E-409C-BE32-E72D297353CC}">
              <c16:uniqueId val="{00000000-BF71-4152-8DC6-B255B61A8F4D}"/>
            </c:ext>
          </c:extLst>
        </c:ser>
        <c:dLbls>
          <c:showLegendKey val="0"/>
          <c:showVal val="0"/>
          <c:showCatName val="0"/>
          <c:showSerName val="0"/>
          <c:showPercent val="0"/>
          <c:showBubbleSize val="0"/>
        </c:dLbls>
        <c:gapWidth val="150"/>
        <c:gapDepth val="0"/>
        <c:shape val="box"/>
        <c:axId val="2036787488"/>
        <c:axId val="1"/>
        <c:axId val="0"/>
      </c:bar3DChart>
      <c:catAx>
        <c:axId val="2036787488"/>
        <c:scaling>
          <c:orientation val="minMax"/>
        </c:scaling>
        <c:delete val="0"/>
        <c:axPos val="b"/>
        <c:numFmt formatCode="General" sourceLinked="1"/>
        <c:majorTickMark val="out"/>
        <c:minorTickMark val="none"/>
        <c:tickLblPos val="low"/>
        <c:spPr>
          <a:ln w="2254">
            <a:solidFill>
              <a:srgbClr val="000000"/>
            </a:solidFill>
            <a:prstDash val="solid"/>
          </a:ln>
        </c:spPr>
        <c:txPr>
          <a:bodyPr rot="0" vert="horz"/>
          <a:lstStyle/>
          <a:p>
            <a:pPr>
              <a:defRPr sz="854" b="1" i="0" u="none" strike="noStrike" baseline="0">
                <a:solidFill>
                  <a:srgbClr val="000000"/>
                </a:solidFill>
                <a:latin typeface="Arial CE"/>
                <a:ea typeface="Arial CE"/>
                <a:cs typeface="Arial CE"/>
              </a:defRPr>
            </a:pPr>
            <a:endParaRPr lang="sk-SK"/>
          </a:p>
        </c:txPr>
        <c:crossAx val="1"/>
        <c:crosses val="autoZero"/>
        <c:auto val="1"/>
        <c:lblAlgn val="ctr"/>
        <c:lblOffset val="100"/>
        <c:tickLblSkip val="1"/>
        <c:tickMarkSkip val="1"/>
        <c:noMultiLvlLbl val="0"/>
      </c:catAx>
      <c:valAx>
        <c:axId val="1"/>
        <c:scaling>
          <c:orientation val="minMax"/>
        </c:scaling>
        <c:delete val="0"/>
        <c:axPos val="l"/>
        <c:majorGridlines>
          <c:spPr>
            <a:ln w="2254">
              <a:solidFill>
                <a:srgbClr val="000000"/>
              </a:solidFill>
              <a:prstDash val="solid"/>
            </a:ln>
          </c:spPr>
        </c:majorGridlines>
        <c:numFmt formatCode="General" sourceLinked="1"/>
        <c:majorTickMark val="out"/>
        <c:minorTickMark val="none"/>
        <c:tickLblPos val="nextTo"/>
        <c:spPr>
          <a:ln w="2254">
            <a:solidFill>
              <a:srgbClr val="000000"/>
            </a:solidFill>
            <a:prstDash val="solid"/>
          </a:ln>
        </c:spPr>
        <c:txPr>
          <a:bodyPr rot="0" vert="horz"/>
          <a:lstStyle/>
          <a:p>
            <a:pPr>
              <a:defRPr sz="854" b="1" i="0" u="none" strike="noStrike" baseline="0">
                <a:solidFill>
                  <a:srgbClr val="000000"/>
                </a:solidFill>
                <a:latin typeface="Arial CE"/>
                <a:ea typeface="Arial CE"/>
                <a:cs typeface="Arial CE"/>
              </a:defRPr>
            </a:pPr>
            <a:endParaRPr lang="sk-SK"/>
          </a:p>
        </c:txPr>
        <c:crossAx val="2036787488"/>
        <c:crosses val="autoZero"/>
        <c:crossBetween val="between"/>
      </c:valAx>
      <c:spPr>
        <a:noFill/>
        <a:ln w="25358">
          <a:noFill/>
        </a:ln>
      </c:spPr>
    </c:plotArea>
    <c:legend>
      <c:legendPos val="r"/>
      <c:layout>
        <c:manualLayout>
          <c:xMode val="edge"/>
          <c:yMode val="edge"/>
          <c:x val="0.68646855292400821"/>
          <c:y val="0.45588275868246841"/>
          <c:w val="0.30693068081617492"/>
          <c:h val="9.1911889853358741E-2"/>
        </c:manualLayout>
      </c:layout>
      <c:overlay val="0"/>
      <c:spPr>
        <a:noFill/>
        <a:ln w="2254">
          <a:solidFill>
            <a:srgbClr val="000000"/>
          </a:solidFill>
          <a:prstDash val="solid"/>
        </a:ln>
      </c:spPr>
      <c:txPr>
        <a:bodyPr/>
        <a:lstStyle/>
        <a:p>
          <a:pPr>
            <a:defRPr sz="782" b="1" i="0" u="none" strike="noStrike" baseline="0">
              <a:solidFill>
                <a:srgbClr val="000000"/>
              </a:solidFill>
              <a:latin typeface="Arial CE"/>
              <a:ea typeface="Arial CE"/>
              <a:cs typeface="Arial CE"/>
            </a:defRPr>
          </a:pPr>
          <a:endParaRPr lang="sk-SK"/>
        </a:p>
      </c:txPr>
    </c:legend>
    <c:plotVisOnly val="1"/>
    <c:dispBlanksAs val="gap"/>
    <c:showDLblsOverMax val="0"/>
  </c:chart>
  <c:spPr>
    <a:noFill/>
    <a:ln>
      <a:noFill/>
    </a:ln>
  </c:spPr>
  <c:txPr>
    <a:bodyPr/>
    <a:lstStyle/>
    <a:p>
      <a:pPr>
        <a:defRPr sz="854" b="1" i="0" u="none" strike="noStrike" baseline="0">
          <a:solidFill>
            <a:srgbClr val="000000"/>
          </a:solidFill>
          <a:latin typeface="Arial CE"/>
          <a:ea typeface="Arial CE"/>
          <a:cs typeface="Arial CE"/>
        </a:defRPr>
      </a:pPr>
      <a:endParaRPr lang="sk-SK"/>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48"/>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2404870624048724E-2"/>
          <c:y val="5.3497942386831303E-2"/>
          <c:w val="0.65449010654490125"/>
          <c:h val="0.79423868312757229"/>
        </c:manualLayout>
      </c:layout>
      <c:bar3DChart>
        <c:barDir val="col"/>
        <c:grouping val="clustered"/>
        <c:varyColors val="0"/>
        <c:ser>
          <c:idx val="0"/>
          <c:order val="0"/>
          <c:tx>
            <c:strRef>
              <c:f>Sheet1!$A$2</c:f>
              <c:strCache>
                <c:ptCount val="1"/>
                <c:pt idx="0">
                  <c:v>výsledné hodnotenie</c:v>
                </c:pt>
              </c:strCache>
            </c:strRef>
          </c:tx>
          <c:spPr>
            <a:solidFill>
              <a:srgbClr val="9999FF"/>
            </a:solidFill>
            <a:ln w="8168">
              <a:solidFill>
                <a:srgbClr val="000000"/>
              </a:solidFill>
              <a:prstDash val="solid"/>
            </a:ln>
          </c:spPr>
          <c:invertIfNegative val="0"/>
          <c:cat>
            <c:strRef>
              <c:f>Sheet1!$B$1:$F$1</c:f>
              <c:strCache>
                <c:ptCount val="4"/>
                <c:pt idx="1">
                  <c:v>O-variant</c:v>
                </c:pt>
                <c:pt idx="2">
                  <c:v>V1</c:v>
                </c:pt>
                <c:pt idx="3">
                  <c:v>V2</c:v>
                </c:pt>
              </c:strCache>
            </c:strRef>
          </c:cat>
          <c:val>
            <c:numRef>
              <c:f>Sheet1!$B$2:$F$2</c:f>
              <c:numCache>
                <c:formatCode>General</c:formatCode>
                <c:ptCount val="5"/>
                <c:pt idx="1">
                  <c:v>0.51100000000000001</c:v>
                </c:pt>
                <c:pt idx="2">
                  <c:v>1.2889999999999999</c:v>
                </c:pt>
                <c:pt idx="3">
                  <c:v>1.381</c:v>
                </c:pt>
              </c:numCache>
            </c:numRef>
          </c:val>
          <c:extLst>
            <c:ext xmlns:c16="http://schemas.microsoft.com/office/drawing/2014/chart" uri="{C3380CC4-5D6E-409C-BE32-E72D297353CC}">
              <c16:uniqueId val="{00000000-9C4C-4659-A82D-3BA2FE33A014}"/>
            </c:ext>
          </c:extLst>
        </c:ser>
        <c:dLbls>
          <c:showLegendKey val="0"/>
          <c:showVal val="0"/>
          <c:showCatName val="0"/>
          <c:showSerName val="0"/>
          <c:showPercent val="0"/>
          <c:showBubbleSize val="0"/>
        </c:dLbls>
        <c:gapWidth val="150"/>
        <c:gapDepth val="0"/>
        <c:shape val="box"/>
        <c:axId val="2030355968"/>
        <c:axId val="1"/>
        <c:axId val="0"/>
      </c:bar3DChart>
      <c:catAx>
        <c:axId val="2030355968"/>
        <c:scaling>
          <c:orientation val="minMax"/>
        </c:scaling>
        <c:delete val="0"/>
        <c:axPos val="b"/>
        <c:numFmt formatCode="General" sourceLinked="1"/>
        <c:majorTickMark val="out"/>
        <c:minorTickMark val="none"/>
        <c:tickLblPos val="low"/>
        <c:spPr>
          <a:ln w="2043">
            <a:solidFill>
              <a:srgbClr val="000000"/>
            </a:solidFill>
            <a:prstDash val="solid"/>
          </a:ln>
        </c:spPr>
        <c:txPr>
          <a:bodyPr rot="0" vert="horz"/>
          <a:lstStyle/>
          <a:p>
            <a:pPr>
              <a:defRPr sz="694" b="1" i="0" u="none" strike="noStrike" baseline="0">
                <a:solidFill>
                  <a:srgbClr val="000000"/>
                </a:solidFill>
                <a:latin typeface="Arial CE"/>
                <a:ea typeface="Arial CE"/>
                <a:cs typeface="Arial CE"/>
              </a:defRPr>
            </a:pPr>
            <a:endParaRPr lang="sk-SK"/>
          </a:p>
        </c:txPr>
        <c:crossAx val="1"/>
        <c:crosses val="autoZero"/>
        <c:auto val="1"/>
        <c:lblAlgn val="ctr"/>
        <c:lblOffset val="100"/>
        <c:tickLblSkip val="1"/>
        <c:tickMarkSkip val="1"/>
        <c:noMultiLvlLbl val="0"/>
      </c:catAx>
      <c:valAx>
        <c:axId val="1"/>
        <c:scaling>
          <c:orientation val="minMax"/>
        </c:scaling>
        <c:delete val="0"/>
        <c:axPos val="l"/>
        <c:majorGridlines>
          <c:spPr>
            <a:ln w="2043">
              <a:solidFill>
                <a:srgbClr val="000000"/>
              </a:solidFill>
              <a:prstDash val="solid"/>
            </a:ln>
          </c:spPr>
        </c:majorGridlines>
        <c:numFmt formatCode="General" sourceLinked="1"/>
        <c:majorTickMark val="out"/>
        <c:minorTickMark val="none"/>
        <c:tickLblPos val="nextTo"/>
        <c:spPr>
          <a:ln w="2043">
            <a:solidFill>
              <a:srgbClr val="000000"/>
            </a:solidFill>
            <a:prstDash val="solid"/>
          </a:ln>
        </c:spPr>
        <c:txPr>
          <a:bodyPr rot="0" vert="horz"/>
          <a:lstStyle/>
          <a:p>
            <a:pPr>
              <a:defRPr sz="694" b="1" i="0" u="none" strike="noStrike" baseline="0">
                <a:solidFill>
                  <a:srgbClr val="000000"/>
                </a:solidFill>
                <a:latin typeface="Arial CE"/>
                <a:ea typeface="Arial CE"/>
                <a:cs typeface="Arial CE"/>
              </a:defRPr>
            </a:pPr>
            <a:endParaRPr lang="sk-SK"/>
          </a:p>
        </c:txPr>
        <c:crossAx val="2030355968"/>
        <c:crosses val="autoZero"/>
        <c:crossBetween val="between"/>
      </c:valAx>
      <c:spPr>
        <a:noFill/>
        <a:ln w="25358">
          <a:noFill/>
        </a:ln>
      </c:spPr>
    </c:plotArea>
    <c:legend>
      <c:legendPos val="r"/>
      <c:layout>
        <c:manualLayout>
          <c:xMode val="edge"/>
          <c:yMode val="edge"/>
          <c:x val="0.73363782849928572"/>
          <c:y val="0.45267505795352225"/>
          <c:w val="0.26027392936642413"/>
          <c:h val="9.4650267256738863E-2"/>
        </c:manualLayout>
      </c:layout>
      <c:overlay val="0"/>
      <c:spPr>
        <a:noFill/>
        <a:ln w="2043">
          <a:solidFill>
            <a:srgbClr val="000000"/>
          </a:solidFill>
          <a:prstDash val="solid"/>
        </a:ln>
      </c:spPr>
      <c:txPr>
        <a:bodyPr/>
        <a:lstStyle/>
        <a:p>
          <a:pPr>
            <a:defRPr sz="634" b="1" i="0" u="none" strike="noStrike" baseline="0">
              <a:solidFill>
                <a:srgbClr val="000000"/>
              </a:solidFill>
              <a:latin typeface="Arial CE"/>
              <a:ea typeface="Arial CE"/>
              <a:cs typeface="Arial CE"/>
            </a:defRPr>
          </a:pPr>
          <a:endParaRPr lang="sk-SK"/>
        </a:p>
      </c:txPr>
    </c:legend>
    <c:plotVisOnly val="1"/>
    <c:dispBlanksAs val="gap"/>
    <c:showDLblsOverMax val="0"/>
  </c:chart>
  <c:spPr>
    <a:noFill/>
    <a:ln>
      <a:noFill/>
    </a:ln>
  </c:spPr>
  <c:txPr>
    <a:bodyPr/>
    <a:lstStyle/>
    <a:p>
      <a:pPr>
        <a:defRPr sz="694" b="1" i="0" u="none" strike="noStrike" baseline="0">
          <a:solidFill>
            <a:srgbClr val="000000"/>
          </a:solidFill>
          <a:latin typeface="Arial CE"/>
          <a:ea typeface="Arial CE"/>
          <a:cs typeface="Arial CE"/>
        </a:defRPr>
      </a:pPr>
      <a:endParaRPr lang="sk-SK"/>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230F2112C7B08747B7DAC48DC3D9C8D2" ma:contentTypeVersion="13" ma:contentTypeDescription="Umožňuje vytvoriť nový dokument." ma:contentTypeScope="" ma:versionID="2cda09e94c9b5b9d58a6cd0466dfc46d">
  <xsd:schema xmlns:xsd="http://www.w3.org/2001/XMLSchema" xmlns:xs="http://www.w3.org/2001/XMLSchema" xmlns:p="http://schemas.microsoft.com/office/2006/metadata/properties" xmlns:ns2="0cb0765e-cb7b-433a-8aff-b82f7f7905eb" xmlns:ns3="95ddfe14-a381-41c5-85aa-76af9cb28eb4" targetNamespace="http://schemas.microsoft.com/office/2006/metadata/properties" ma:root="true" ma:fieldsID="3b5290738db3de81423cc8fa6bf6db33" ns2:_="" ns3:_="">
    <xsd:import namespace="0cb0765e-cb7b-433a-8aff-b82f7f7905eb"/>
    <xsd:import namespace="95ddfe14-a381-41c5-85aa-76af9cb28eb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cb0765e-cb7b-433a-8aff-b82f7f7905e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5ddfe14-a381-41c5-85aa-76af9cb28eb4" elementFormDefault="qualified">
    <xsd:import namespace="http://schemas.microsoft.com/office/2006/documentManagement/types"/>
    <xsd:import namespace="http://schemas.microsoft.com/office/infopath/2007/PartnerControls"/>
    <xsd:element name="SharedWithUsers" ma:index="10"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Zdieľané s podrobnosťa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49482C2-1C92-4DB3-9AA4-E9192793C89F}">
  <ds:schemaRefs>
    <ds:schemaRef ds:uri="http://schemas.openxmlformats.org/officeDocument/2006/bibliography"/>
  </ds:schemaRefs>
</ds:datastoreItem>
</file>

<file path=customXml/itemProps2.xml><?xml version="1.0" encoding="utf-8"?>
<ds:datastoreItem xmlns:ds="http://schemas.openxmlformats.org/officeDocument/2006/customXml" ds:itemID="{8E42CDB8-0787-4BF3-A4D8-219E73A2022E}">
  <ds:schemaRefs>
    <ds:schemaRef ds:uri="http://schemas.microsoft.com/sharepoint/v3/contenttype/forms"/>
  </ds:schemaRefs>
</ds:datastoreItem>
</file>

<file path=customXml/itemProps3.xml><?xml version="1.0" encoding="utf-8"?>
<ds:datastoreItem xmlns:ds="http://schemas.openxmlformats.org/officeDocument/2006/customXml" ds:itemID="{599F062C-4DAB-4F47-92AE-7A828AFB6C5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D39BCA2-3B5A-473C-B7A7-89E64C5753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cb0765e-cb7b-433a-8aff-b82f7f7905eb"/>
    <ds:schemaRef ds:uri="95ddfe14-a381-41c5-85aa-76af9cb28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156</Pages>
  <Words>60106</Words>
  <Characters>342610</Characters>
  <Application>Microsoft Office Word</Application>
  <DocSecurity>0</DocSecurity>
  <Lines>2855</Lines>
  <Paragraphs>803</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Bytový dom Terchovská</vt:lpstr>
      <vt:lpstr/>
    </vt:vector>
  </TitlesOfParts>
  <Company>.</Company>
  <LinksUpToDate>false</LinksUpToDate>
  <CharactersWithSpaces>401913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Bytový dom Terchovská</dc:title>
  <dc:subject/>
  <dc:creator>IVASO, s.r.o.</dc:creator>
  <cp:keywords/>
  <dc:description/>
  <cp:lastModifiedBy>Jozef Marko</cp:lastModifiedBy>
  <cp:revision>50</cp:revision>
  <cp:lastPrinted>2022-02-08T15:24:00Z</cp:lastPrinted>
  <dcterms:created xsi:type="dcterms:W3CDTF">2022-02-08T08:53:00Z</dcterms:created>
  <dcterms:modified xsi:type="dcterms:W3CDTF">2022-02-08T15:25:00Z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0x010100230F2112C7B08747B7DAC48DC3D9C8D2</vt:lpwstr>
  </property>
</Properties>
</file>